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7F43CA">
      <w:pPr>
        <w:pStyle w:val="24"/>
        <w:spacing w:before="0" w:beforeAutospacing="0" w:after="0" w:afterAutospacing="0" w:line="240" w:lineRule="auto"/>
        <w:ind w:firstLine="600"/>
        <w:jc w:val="center"/>
        <w:outlineLvl w:val="0"/>
        <w:rPr>
          <w:rFonts w:hint="default" w:ascii="Times New Roman" w:hAnsi="Times New Roman" w:eastAsia="新宋体" w:cs="Times New Roman"/>
          <w:b/>
          <w:bCs/>
          <w:snapToGrid w:val="0"/>
          <w:color w:val="000000" w:themeColor="text1"/>
          <w:sz w:val="30"/>
          <w:szCs w:val="30"/>
          <w14:textFill>
            <w14:solidFill>
              <w14:schemeClr w14:val="tx1"/>
            </w14:solidFill>
          </w14:textFill>
        </w:rPr>
      </w:pPr>
      <w:r>
        <w:rPr>
          <w:rFonts w:hint="default" w:ascii="Times New Roman" w:hAnsi="Times New Roman" w:eastAsia="新宋体" w:cs="Times New Roman"/>
          <w:b/>
          <w:bCs/>
          <w:snapToGrid w:val="0"/>
          <w:color w:val="000000" w:themeColor="text1"/>
          <w:sz w:val="30"/>
          <w:szCs w:val="30"/>
          <w14:textFill>
            <w14:solidFill>
              <w14:schemeClr w14:val="tx1"/>
            </w14:solidFill>
          </w14:textFill>
        </w:rPr>
        <w:t>一、建设项目基本情况</w:t>
      </w:r>
    </w:p>
    <w:tbl>
      <w:tblPr>
        <w:tblStyle w:val="28"/>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728"/>
        <w:gridCol w:w="2419"/>
        <w:gridCol w:w="1710"/>
        <w:gridCol w:w="2480"/>
      </w:tblGrid>
      <w:tr w14:paraId="110CFC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728" w:type="dxa"/>
            <w:tcBorders>
              <w:tl2br w:val="nil"/>
              <w:tr2bl w:val="nil"/>
            </w:tcBorders>
            <w:tcMar>
              <w:top w:w="16" w:type="dxa"/>
              <w:left w:w="16" w:type="dxa"/>
              <w:right w:w="16" w:type="dxa"/>
            </w:tcMar>
            <w:vAlign w:val="center"/>
          </w:tcPr>
          <w:p w14:paraId="78FCAB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建设项目名称</w:t>
            </w:r>
          </w:p>
        </w:tc>
        <w:tc>
          <w:tcPr>
            <w:tcW w:w="6609" w:type="dxa"/>
            <w:gridSpan w:val="3"/>
            <w:tcBorders>
              <w:tl2br w:val="nil"/>
              <w:tr2bl w:val="nil"/>
            </w:tcBorders>
            <w:vAlign w:val="center"/>
          </w:tcPr>
          <w:p w14:paraId="7A25BD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新宋体" w:cs="Times New Roman"/>
                <w:color w:val="000000" w:themeColor="text1"/>
                <w:sz w:val="24"/>
                <w:szCs w:val="24"/>
                <w:lang w:eastAsia="zh-CN"/>
                <w14:textFill>
                  <w14:solidFill>
                    <w14:schemeClr w14:val="tx1"/>
                  </w14:solidFill>
                </w14:textFill>
              </w:rPr>
            </w:pPr>
            <w:r>
              <w:rPr>
                <w:rFonts w:hint="default" w:ascii="Times New Roman" w:hAnsi="Times New Roman" w:eastAsia="新宋体" w:cs="Times New Roman"/>
                <w:color w:val="000000" w:themeColor="text1"/>
                <w:sz w:val="24"/>
                <w:szCs w:val="24"/>
                <w:lang w:eastAsia="zh-CN"/>
                <w14:textFill>
                  <w14:solidFill>
                    <w14:schemeClr w14:val="tx1"/>
                  </w14:solidFill>
                </w14:textFill>
              </w:rPr>
              <w:t>和硕县建司预制厂生产项目</w:t>
            </w:r>
          </w:p>
        </w:tc>
      </w:tr>
      <w:tr w14:paraId="128560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728" w:type="dxa"/>
            <w:tcBorders>
              <w:tl2br w:val="nil"/>
              <w:tr2bl w:val="nil"/>
            </w:tcBorders>
            <w:tcMar>
              <w:top w:w="16" w:type="dxa"/>
              <w:left w:w="16" w:type="dxa"/>
              <w:right w:w="16" w:type="dxa"/>
            </w:tcMar>
            <w:vAlign w:val="center"/>
          </w:tcPr>
          <w:p w14:paraId="3A22A8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项目代码</w:t>
            </w:r>
          </w:p>
        </w:tc>
        <w:tc>
          <w:tcPr>
            <w:tcW w:w="6609" w:type="dxa"/>
            <w:gridSpan w:val="3"/>
            <w:tcBorders>
              <w:tl2br w:val="nil"/>
              <w:tr2bl w:val="nil"/>
            </w:tcBorders>
            <w:vAlign w:val="center"/>
          </w:tcPr>
          <w:p w14:paraId="221AB6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新宋体" w:cs="Times New Roman"/>
                <w:color w:val="000000" w:themeColor="text1"/>
                <w:sz w:val="24"/>
                <w:szCs w:val="24"/>
                <w:lang w:eastAsia="zh-CN"/>
                <w14:textFill>
                  <w14:solidFill>
                    <w14:schemeClr w14:val="tx1"/>
                  </w14:solidFill>
                </w14:textFill>
              </w:rPr>
            </w:pPr>
            <w:r>
              <w:rPr>
                <w:rFonts w:hint="default" w:ascii="Times New Roman" w:hAnsi="Times New Roman" w:eastAsia="新宋体" w:cs="Times New Roman"/>
                <w:color w:val="000000" w:themeColor="text1"/>
                <w:sz w:val="24"/>
                <w:szCs w:val="24"/>
                <w:lang w:val="en-US" w:eastAsia="zh-CN"/>
                <w14:textFill>
                  <w14:solidFill>
                    <w14:schemeClr w14:val="tx1"/>
                  </w14:solidFill>
                </w14:textFill>
              </w:rPr>
              <w:t>无</w:t>
            </w:r>
          </w:p>
        </w:tc>
      </w:tr>
      <w:tr w14:paraId="539DC1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728" w:type="dxa"/>
            <w:tcBorders>
              <w:tl2br w:val="nil"/>
              <w:tr2bl w:val="nil"/>
            </w:tcBorders>
            <w:tcMar>
              <w:top w:w="16" w:type="dxa"/>
              <w:left w:w="16" w:type="dxa"/>
              <w:right w:w="16" w:type="dxa"/>
            </w:tcMar>
            <w:vAlign w:val="center"/>
          </w:tcPr>
          <w:p w14:paraId="46AFAE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建设单位联系人</w:t>
            </w:r>
          </w:p>
        </w:tc>
        <w:tc>
          <w:tcPr>
            <w:tcW w:w="2419" w:type="dxa"/>
            <w:tcBorders>
              <w:tl2br w:val="nil"/>
              <w:tr2bl w:val="nil"/>
            </w:tcBorders>
            <w:vAlign w:val="center"/>
          </w:tcPr>
          <w:p w14:paraId="73CA34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eastAsia" w:eastAsia="新宋体" w:cs="Times New Roman"/>
                <w:color w:val="000000" w:themeColor="text1"/>
                <w:sz w:val="24"/>
                <w:szCs w:val="24"/>
                <w:lang w:val="en-US" w:eastAsia="zh-CN"/>
                <w14:textFill>
                  <w14:solidFill>
                    <w14:schemeClr w14:val="tx1"/>
                  </w14:solidFill>
                </w14:textFill>
              </w:rPr>
              <w:t>张桂香</w:t>
            </w:r>
          </w:p>
        </w:tc>
        <w:tc>
          <w:tcPr>
            <w:tcW w:w="1710" w:type="dxa"/>
            <w:tcBorders>
              <w:tl2br w:val="nil"/>
              <w:tr2bl w:val="nil"/>
            </w:tcBorders>
            <w:vAlign w:val="center"/>
          </w:tcPr>
          <w:p w14:paraId="2391D5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联系方式</w:t>
            </w:r>
          </w:p>
        </w:tc>
        <w:tc>
          <w:tcPr>
            <w:tcW w:w="2480" w:type="dxa"/>
            <w:tcBorders>
              <w:tl2br w:val="nil"/>
              <w:tr2bl w:val="nil"/>
            </w:tcBorders>
            <w:vAlign w:val="center"/>
          </w:tcPr>
          <w:p w14:paraId="47D360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sz w:val="24"/>
                <w:szCs w:val="24"/>
                <w:lang w:val="en-US" w:eastAsia="zh-CN"/>
              </w:rPr>
              <w:t>13667525688</w:t>
            </w:r>
          </w:p>
        </w:tc>
      </w:tr>
      <w:tr w14:paraId="6797CD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728" w:type="dxa"/>
            <w:tcBorders>
              <w:tl2br w:val="nil"/>
              <w:tr2bl w:val="nil"/>
            </w:tcBorders>
            <w:tcMar>
              <w:top w:w="16" w:type="dxa"/>
              <w:left w:w="16" w:type="dxa"/>
              <w:right w:w="16" w:type="dxa"/>
            </w:tcMar>
            <w:vAlign w:val="center"/>
          </w:tcPr>
          <w:p w14:paraId="1C5427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建设地点</w:t>
            </w:r>
          </w:p>
        </w:tc>
        <w:tc>
          <w:tcPr>
            <w:tcW w:w="6609" w:type="dxa"/>
            <w:gridSpan w:val="3"/>
            <w:tcBorders>
              <w:tl2br w:val="nil"/>
              <w:tr2bl w:val="nil"/>
            </w:tcBorders>
            <w:vAlign w:val="center"/>
          </w:tcPr>
          <w:p w14:paraId="577563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4"/>
                <w:lang w:val="en-US" w:eastAsia="zh-CN"/>
                <w14:textFill>
                  <w14:solidFill>
                    <w14:schemeClr w14:val="tx1"/>
                  </w14:solidFill>
                </w14:textFill>
              </w:rPr>
              <w:t>新疆维吾尔自治区巴音郭楞蒙古自治州</w:t>
            </w:r>
            <w:r>
              <w:rPr>
                <w:rFonts w:hint="eastAsia" w:eastAsia="新宋体" w:cs="Times New Roman"/>
                <w:color w:val="000000" w:themeColor="text1"/>
                <w:sz w:val="24"/>
                <w:szCs w:val="24"/>
                <w:lang w:val="en-US" w:eastAsia="zh-CN"/>
                <w14:textFill>
                  <w14:solidFill>
                    <w14:schemeClr w14:val="tx1"/>
                  </w14:solidFill>
                </w14:textFill>
              </w:rPr>
              <w:t>和硕县水磨街13号</w:t>
            </w:r>
          </w:p>
        </w:tc>
      </w:tr>
      <w:tr w14:paraId="5C685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728" w:type="dxa"/>
            <w:tcBorders>
              <w:tl2br w:val="nil"/>
              <w:tr2bl w:val="nil"/>
            </w:tcBorders>
            <w:tcMar>
              <w:top w:w="16" w:type="dxa"/>
              <w:left w:w="16" w:type="dxa"/>
              <w:right w:w="16" w:type="dxa"/>
            </w:tcMar>
            <w:vAlign w:val="center"/>
          </w:tcPr>
          <w:p w14:paraId="628B05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地理坐标</w:t>
            </w:r>
          </w:p>
        </w:tc>
        <w:tc>
          <w:tcPr>
            <w:tcW w:w="6609" w:type="dxa"/>
            <w:gridSpan w:val="3"/>
            <w:tcBorders>
              <w:tl2br w:val="nil"/>
              <w:tr2bl w:val="nil"/>
            </w:tcBorders>
            <w:vAlign w:val="center"/>
          </w:tcPr>
          <w:p w14:paraId="33F147A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新宋体" w:cs="Times New Roman"/>
                <w:color w:val="000000" w:themeColor="text1"/>
                <w:sz w:val="24"/>
                <w:szCs w:val="24"/>
                <w14:textFill>
                  <w14:solidFill>
                    <w14:schemeClr w14:val="tx1"/>
                  </w14:solidFill>
                </w14:textFill>
              </w:rPr>
            </w:pPr>
            <w:r>
              <w:rPr>
                <w:rFonts w:hint="eastAsia" w:eastAsia="新宋体" w:cs="Times New Roman"/>
                <w:color w:val="000000" w:themeColor="text1"/>
                <w:sz w:val="24"/>
                <w:szCs w:val="24"/>
                <w:lang w:val="en-US" w:eastAsia="zh-CN"/>
                <w14:textFill>
                  <w14:solidFill>
                    <w14:schemeClr w14:val="tx1"/>
                  </w14:solidFill>
                </w14:textFill>
              </w:rPr>
              <w:t>E</w:t>
            </w:r>
            <w:r>
              <w:rPr>
                <w:rFonts w:hint="default" w:ascii="Times New Roman" w:hAnsi="Times New Roman" w:eastAsia="新宋体" w:cs="Times New Roman"/>
                <w:color w:val="000000" w:themeColor="text1"/>
                <w:sz w:val="24"/>
                <w:szCs w:val="24"/>
                <w:lang w:val="en-US" w:eastAsia="zh-CN"/>
                <w14:textFill>
                  <w14:solidFill>
                    <w14:schemeClr w14:val="tx1"/>
                  </w14:solidFill>
                </w14:textFill>
              </w:rPr>
              <w:t>86°51′52.151″</w:t>
            </w: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，N42</w:t>
            </w:r>
            <w:r>
              <w:rPr>
                <w:rFonts w:hint="default" w:ascii="Times New Roman" w:hAnsi="Times New Roman" w:eastAsia="新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17</w:t>
            </w:r>
            <w:r>
              <w:rPr>
                <w:rFonts w:hint="default" w:ascii="Times New Roman" w:hAnsi="Times New Roman" w:eastAsia="新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33.75</w:t>
            </w:r>
            <w:r>
              <w:rPr>
                <w:rFonts w:hint="eastAsia" w:eastAsia="新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新宋体" w:cs="Times New Roman"/>
                <w:color w:val="000000" w:themeColor="text1"/>
                <w:sz w:val="24"/>
                <w:szCs w:val="24"/>
                <w:lang w:val="en-US" w:eastAsia="zh-CN"/>
                <w14:textFill>
                  <w14:solidFill>
                    <w14:schemeClr w14:val="tx1"/>
                  </w14:solidFill>
                </w14:textFill>
              </w:rPr>
              <w:t>″</w:t>
            </w:r>
          </w:p>
        </w:tc>
      </w:tr>
      <w:tr w14:paraId="3EE5D6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0" w:hRule="atLeast"/>
          <w:jc w:val="center"/>
        </w:trPr>
        <w:tc>
          <w:tcPr>
            <w:tcW w:w="1728" w:type="dxa"/>
            <w:tcBorders>
              <w:tl2br w:val="nil"/>
              <w:tr2bl w:val="nil"/>
            </w:tcBorders>
            <w:tcMar>
              <w:top w:w="16" w:type="dxa"/>
              <w:left w:w="16" w:type="dxa"/>
              <w:right w:w="16" w:type="dxa"/>
            </w:tcMar>
            <w:vAlign w:val="center"/>
          </w:tcPr>
          <w:p w14:paraId="26DB5176">
            <w:pPr>
              <w:adjustRightInd w:val="0"/>
              <w:snapToGrid w:val="0"/>
              <w:ind w:firstLine="0" w:firstLineChars="0"/>
              <w:jc w:val="center"/>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国民经济行业类别</w:t>
            </w:r>
          </w:p>
        </w:tc>
        <w:tc>
          <w:tcPr>
            <w:tcW w:w="2419" w:type="dxa"/>
            <w:tcBorders>
              <w:tl2br w:val="nil"/>
              <w:tr2bl w:val="nil"/>
            </w:tcBorders>
            <w:vAlign w:val="center"/>
          </w:tcPr>
          <w:p w14:paraId="6F8FC93A">
            <w:pPr>
              <w:adjustRightInd w:val="0"/>
              <w:snapToGrid w:val="0"/>
              <w:ind w:firstLine="0" w:firstLineChars="0"/>
              <w:jc w:val="center"/>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eastAsia" w:eastAsia="新宋体" w:cs="Times New Roman"/>
                <w:color w:val="000000" w:themeColor="text1"/>
                <w:sz w:val="24"/>
                <w:szCs w:val="24"/>
                <w:lang w:val="en-US" w:eastAsia="zh-CN"/>
                <w14:textFill>
                  <w14:solidFill>
                    <w14:schemeClr w14:val="tx1"/>
                  </w14:solidFill>
                </w14:textFill>
              </w:rPr>
              <w:t>C3022砼结构构件制造</w:t>
            </w:r>
          </w:p>
        </w:tc>
        <w:tc>
          <w:tcPr>
            <w:tcW w:w="1710" w:type="dxa"/>
            <w:tcBorders>
              <w:tl2br w:val="nil"/>
              <w:tr2bl w:val="nil"/>
            </w:tcBorders>
            <w:vAlign w:val="center"/>
          </w:tcPr>
          <w:p w14:paraId="625245C5">
            <w:pPr>
              <w:adjustRightInd w:val="0"/>
              <w:snapToGrid w:val="0"/>
              <w:ind w:firstLine="0" w:firstLineChars="0"/>
              <w:jc w:val="center"/>
              <w:rPr>
                <w:rFonts w:hint="default" w:ascii="Times New Roman" w:hAnsi="Times New Roman" w:eastAsia="新宋体" w:cs="Times New Roman"/>
                <w:color w:val="000000" w:themeColor="text1"/>
                <w:sz w:val="24"/>
                <w:szCs w:val="24"/>
                <w14:textFill>
                  <w14:solidFill>
                    <w14:schemeClr w14:val="tx1"/>
                  </w14:solidFill>
                </w14:textFill>
              </w:rPr>
            </w:pPr>
            <w:bookmarkStart w:id="0" w:name="_Hlk49843745"/>
            <w:r>
              <w:rPr>
                <w:rFonts w:hint="default" w:ascii="Times New Roman" w:hAnsi="Times New Roman" w:eastAsia="新宋体" w:cs="Times New Roman"/>
                <w:color w:val="000000" w:themeColor="text1"/>
                <w:sz w:val="24"/>
                <w:szCs w:val="24"/>
                <w14:textFill>
                  <w14:solidFill>
                    <w14:schemeClr w14:val="tx1"/>
                  </w14:solidFill>
                </w14:textFill>
              </w:rPr>
              <w:t>建设项目</w:t>
            </w:r>
          </w:p>
          <w:p w14:paraId="3D8D32CF">
            <w:pPr>
              <w:adjustRightInd w:val="0"/>
              <w:snapToGrid w:val="0"/>
              <w:ind w:firstLine="0" w:firstLineChars="0"/>
              <w:jc w:val="center"/>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行业类别</w:t>
            </w:r>
            <w:bookmarkEnd w:id="0"/>
          </w:p>
        </w:tc>
        <w:tc>
          <w:tcPr>
            <w:tcW w:w="2480" w:type="dxa"/>
            <w:tcBorders>
              <w:tl2br w:val="nil"/>
              <w:tr2bl w:val="nil"/>
            </w:tcBorders>
            <w:vAlign w:val="center"/>
          </w:tcPr>
          <w:p w14:paraId="07A64852">
            <w:pPr>
              <w:pStyle w:val="10"/>
              <w:ind w:firstLine="0" w:firstLineChars="0"/>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二十七、非金属矿物制品业30</w:t>
            </w:r>
            <w:r>
              <w:rPr>
                <w:rFonts w:hint="eastAsia" w:eastAsia="新宋体" w:cs="Times New Roman"/>
                <w:color w:val="000000" w:themeColor="text1"/>
                <w:sz w:val="24"/>
                <w:szCs w:val="24"/>
                <w:lang w:val="en-US" w:eastAsia="zh-CN"/>
                <w14:textFill>
                  <w14:solidFill>
                    <w14:schemeClr w14:val="tx1"/>
                  </w14:solidFill>
                </w14:textFill>
              </w:rPr>
              <w:t>-</w:t>
            </w:r>
            <w:r>
              <w:rPr>
                <w:rFonts w:hint="eastAsia" w:eastAsia="新宋体" w:cs="Times New Roman"/>
                <w:color w:val="000000" w:themeColor="text1"/>
                <w:sz w:val="24"/>
                <w:szCs w:val="24"/>
                <w:lang w:eastAsia="zh-CN"/>
                <w14:textFill>
                  <w14:solidFill>
                    <w14:schemeClr w14:val="tx1"/>
                  </w14:solidFill>
                </w14:textFill>
              </w:rPr>
              <w:t>石膏、水泥制品及类似制品制造302“砼结构构件制造”</w:t>
            </w:r>
          </w:p>
        </w:tc>
      </w:tr>
      <w:tr w14:paraId="1CF86B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219" w:hRule="atLeast"/>
          <w:jc w:val="center"/>
        </w:trPr>
        <w:tc>
          <w:tcPr>
            <w:tcW w:w="1728" w:type="dxa"/>
            <w:tcBorders>
              <w:tl2br w:val="nil"/>
              <w:tr2bl w:val="nil"/>
            </w:tcBorders>
            <w:tcMar>
              <w:top w:w="16" w:type="dxa"/>
              <w:left w:w="16" w:type="dxa"/>
              <w:right w:w="16" w:type="dxa"/>
            </w:tcMar>
            <w:vAlign w:val="center"/>
          </w:tcPr>
          <w:p w14:paraId="04D0BC76">
            <w:pPr>
              <w:adjustRightInd w:val="0"/>
              <w:snapToGrid w:val="0"/>
              <w:ind w:firstLine="0" w:firstLineChars="0"/>
              <w:jc w:val="center"/>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建设性质</w:t>
            </w:r>
          </w:p>
        </w:tc>
        <w:tc>
          <w:tcPr>
            <w:tcW w:w="2419" w:type="dxa"/>
            <w:tcBorders>
              <w:tl2br w:val="nil"/>
              <w:tr2bl w:val="nil"/>
            </w:tcBorders>
            <w:vAlign w:val="center"/>
          </w:tcPr>
          <w:p w14:paraId="44A2CC07">
            <w:pPr>
              <w:ind w:firstLine="0" w:firstLineChars="0"/>
              <w:jc w:val="left"/>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lang w:eastAsia="zh-CN"/>
                <w14:textFill>
                  <w14:solidFill>
                    <w14:schemeClr w14:val="tx1"/>
                  </w14:solidFill>
                </w14:textFill>
              </w:rPr>
              <w:sym w:font="Wingdings" w:char="00FE"/>
            </w:r>
            <w:r>
              <w:rPr>
                <w:rFonts w:hint="default" w:ascii="Times New Roman" w:hAnsi="Times New Roman" w:eastAsia="新宋体" w:cs="Times New Roman"/>
                <w:color w:val="000000" w:themeColor="text1"/>
                <w:sz w:val="24"/>
                <w:szCs w:val="24"/>
                <w14:textFill>
                  <w14:solidFill>
                    <w14:schemeClr w14:val="tx1"/>
                  </w14:solidFill>
                </w14:textFill>
              </w:rPr>
              <w:t>新建（迁建）</w:t>
            </w:r>
          </w:p>
          <w:p w14:paraId="4788D02F">
            <w:pPr>
              <w:ind w:firstLine="0" w:firstLineChars="0"/>
              <w:jc w:val="left"/>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sym w:font="Wingdings" w:char="00A8"/>
            </w:r>
            <w:r>
              <w:rPr>
                <w:rFonts w:hint="default" w:ascii="Times New Roman" w:hAnsi="Times New Roman" w:eastAsia="新宋体" w:cs="Times New Roman"/>
                <w:color w:val="000000" w:themeColor="text1"/>
                <w:sz w:val="24"/>
                <w:szCs w:val="24"/>
                <w14:textFill>
                  <w14:solidFill>
                    <w14:schemeClr w14:val="tx1"/>
                  </w14:solidFill>
                </w14:textFill>
              </w:rPr>
              <w:t>改建</w:t>
            </w:r>
          </w:p>
          <w:p w14:paraId="0EFB1F68">
            <w:pPr>
              <w:ind w:firstLine="0" w:firstLineChars="0"/>
              <w:jc w:val="left"/>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sym w:font="Wingdings" w:char="00A8"/>
            </w:r>
            <w:r>
              <w:rPr>
                <w:rFonts w:hint="default" w:ascii="Times New Roman" w:hAnsi="Times New Roman" w:eastAsia="新宋体" w:cs="Times New Roman"/>
                <w:color w:val="000000" w:themeColor="text1"/>
                <w:sz w:val="24"/>
                <w:szCs w:val="24"/>
                <w14:textFill>
                  <w14:solidFill>
                    <w14:schemeClr w14:val="tx1"/>
                  </w14:solidFill>
                </w14:textFill>
              </w:rPr>
              <w:t>扩建</w:t>
            </w:r>
          </w:p>
          <w:p w14:paraId="3F6A6DDE">
            <w:pPr>
              <w:ind w:firstLine="0" w:firstLineChars="0"/>
              <w:jc w:val="left"/>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lang w:eastAsia="zh-CN"/>
                <w14:textFill>
                  <w14:solidFill>
                    <w14:schemeClr w14:val="tx1"/>
                  </w14:solidFill>
                </w14:textFill>
              </w:rPr>
              <w:sym w:font="Wingdings" w:char="00A8"/>
            </w:r>
            <w:r>
              <w:rPr>
                <w:rFonts w:hint="default" w:ascii="Times New Roman" w:hAnsi="Times New Roman" w:eastAsia="新宋体" w:cs="Times New Roman"/>
                <w:color w:val="000000" w:themeColor="text1"/>
                <w:sz w:val="24"/>
                <w:szCs w:val="24"/>
                <w14:textFill>
                  <w14:solidFill>
                    <w14:schemeClr w14:val="tx1"/>
                  </w14:solidFill>
                </w14:textFill>
              </w:rPr>
              <w:t>技术改造</w:t>
            </w:r>
          </w:p>
        </w:tc>
        <w:tc>
          <w:tcPr>
            <w:tcW w:w="1710" w:type="dxa"/>
            <w:tcBorders>
              <w:tl2br w:val="nil"/>
              <w:tr2bl w:val="nil"/>
            </w:tcBorders>
            <w:vAlign w:val="center"/>
          </w:tcPr>
          <w:p w14:paraId="763BC290">
            <w:pPr>
              <w:adjustRightInd w:val="0"/>
              <w:snapToGrid w:val="0"/>
              <w:ind w:firstLine="0" w:firstLineChars="0"/>
              <w:jc w:val="center"/>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建设项目</w:t>
            </w:r>
          </w:p>
          <w:p w14:paraId="4D618E11">
            <w:pPr>
              <w:adjustRightInd w:val="0"/>
              <w:snapToGrid w:val="0"/>
              <w:ind w:firstLine="0" w:firstLineChars="0"/>
              <w:jc w:val="center"/>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申报情形</w:t>
            </w:r>
          </w:p>
        </w:tc>
        <w:tc>
          <w:tcPr>
            <w:tcW w:w="2480" w:type="dxa"/>
            <w:tcBorders>
              <w:tl2br w:val="nil"/>
              <w:tr2bl w:val="nil"/>
            </w:tcBorders>
            <w:vAlign w:val="center"/>
          </w:tcPr>
          <w:p w14:paraId="316EBA36">
            <w:pPr>
              <w:ind w:firstLine="0" w:firstLineChars="0"/>
              <w:jc w:val="left"/>
              <w:rPr>
                <w:rFonts w:hint="default" w:ascii="Times New Roman" w:hAnsi="Times New Roman" w:eastAsia="新宋体" w:cs="Times New Roman"/>
                <w:color w:val="000000" w:themeColor="text1"/>
                <w:sz w:val="24"/>
                <w:szCs w:val="24"/>
                <w:lang w:eastAsia="zh-CN"/>
                <w14:textFill>
                  <w14:solidFill>
                    <w14:schemeClr w14:val="tx1"/>
                  </w14:solidFill>
                </w14:textFill>
              </w:rPr>
            </w:pPr>
            <w:r>
              <w:rPr>
                <w:rFonts w:hint="default" w:ascii="Times New Roman" w:hAnsi="Times New Roman" w:eastAsia="新宋体" w:cs="Times New Roman"/>
                <w:color w:val="000000" w:themeColor="text1"/>
                <w:sz w:val="24"/>
                <w:szCs w:val="24"/>
                <w:lang w:eastAsia="zh-CN"/>
                <w14:textFill>
                  <w14:solidFill>
                    <w14:schemeClr w14:val="tx1"/>
                  </w14:solidFill>
                </w14:textFill>
              </w:rPr>
              <w:sym w:font="Wingdings" w:char="00FE"/>
            </w:r>
            <w:r>
              <w:rPr>
                <w:rFonts w:hint="default" w:ascii="Times New Roman" w:hAnsi="Times New Roman" w:eastAsia="新宋体" w:cs="Times New Roman"/>
                <w:color w:val="000000" w:themeColor="text1"/>
                <w:sz w:val="24"/>
                <w:szCs w:val="24"/>
                <w14:textFill>
                  <w14:solidFill>
                    <w14:schemeClr w14:val="tx1"/>
                  </w14:solidFill>
                </w14:textFill>
              </w:rPr>
              <w:t>首次申报项目</w:t>
            </w:r>
          </w:p>
          <w:p w14:paraId="37A21C76">
            <w:pPr>
              <w:ind w:firstLine="0" w:firstLineChars="0"/>
              <w:jc w:val="left"/>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lang w:eastAsia="zh-CN"/>
                <w14:textFill>
                  <w14:solidFill>
                    <w14:schemeClr w14:val="tx1"/>
                  </w14:solidFill>
                </w14:textFill>
              </w:rPr>
              <w:sym w:font="Wingdings" w:char="00A8"/>
            </w:r>
            <w:r>
              <w:rPr>
                <w:rFonts w:hint="default" w:ascii="Times New Roman" w:hAnsi="Times New Roman" w:eastAsia="新宋体" w:cs="Times New Roman"/>
                <w:color w:val="000000" w:themeColor="text1"/>
                <w:sz w:val="24"/>
                <w:szCs w:val="24"/>
                <w14:textFill>
                  <w14:solidFill>
                    <w14:schemeClr w14:val="tx1"/>
                  </w14:solidFill>
                </w14:textFill>
              </w:rPr>
              <w:t>不予批准后再次申报项目</w:t>
            </w:r>
          </w:p>
          <w:p w14:paraId="436AF4A1">
            <w:pPr>
              <w:ind w:firstLine="0" w:firstLineChars="0"/>
              <w:jc w:val="left"/>
              <w:rPr>
                <w:rFonts w:hint="default" w:ascii="Times New Roman" w:hAnsi="Times New Roman" w:eastAsia="新宋体" w:cs="Times New Roman"/>
                <w:color w:val="000000" w:themeColor="text1"/>
                <w:sz w:val="24"/>
                <w:szCs w:val="24"/>
                <w:lang w:eastAsia="zh-CN"/>
                <w14:textFill>
                  <w14:solidFill>
                    <w14:schemeClr w14:val="tx1"/>
                  </w14:solidFill>
                </w14:textFill>
              </w:rPr>
            </w:pPr>
            <w:r>
              <w:rPr>
                <w:rFonts w:hint="default" w:ascii="Times New Roman" w:hAnsi="Times New Roman" w:eastAsia="新宋体" w:cs="Times New Roman"/>
                <w:color w:val="000000" w:themeColor="text1"/>
                <w:sz w:val="24"/>
                <w:szCs w:val="24"/>
                <w:lang w:eastAsia="zh-CN"/>
                <w14:textFill>
                  <w14:solidFill>
                    <w14:schemeClr w14:val="tx1"/>
                  </w14:solidFill>
                </w14:textFill>
              </w:rPr>
              <w:sym w:font="Wingdings" w:char="00A8"/>
            </w:r>
            <w:r>
              <w:rPr>
                <w:rFonts w:hint="default" w:ascii="Times New Roman" w:hAnsi="Times New Roman" w:eastAsia="新宋体" w:cs="Times New Roman"/>
                <w:color w:val="000000" w:themeColor="text1"/>
                <w:sz w:val="24"/>
                <w:szCs w:val="24"/>
                <w14:textFill>
                  <w14:solidFill>
                    <w14:schemeClr w14:val="tx1"/>
                  </w14:solidFill>
                </w14:textFill>
              </w:rPr>
              <w:t>超五年重新审核项目</w:t>
            </w:r>
          </w:p>
          <w:p w14:paraId="418148FA">
            <w:pPr>
              <w:ind w:firstLine="0" w:firstLineChars="0"/>
              <w:jc w:val="left"/>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lang w:eastAsia="zh-CN"/>
                <w14:textFill>
                  <w14:solidFill>
                    <w14:schemeClr w14:val="tx1"/>
                  </w14:solidFill>
                </w14:textFill>
              </w:rPr>
              <w:sym w:font="Wingdings" w:char="00A8"/>
            </w:r>
            <w:r>
              <w:rPr>
                <w:rFonts w:hint="default" w:ascii="Times New Roman" w:hAnsi="Times New Roman" w:eastAsia="新宋体" w:cs="Times New Roman"/>
                <w:color w:val="000000" w:themeColor="text1"/>
                <w:sz w:val="24"/>
                <w:szCs w:val="24"/>
                <w14:textFill>
                  <w14:solidFill>
                    <w14:schemeClr w14:val="tx1"/>
                  </w14:solidFill>
                </w14:textFill>
              </w:rPr>
              <w:t>重大变动重新报批项目</w:t>
            </w:r>
          </w:p>
        </w:tc>
      </w:tr>
      <w:tr w14:paraId="3092A4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851" w:hRule="atLeast"/>
          <w:jc w:val="center"/>
        </w:trPr>
        <w:tc>
          <w:tcPr>
            <w:tcW w:w="1728" w:type="dxa"/>
            <w:tcBorders>
              <w:tl2br w:val="nil"/>
              <w:tr2bl w:val="nil"/>
            </w:tcBorders>
            <w:tcMar>
              <w:top w:w="16" w:type="dxa"/>
              <w:left w:w="16" w:type="dxa"/>
              <w:right w:w="16" w:type="dxa"/>
            </w:tcMar>
            <w:vAlign w:val="center"/>
          </w:tcPr>
          <w:p w14:paraId="04ECCABE">
            <w:pPr>
              <w:adjustRightInd w:val="0"/>
              <w:snapToGrid w:val="0"/>
              <w:ind w:firstLine="0" w:firstLineChars="0"/>
              <w:jc w:val="center"/>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项目审批（核准/</w:t>
            </w:r>
          </w:p>
          <w:p w14:paraId="320D50E8">
            <w:pPr>
              <w:adjustRightInd w:val="0"/>
              <w:snapToGrid w:val="0"/>
              <w:ind w:firstLine="0" w:firstLineChars="0"/>
              <w:jc w:val="center"/>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备案）部门（选填）</w:t>
            </w:r>
          </w:p>
        </w:tc>
        <w:tc>
          <w:tcPr>
            <w:tcW w:w="2419" w:type="dxa"/>
            <w:tcBorders>
              <w:tl2br w:val="nil"/>
              <w:tr2bl w:val="nil"/>
            </w:tcBorders>
            <w:vAlign w:val="center"/>
          </w:tcPr>
          <w:p w14:paraId="10FEAA60">
            <w:pPr>
              <w:adjustRightInd w:val="0"/>
              <w:snapToGrid w:val="0"/>
              <w:ind w:firstLine="0" w:firstLineChars="0"/>
              <w:jc w:val="center"/>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eastAsia" w:eastAsia="新宋体" w:cs="Times New Roman"/>
                <w:color w:val="000000" w:themeColor="text1"/>
                <w:sz w:val="24"/>
                <w:szCs w:val="24"/>
                <w:lang w:val="en-US" w:eastAsia="zh-CN"/>
                <w14:textFill>
                  <w14:solidFill>
                    <w14:schemeClr w14:val="tx1"/>
                  </w14:solidFill>
                </w14:textFill>
              </w:rPr>
              <w:t>/</w:t>
            </w:r>
          </w:p>
        </w:tc>
        <w:tc>
          <w:tcPr>
            <w:tcW w:w="1710" w:type="dxa"/>
            <w:tcBorders>
              <w:tl2br w:val="nil"/>
              <w:tr2bl w:val="nil"/>
            </w:tcBorders>
            <w:vAlign w:val="center"/>
          </w:tcPr>
          <w:p w14:paraId="151CF1FA">
            <w:pPr>
              <w:adjustRightInd w:val="0"/>
              <w:snapToGrid w:val="0"/>
              <w:ind w:firstLine="0" w:firstLineChars="0"/>
              <w:jc w:val="center"/>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项目审批（核准/</w:t>
            </w:r>
          </w:p>
          <w:p w14:paraId="55D5C2C8">
            <w:pPr>
              <w:adjustRightInd w:val="0"/>
              <w:snapToGrid w:val="0"/>
              <w:ind w:firstLine="0" w:firstLineChars="0"/>
              <w:jc w:val="center"/>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备案）文号（选填）</w:t>
            </w:r>
          </w:p>
        </w:tc>
        <w:tc>
          <w:tcPr>
            <w:tcW w:w="2480" w:type="dxa"/>
            <w:tcBorders>
              <w:tl2br w:val="nil"/>
              <w:tr2bl w:val="nil"/>
            </w:tcBorders>
            <w:vAlign w:val="center"/>
          </w:tcPr>
          <w:p w14:paraId="5E7E092B">
            <w:pPr>
              <w:adjustRightInd w:val="0"/>
              <w:snapToGrid w:val="0"/>
              <w:ind w:firstLine="0" w:firstLineChars="0"/>
              <w:jc w:val="center"/>
              <w:rPr>
                <w:rFonts w:hint="default" w:ascii="Times New Roman" w:hAnsi="Times New Roman" w:eastAsia="新宋体" w:cs="Times New Roman"/>
                <w:color w:val="000000" w:themeColor="text1"/>
                <w:sz w:val="24"/>
                <w:szCs w:val="24"/>
                <w:lang w:eastAsia="zh-CN"/>
                <w14:textFill>
                  <w14:solidFill>
                    <w14:schemeClr w14:val="tx1"/>
                  </w14:solidFill>
                </w14:textFill>
              </w:rPr>
            </w:pPr>
            <w:r>
              <w:rPr>
                <w:rFonts w:hint="eastAsia" w:eastAsia="新宋体" w:cs="Times New Roman"/>
                <w:color w:val="000000" w:themeColor="text1"/>
                <w:sz w:val="24"/>
                <w:szCs w:val="24"/>
                <w:lang w:val="en-US" w:eastAsia="zh-CN"/>
                <w14:textFill>
                  <w14:solidFill>
                    <w14:schemeClr w14:val="tx1"/>
                  </w14:solidFill>
                </w14:textFill>
              </w:rPr>
              <w:t>/</w:t>
            </w:r>
          </w:p>
        </w:tc>
      </w:tr>
      <w:tr w14:paraId="7587B2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728" w:type="dxa"/>
            <w:tcBorders>
              <w:tl2br w:val="nil"/>
              <w:tr2bl w:val="nil"/>
            </w:tcBorders>
            <w:tcMar>
              <w:top w:w="16" w:type="dxa"/>
              <w:left w:w="16" w:type="dxa"/>
              <w:right w:w="16" w:type="dxa"/>
            </w:tcMar>
            <w:vAlign w:val="center"/>
          </w:tcPr>
          <w:p w14:paraId="61BC2D3E">
            <w:pPr>
              <w:adjustRightInd w:val="0"/>
              <w:snapToGrid w:val="0"/>
              <w:ind w:firstLine="0" w:firstLineChars="0"/>
              <w:jc w:val="center"/>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总投资（万元）</w:t>
            </w:r>
          </w:p>
        </w:tc>
        <w:tc>
          <w:tcPr>
            <w:tcW w:w="2419" w:type="dxa"/>
            <w:tcBorders>
              <w:tl2br w:val="nil"/>
              <w:tr2bl w:val="nil"/>
            </w:tcBorders>
            <w:vAlign w:val="center"/>
          </w:tcPr>
          <w:p w14:paraId="72AF2F87">
            <w:pPr>
              <w:adjustRightInd w:val="0"/>
              <w:snapToGrid w:val="0"/>
              <w:ind w:firstLine="0" w:firstLineChars="0"/>
              <w:jc w:val="center"/>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eastAsia" w:eastAsia="新宋体" w:cs="Times New Roman"/>
                <w:color w:val="000000" w:themeColor="text1"/>
                <w:sz w:val="24"/>
                <w:szCs w:val="24"/>
                <w:lang w:val="en-US" w:eastAsia="zh-CN"/>
                <w14:textFill>
                  <w14:solidFill>
                    <w14:schemeClr w14:val="tx1"/>
                  </w14:solidFill>
                </w14:textFill>
              </w:rPr>
              <w:t>100</w:t>
            </w:r>
          </w:p>
        </w:tc>
        <w:tc>
          <w:tcPr>
            <w:tcW w:w="1710" w:type="dxa"/>
            <w:tcBorders>
              <w:tl2br w:val="nil"/>
              <w:tr2bl w:val="nil"/>
            </w:tcBorders>
            <w:tcMar>
              <w:top w:w="16" w:type="dxa"/>
              <w:left w:w="16" w:type="dxa"/>
              <w:right w:w="16" w:type="dxa"/>
            </w:tcMar>
            <w:vAlign w:val="center"/>
          </w:tcPr>
          <w:p w14:paraId="09C745C6">
            <w:pPr>
              <w:adjustRightInd w:val="0"/>
              <w:snapToGrid w:val="0"/>
              <w:ind w:firstLine="0" w:firstLineChars="0"/>
              <w:jc w:val="center"/>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环保投资（万元）</w:t>
            </w:r>
          </w:p>
        </w:tc>
        <w:tc>
          <w:tcPr>
            <w:tcW w:w="2480" w:type="dxa"/>
            <w:tcBorders>
              <w:tl2br w:val="nil"/>
              <w:tr2bl w:val="nil"/>
            </w:tcBorders>
            <w:vAlign w:val="center"/>
          </w:tcPr>
          <w:p w14:paraId="6F54CD42">
            <w:pPr>
              <w:adjustRightInd w:val="0"/>
              <w:snapToGrid w:val="0"/>
              <w:ind w:firstLine="0" w:firstLineChars="0"/>
              <w:jc w:val="center"/>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eastAsia" w:eastAsia="新宋体" w:cs="Times New Roman"/>
                <w:color w:val="000000" w:themeColor="text1"/>
                <w:sz w:val="24"/>
                <w:szCs w:val="24"/>
                <w:lang w:val="en-US" w:eastAsia="zh-CN"/>
                <w14:textFill>
                  <w14:solidFill>
                    <w14:schemeClr w14:val="tx1"/>
                  </w14:solidFill>
                </w14:textFill>
              </w:rPr>
              <w:t>20.5</w:t>
            </w:r>
          </w:p>
        </w:tc>
      </w:tr>
      <w:tr w14:paraId="61C437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728" w:type="dxa"/>
            <w:tcBorders>
              <w:tl2br w:val="nil"/>
              <w:tr2bl w:val="nil"/>
            </w:tcBorders>
            <w:tcMar>
              <w:top w:w="16" w:type="dxa"/>
              <w:left w:w="16" w:type="dxa"/>
              <w:right w:w="16" w:type="dxa"/>
            </w:tcMar>
            <w:vAlign w:val="center"/>
          </w:tcPr>
          <w:p w14:paraId="4ED9BE3D">
            <w:pPr>
              <w:adjustRightInd w:val="0"/>
              <w:snapToGrid w:val="0"/>
              <w:ind w:firstLine="0" w:firstLineChars="0"/>
              <w:jc w:val="center"/>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环保投资占比（%）</w:t>
            </w:r>
          </w:p>
        </w:tc>
        <w:tc>
          <w:tcPr>
            <w:tcW w:w="2419" w:type="dxa"/>
            <w:tcBorders>
              <w:tl2br w:val="nil"/>
              <w:tr2bl w:val="nil"/>
            </w:tcBorders>
            <w:vAlign w:val="center"/>
          </w:tcPr>
          <w:p w14:paraId="2DED2633">
            <w:pPr>
              <w:adjustRightInd w:val="0"/>
              <w:snapToGrid w:val="0"/>
              <w:ind w:firstLine="0" w:firstLineChars="0"/>
              <w:jc w:val="center"/>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eastAsia" w:eastAsia="新宋体" w:cs="Times New Roman"/>
                <w:color w:val="000000" w:themeColor="text1"/>
                <w:sz w:val="24"/>
                <w:szCs w:val="24"/>
                <w:lang w:val="en-US" w:eastAsia="zh-CN"/>
                <w14:textFill>
                  <w14:solidFill>
                    <w14:schemeClr w14:val="tx1"/>
                  </w14:solidFill>
                </w14:textFill>
              </w:rPr>
              <w:t>20.5</w:t>
            </w:r>
          </w:p>
        </w:tc>
        <w:tc>
          <w:tcPr>
            <w:tcW w:w="1710" w:type="dxa"/>
            <w:tcBorders>
              <w:tl2br w:val="nil"/>
              <w:tr2bl w:val="nil"/>
            </w:tcBorders>
            <w:tcMar>
              <w:top w:w="16" w:type="dxa"/>
              <w:left w:w="16" w:type="dxa"/>
              <w:right w:w="16" w:type="dxa"/>
            </w:tcMar>
            <w:vAlign w:val="center"/>
          </w:tcPr>
          <w:p w14:paraId="68C06F01">
            <w:pPr>
              <w:adjustRightInd w:val="0"/>
              <w:snapToGrid w:val="0"/>
              <w:ind w:firstLine="0" w:firstLineChars="0"/>
              <w:jc w:val="center"/>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施工工期</w:t>
            </w:r>
          </w:p>
        </w:tc>
        <w:tc>
          <w:tcPr>
            <w:tcW w:w="2480" w:type="dxa"/>
            <w:tcBorders>
              <w:tl2br w:val="nil"/>
              <w:tr2bl w:val="nil"/>
            </w:tcBorders>
            <w:vAlign w:val="center"/>
          </w:tcPr>
          <w:p w14:paraId="622EC932">
            <w:pPr>
              <w:adjustRightInd w:val="0"/>
              <w:snapToGrid w:val="0"/>
              <w:ind w:firstLine="0" w:firstLineChars="0"/>
              <w:jc w:val="center"/>
              <w:rPr>
                <w:rFonts w:hint="default" w:ascii="Times New Roman" w:hAnsi="Times New Roman" w:eastAsia="新宋体" w:cs="Times New Roman"/>
                <w:color w:val="000000" w:themeColor="text1"/>
                <w:sz w:val="24"/>
                <w:szCs w:val="24"/>
                <w14:textFill>
                  <w14:solidFill>
                    <w14:schemeClr w14:val="tx1"/>
                  </w14:solidFill>
                </w14:textFill>
              </w:rPr>
            </w:pPr>
            <w:r>
              <w:rPr>
                <w:rFonts w:hint="eastAsia" w:eastAsia="新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新宋体" w:cs="Times New Roman"/>
                <w:color w:val="000000" w:themeColor="text1"/>
                <w:sz w:val="24"/>
                <w:szCs w:val="24"/>
                <w14:textFill>
                  <w14:solidFill>
                    <w14:schemeClr w14:val="tx1"/>
                  </w14:solidFill>
                </w14:textFill>
              </w:rPr>
              <w:t>个月</w:t>
            </w:r>
          </w:p>
        </w:tc>
      </w:tr>
      <w:tr w14:paraId="49BC23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728" w:type="dxa"/>
            <w:tcBorders>
              <w:tl2br w:val="nil"/>
              <w:tr2bl w:val="nil"/>
            </w:tcBorders>
            <w:tcMar>
              <w:top w:w="16" w:type="dxa"/>
              <w:left w:w="16" w:type="dxa"/>
              <w:right w:w="16" w:type="dxa"/>
            </w:tcMar>
            <w:vAlign w:val="center"/>
          </w:tcPr>
          <w:p w14:paraId="22B2315C">
            <w:pPr>
              <w:adjustRightInd w:val="0"/>
              <w:snapToGrid w:val="0"/>
              <w:ind w:firstLine="0" w:firstLineChars="0"/>
              <w:jc w:val="center"/>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是否开工建设</w:t>
            </w:r>
          </w:p>
        </w:tc>
        <w:tc>
          <w:tcPr>
            <w:tcW w:w="2419" w:type="dxa"/>
            <w:tcBorders>
              <w:tl2br w:val="nil"/>
              <w:tr2bl w:val="nil"/>
            </w:tcBorders>
            <w:vAlign w:val="center"/>
          </w:tcPr>
          <w:p w14:paraId="07169A02">
            <w:pPr>
              <w:adjustRightInd w:val="0"/>
              <w:snapToGrid w:val="0"/>
              <w:ind w:firstLine="0" w:firstLineChars="0"/>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lang w:eastAsia="zh-CN"/>
                <w14:textFill>
                  <w14:solidFill>
                    <w14:schemeClr w14:val="tx1"/>
                  </w14:solidFill>
                </w14:textFill>
              </w:rPr>
              <w:sym w:font="Wingdings" w:char="00A8"/>
            </w:r>
            <w:r>
              <w:rPr>
                <w:rFonts w:hint="default" w:ascii="Times New Roman" w:hAnsi="Times New Roman" w:eastAsia="新宋体" w:cs="Times New Roman"/>
                <w:color w:val="000000" w:themeColor="text1"/>
                <w:sz w:val="24"/>
                <w:szCs w:val="24"/>
                <w14:textFill>
                  <w14:solidFill>
                    <w14:schemeClr w14:val="tx1"/>
                  </w14:solidFill>
                </w14:textFill>
              </w:rPr>
              <w:t>否</w:t>
            </w:r>
          </w:p>
          <w:p w14:paraId="183E83DA">
            <w:pPr>
              <w:adjustRightInd w:val="0"/>
              <w:snapToGrid w:val="0"/>
              <w:ind w:firstLine="0" w:firstLineChars="0"/>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4"/>
                <w:lang w:eastAsia="zh-CN"/>
                <w14:textFill>
                  <w14:solidFill>
                    <w14:schemeClr w14:val="tx1"/>
                  </w14:solidFill>
                </w14:textFill>
              </w:rPr>
              <w:sym w:font="Wingdings" w:char="00FE"/>
            </w:r>
            <w:r>
              <w:rPr>
                <w:rFonts w:hint="default" w:ascii="Times New Roman" w:hAnsi="Times New Roman" w:eastAsia="新宋体" w:cs="Times New Roman"/>
                <w:color w:val="000000" w:themeColor="text1"/>
                <w:sz w:val="24"/>
                <w:szCs w:val="24"/>
                <w14:textFill>
                  <w14:solidFill>
                    <w14:schemeClr w14:val="tx1"/>
                  </w14:solidFill>
                </w14:textFill>
              </w:rPr>
              <w:t>是</w:t>
            </w:r>
            <w:r>
              <w:rPr>
                <w:rFonts w:hint="default" w:ascii="Times New Roman" w:hAnsi="Times New Roman" w:eastAsia="新宋体" w:cs="Times New Roman"/>
                <w:color w:val="000000" w:themeColor="text1"/>
                <w:sz w:val="24"/>
                <w:szCs w:val="24"/>
                <w:u w:val="single"/>
                <w14:textFill>
                  <w14:solidFill>
                    <w14:schemeClr w14:val="tx1"/>
                  </w14:solidFill>
                </w14:textFill>
              </w:rPr>
              <w:t>：</w:t>
            </w:r>
            <w:r>
              <w:rPr>
                <w:rFonts w:hint="eastAsia" w:eastAsia="新宋体" w:cs="Times New Roman"/>
                <w:color w:val="000000" w:themeColor="text1"/>
                <w:sz w:val="24"/>
                <w:szCs w:val="24"/>
                <w:u w:val="single"/>
                <w:lang w:val="en-US" w:eastAsia="zh-CN"/>
                <w14:textFill>
                  <w14:solidFill>
                    <w14:schemeClr w14:val="tx1"/>
                  </w14:solidFill>
                </w14:textFill>
              </w:rPr>
              <w:t>本项目2010年已建成并营运，现已停产补做环评。核对《关于建设项目“未批先建”违法行为法律适用问题的意见》（环政法函〔2018〕31 号）相关内容，项目已超过“未批先建”追诉期，不进行未批先建处罚。</w:t>
            </w:r>
          </w:p>
        </w:tc>
        <w:tc>
          <w:tcPr>
            <w:tcW w:w="1710" w:type="dxa"/>
            <w:tcBorders>
              <w:tl2br w:val="nil"/>
              <w:tr2bl w:val="nil"/>
            </w:tcBorders>
            <w:tcMar>
              <w:top w:w="16" w:type="dxa"/>
              <w:left w:w="16" w:type="dxa"/>
              <w:right w:w="16" w:type="dxa"/>
            </w:tcMar>
            <w:vAlign w:val="center"/>
          </w:tcPr>
          <w:p w14:paraId="43545083">
            <w:pPr>
              <w:adjustRightInd w:val="0"/>
              <w:snapToGrid w:val="0"/>
              <w:ind w:firstLine="0" w:firstLineChars="0"/>
              <w:jc w:val="center"/>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pacing w:val="-6"/>
                <w:sz w:val="24"/>
                <w:szCs w:val="24"/>
                <w14:textFill>
                  <w14:solidFill>
                    <w14:schemeClr w14:val="tx1"/>
                  </w14:solidFill>
                </w14:textFill>
              </w:rPr>
              <w:t>用地（用海）面积（m</w:t>
            </w:r>
            <w:r>
              <w:rPr>
                <w:rFonts w:hint="default" w:ascii="Times New Roman" w:hAnsi="Times New Roman" w:eastAsia="新宋体" w:cs="Times New Roman"/>
                <w:color w:val="000000" w:themeColor="text1"/>
                <w:spacing w:val="-6"/>
                <w:sz w:val="24"/>
                <w:szCs w:val="24"/>
                <w:vertAlign w:val="superscript"/>
                <w14:textFill>
                  <w14:solidFill>
                    <w14:schemeClr w14:val="tx1"/>
                  </w14:solidFill>
                </w14:textFill>
              </w:rPr>
              <w:t>2</w:t>
            </w:r>
            <w:r>
              <w:rPr>
                <w:rFonts w:hint="default" w:ascii="Times New Roman" w:hAnsi="Times New Roman" w:eastAsia="新宋体" w:cs="Times New Roman"/>
                <w:color w:val="000000" w:themeColor="text1"/>
                <w:spacing w:val="-6"/>
                <w:sz w:val="24"/>
                <w:szCs w:val="24"/>
                <w14:textFill>
                  <w14:solidFill>
                    <w14:schemeClr w14:val="tx1"/>
                  </w14:solidFill>
                </w14:textFill>
              </w:rPr>
              <w:t>）</w:t>
            </w:r>
          </w:p>
        </w:tc>
        <w:tc>
          <w:tcPr>
            <w:tcW w:w="2480" w:type="dxa"/>
            <w:tcBorders>
              <w:tl2br w:val="nil"/>
              <w:tr2bl w:val="nil"/>
            </w:tcBorders>
            <w:vAlign w:val="center"/>
          </w:tcPr>
          <w:p w14:paraId="02F66E6D">
            <w:pPr>
              <w:adjustRightInd w:val="0"/>
              <w:snapToGrid w:val="0"/>
              <w:ind w:firstLine="0" w:firstLineChars="0"/>
              <w:jc w:val="center"/>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eastAsia" w:eastAsia="新宋体" w:cs="Times New Roman"/>
                <w:color w:val="000000" w:themeColor="text1"/>
                <w:sz w:val="24"/>
                <w:szCs w:val="24"/>
                <w:lang w:val="en-US" w:eastAsia="zh-CN"/>
                <w14:textFill>
                  <w14:solidFill>
                    <w14:schemeClr w14:val="tx1"/>
                  </w14:solidFill>
                </w14:textFill>
              </w:rPr>
              <w:t>29077.12</w:t>
            </w:r>
          </w:p>
        </w:tc>
      </w:tr>
      <w:tr w14:paraId="1DBCB1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9" w:hRule="atLeast"/>
          <w:jc w:val="center"/>
        </w:trPr>
        <w:tc>
          <w:tcPr>
            <w:tcW w:w="1728" w:type="dxa"/>
            <w:tcBorders>
              <w:tl2br w:val="nil"/>
              <w:tr2bl w:val="nil"/>
            </w:tcBorders>
            <w:vAlign w:val="center"/>
          </w:tcPr>
          <w:p w14:paraId="5C69CC5C">
            <w:pPr>
              <w:autoSpaceDE w:val="0"/>
              <w:autoSpaceDN w:val="0"/>
              <w:adjustRightInd w:val="0"/>
              <w:snapToGrid w:val="0"/>
              <w:ind w:firstLine="0" w:firstLineChars="0"/>
              <w:jc w:val="center"/>
              <w:rPr>
                <w:rFonts w:hint="default" w:ascii="Times New Roman" w:hAnsi="Times New Roman" w:eastAsia="新宋体" w:cs="Times New Roman"/>
                <w:color w:val="000000" w:themeColor="text1"/>
                <w:kern w:val="0"/>
                <w:sz w:val="24"/>
                <w:szCs w:val="24"/>
                <w14:textFill>
                  <w14:solidFill>
                    <w14:schemeClr w14:val="tx1"/>
                  </w14:solidFill>
                </w14:textFill>
              </w:rPr>
            </w:pPr>
            <w:r>
              <w:rPr>
                <w:rFonts w:hint="default" w:ascii="Times New Roman" w:hAnsi="Times New Roman" w:eastAsia="新宋体" w:cs="Times New Roman"/>
                <w:color w:val="000000" w:themeColor="text1"/>
                <w:kern w:val="0"/>
                <w:sz w:val="24"/>
                <w:szCs w:val="24"/>
                <w14:textFill>
                  <w14:solidFill>
                    <w14:schemeClr w14:val="tx1"/>
                  </w14:solidFill>
                </w14:textFill>
              </w:rPr>
              <w:t>专项评价设置情况</w:t>
            </w:r>
          </w:p>
        </w:tc>
        <w:tc>
          <w:tcPr>
            <w:tcW w:w="6609" w:type="dxa"/>
            <w:gridSpan w:val="3"/>
            <w:tcBorders>
              <w:tl2br w:val="nil"/>
              <w:tr2bl w:val="nil"/>
            </w:tcBorders>
            <w:vAlign w:val="center"/>
          </w:tcPr>
          <w:p w14:paraId="548337FF">
            <w:pPr>
              <w:pStyle w:val="65"/>
              <w:spacing w:line="360" w:lineRule="auto"/>
              <w:ind w:firstLine="480" w:firstLineChars="200"/>
              <w:jc w:val="both"/>
              <w:rPr>
                <w:rFonts w:hint="eastAsia" w:ascii="Times New Roman" w:hAnsi="Times New Roman" w:eastAsia="新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新宋体" w:cs="Times New Roman"/>
                <w:color w:val="000000" w:themeColor="text1"/>
                <w:sz w:val="24"/>
                <w:szCs w:val="24"/>
                <w:highlight w:val="none"/>
                <w14:textFill>
                  <w14:solidFill>
                    <w14:schemeClr w14:val="tx1"/>
                  </w14:solidFill>
                </w14:textFill>
              </w:rPr>
              <w:t>根据《建设项目环境影响报告表编制技术指南（试行）》表</w:t>
            </w:r>
            <w:r>
              <w:rPr>
                <w:rFonts w:hint="default" w:ascii="Times New Roman" w:hAnsi="Times New Roman" w:eastAsia="新宋体" w:cs="Times New Roman"/>
                <w:color w:val="000000" w:themeColor="text1"/>
                <w:sz w:val="24"/>
                <w:szCs w:val="24"/>
                <w:highlight w:val="none"/>
                <w:lang w:val="en-US"/>
                <w14:textFill>
                  <w14:solidFill>
                    <w14:schemeClr w14:val="tx1"/>
                  </w14:solidFill>
                </w14:textFill>
              </w:rPr>
              <w:t>1专项评价设置原则表</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新宋体" w:cs="Times New Roman"/>
                <w:color w:val="000000" w:themeColor="text1"/>
                <w:sz w:val="24"/>
                <w:szCs w:val="24"/>
                <w:highlight w:val="none"/>
                <w:lang w:val="en-US"/>
                <w14:textFill>
                  <w14:solidFill>
                    <w14:schemeClr w14:val="tx1"/>
                  </w14:solidFill>
                </w14:textFill>
              </w:rPr>
              <w:t>本项目不需做专项评价</w:t>
            </w:r>
            <w:r>
              <w:rPr>
                <w:rFonts w:hint="eastAsia" w:eastAsia="新宋体" w:cs="Times New Roman"/>
                <w:color w:val="000000" w:themeColor="text1"/>
                <w:sz w:val="24"/>
                <w:szCs w:val="24"/>
                <w:highlight w:val="none"/>
                <w:lang w:val="en-US" w:eastAsia="zh-CN"/>
                <w14:textFill>
                  <w14:solidFill>
                    <w14:schemeClr w14:val="tx1"/>
                  </w14:solidFill>
                </w14:textFill>
              </w:rPr>
              <w:t>。</w:t>
            </w:r>
          </w:p>
        </w:tc>
      </w:tr>
      <w:tr w14:paraId="1BDE93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1728" w:type="dxa"/>
            <w:tcBorders>
              <w:tl2br w:val="nil"/>
              <w:tr2bl w:val="nil"/>
            </w:tcBorders>
            <w:vAlign w:val="center"/>
          </w:tcPr>
          <w:p w14:paraId="5A5DB63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新宋体" w:cs="Times New Roman"/>
                <w:color w:val="000000" w:themeColor="text1"/>
                <w:kern w:val="0"/>
                <w:sz w:val="24"/>
                <w:szCs w:val="24"/>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规划情况</w:t>
            </w:r>
          </w:p>
        </w:tc>
        <w:tc>
          <w:tcPr>
            <w:tcW w:w="6609" w:type="dxa"/>
            <w:gridSpan w:val="3"/>
            <w:tcBorders>
              <w:tl2br w:val="nil"/>
              <w:tr2bl w:val="nil"/>
            </w:tcBorders>
            <w:vAlign w:val="center"/>
          </w:tcPr>
          <w:p w14:paraId="3F75D1EA">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jc w:val="both"/>
              <w:textAlignment w:val="auto"/>
              <w:rPr>
                <w:rFonts w:hint="eastAsia" w:eastAsia="新宋体" w:cs="Times New Roman"/>
                <w:color w:val="000000" w:themeColor="text1"/>
                <w:kern w:val="0"/>
                <w:sz w:val="24"/>
                <w:szCs w:val="24"/>
                <w:lang w:val="en-US" w:eastAsia="zh-CN" w:bidi="ar-SA"/>
                <w14:textFill>
                  <w14:solidFill>
                    <w14:schemeClr w14:val="tx1"/>
                  </w14:solidFill>
                </w14:textFill>
              </w:rPr>
            </w:pPr>
            <w:r>
              <w:rPr>
                <w:rFonts w:hint="eastAsia" w:eastAsia="新宋体" w:cs="Times New Roman"/>
                <w:color w:val="000000" w:themeColor="text1"/>
                <w:kern w:val="0"/>
                <w:sz w:val="24"/>
                <w:szCs w:val="24"/>
                <w:lang w:val="en-US" w:eastAsia="zh-CN" w:bidi="ar-SA"/>
                <w14:textFill>
                  <w14:solidFill>
                    <w14:schemeClr w14:val="tx1"/>
                  </w14:solidFill>
                </w14:textFill>
              </w:rPr>
              <w:t>规划名称：《和硕县国土空间总体规划（2021—2035年）》；</w:t>
            </w:r>
          </w:p>
          <w:p w14:paraId="3654DAEF">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jc w:val="both"/>
              <w:textAlignment w:val="auto"/>
              <w:rPr>
                <w:rFonts w:hint="eastAsia" w:eastAsia="新宋体" w:cs="Times New Roman"/>
                <w:color w:val="000000" w:themeColor="text1"/>
                <w:kern w:val="0"/>
                <w:sz w:val="24"/>
                <w:szCs w:val="24"/>
                <w:lang w:val="en-US" w:eastAsia="zh-CN" w:bidi="ar-SA"/>
                <w14:textFill>
                  <w14:solidFill>
                    <w14:schemeClr w14:val="tx1"/>
                  </w14:solidFill>
                </w14:textFill>
              </w:rPr>
            </w:pPr>
            <w:r>
              <w:rPr>
                <w:rFonts w:hint="eastAsia" w:eastAsia="新宋体" w:cs="Times New Roman"/>
                <w:color w:val="000000" w:themeColor="text1"/>
                <w:kern w:val="0"/>
                <w:sz w:val="24"/>
                <w:szCs w:val="24"/>
                <w:lang w:val="en-US" w:eastAsia="zh-CN" w:bidi="ar-SA"/>
                <w14:textFill>
                  <w14:solidFill>
                    <w14:schemeClr w14:val="tx1"/>
                  </w14:solidFill>
                </w14:textFill>
              </w:rPr>
              <w:t>审批机关：</w:t>
            </w:r>
            <w:r>
              <w:rPr>
                <w:rFonts w:hint="default" w:ascii="Times New Roman" w:hAnsi="Times New Roman" w:eastAsia="新宋体" w:cs="Times New Roman"/>
                <w:color w:val="000000" w:themeColor="text1"/>
                <w:kern w:val="0"/>
                <w:sz w:val="24"/>
                <w:szCs w:val="24"/>
                <w:lang w:val="en-US" w:eastAsia="zh-CN" w:bidi="ar-SA"/>
                <w14:textFill>
                  <w14:solidFill>
                    <w14:schemeClr w14:val="tx1"/>
                  </w14:solidFill>
                </w14:textFill>
              </w:rPr>
              <w:t>巴音郭楞蒙古自治州人民政府</w:t>
            </w:r>
            <w:r>
              <w:rPr>
                <w:rFonts w:hint="eastAsia" w:eastAsia="新宋体" w:cs="Times New Roman"/>
                <w:color w:val="000000" w:themeColor="text1"/>
                <w:kern w:val="0"/>
                <w:sz w:val="24"/>
                <w:szCs w:val="24"/>
                <w:lang w:val="en-US" w:eastAsia="zh-CN" w:bidi="ar-SA"/>
                <w14:textFill>
                  <w14:solidFill>
                    <w14:schemeClr w14:val="tx1"/>
                  </w14:solidFill>
                </w14:textFill>
              </w:rPr>
              <w:t>；</w:t>
            </w:r>
          </w:p>
          <w:p w14:paraId="3EF9D34F">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jc w:val="both"/>
              <w:textAlignment w:val="auto"/>
              <w:rPr>
                <w:rFonts w:hint="default" w:ascii="Times New Roman" w:hAnsi="Times New Roman" w:eastAsia="新宋体" w:cs="Times New Roman"/>
                <w:color w:val="000000" w:themeColor="text1"/>
                <w:kern w:val="0"/>
                <w:sz w:val="24"/>
                <w:szCs w:val="24"/>
                <w:lang w:val="en-US" w:eastAsia="zh-CN" w:bidi="ar-SA"/>
                <w14:textFill>
                  <w14:solidFill>
                    <w14:schemeClr w14:val="tx1"/>
                  </w14:solidFill>
                </w14:textFill>
              </w:rPr>
            </w:pPr>
            <w:r>
              <w:rPr>
                <w:rFonts w:hint="eastAsia" w:eastAsia="新宋体" w:cs="Times New Roman"/>
                <w:color w:val="000000" w:themeColor="text1"/>
                <w:kern w:val="0"/>
                <w:sz w:val="24"/>
                <w:szCs w:val="24"/>
                <w:lang w:val="en-US" w:eastAsia="zh-CN" w:bidi="ar-SA"/>
                <w14:textFill>
                  <w14:solidFill>
                    <w14:schemeClr w14:val="tx1"/>
                  </w14:solidFill>
                </w14:textFill>
              </w:rPr>
              <w:t>审批文号及时间：巴政函〔2024〕113号，2024年6月28日。</w:t>
            </w:r>
          </w:p>
        </w:tc>
      </w:tr>
      <w:tr w14:paraId="717D09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1728" w:type="dxa"/>
            <w:tcBorders>
              <w:tl2br w:val="nil"/>
              <w:tr2bl w:val="nil"/>
            </w:tcBorders>
            <w:vAlign w:val="center"/>
          </w:tcPr>
          <w:p w14:paraId="6494142A">
            <w:pPr>
              <w:adjustRightInd w:val="0"/>
              <w:snapToGrid w:val="0"/>
              <w:ind w:firstLine="0" w:firstLineChars="0"/>
              <w:jc w:val="center"/>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规划环境影响</w:t>
            </w:r>
          </w:p>
          <w:p w14:paraId="508C40C7">
            <w:pPr>
              <w:adjustRightInd w:val="0"/>
              <w:snapToGrid w:val="0"/>
              <w:ind w:firstLine="0" w:firstLineChars="0"/>
              <w:jc w:val="center"/>
              <w:rPr>
                <w:rFonts w:hint="default" w:ascii="Times New Roman" w:hAnsi="Times New Roman" w:eastAsia="新宋体" w:cs="Times New Roman"/>
                <w:color w:val="000000" w:themeColor="text1"/>
                <w:kern w:val="0"/>
                <w:sz w:val="24"/>
                <w:szCs w:val="24"/>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评价情况</w:t>
            </w:r>
          </w:p>
        </w:tc>
        <w:tc>
          <w:tcPr>
            <w:tcW w:w="6609" w:type="dxa"/>
            <w:gridSpan w:val="3"/>
            <w:tcBorders>
              <w:tl2br w:val="nil"/>
              <w:tr2bl w:val="nil"/>
            </w:tcBorders>
            <w:vAlign w:val="center"/>
          </w:tcPr>
          <w:p w14:paraId="0A0FB3FC">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jc w:val="both"/>
              <w:textAlignment w:val="auto"/>
              <w:rPr>
                <w:rFonts w:hint="default" w:ascii="Times New Roman" w:hAnsi="Times New Roman" w:eastAsia="新宋体" w:cs="Times New Roman"/>
                <w:color w:val="000000" w:themeColor="text1"/>
                <w:kern w:val="0"/>
                <w:sz w:val="24"/>
                <w:szCs w:val="24"/>
                <w:lang w:val="en-US" w:eastAsia="zh-CN" w:bidi="ar-SA"/>
                <w14:textFill>
                  <w14:solidFill>
                    <w14:schemeClr w14:val="tx1"/>
                  </w14:solidFill>
                </w14:textFill>
              </w:rPr>
            </w:pPr>
            <w:r>
              <w:rPr>
                <w:rFonts w:hint="eastAsia" w:eastAsia="新宋体" w:cs="Times New Roman"/>
                <w:color w:val="000000" w:themeColor="text1"/>
                <w:kern w:val="0"/>
                <w:sz w:val="24"/>
                <w:szCs w:val="24"/>
                <w:lang w:val="en-US" w:eastAsia="zh-CN" w:bidi="ar-SA"/>
                <w14:textFill>
                  <w14:solidFill>
                    <w14:schemeClr w14:val="tx1"/>
                  </w14:solidFill>
                </w14:textFill>
              </w:rPr>
              <w:t>无。</w:t>
            </w:r>
          </w:p>
        </w:tc>
      </w:tr>
      <w:tr w14:paraId="584281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45" w:hRule="atLeast"/>
          <w:jc w:val="center"/>
        </w:trPr>
        <w:tc>
          <w:tcPr>
            <w:tcW w:w="1728" w:type="dxa"/>
            <w:tcBorders>
              <w:tl2br w:val="nil"/>
              <w:tr2bl w:val="nil"/>
            </w:tcBorders>
            <w:vAlign w:val="center"/>
          </w:tcPr>
          <w:p w14:paraId="6F52140C">
            <w:pPr>
              <w:autoSpaceDE w:val="0"/>
              <w:autoSpaceDN w:val="0"/>
              <w:adjustRightInd w:val="0"/>
              <w:snapToGrid w:val="0"/>
              <w:ind w:firstLine="0" w:firstLineChars="0"/>
              <w:jc w:val="center"/>
              <w:rPr>
                <w:rFonts w:hint="default" w:ascii="Times New Roman" w:hAnsi="Times New Roman" w:eastAsia="新宋体" w:cs="Times New Roman"/>
                <w:color w:val="000000" w:themeColor="text1"/>
                <w:kern w:val="0"/>
                <w:sz w:val="21"/>
                <w:szCs w:val="21"/>
                <w14:textFill>
                  <w14:solidFill>
                    <w14:schemeClr w14:val="tx1"/>
                  </w14:solidFill>
                </w14:textFill>
              </w:rPr>
            </w:pPr>
            <w:r>
              <w:rPr>
                <w:rFonts w:hint="default" w:ascii="Times New Roman" w:hAnsi="Times New Roman" w:eastAsia="新宋体" w:cs="Times New Roman"/>
                <w:color w:val="000000" w:themeColor="text1"/>
                <w:kern w:val="0"/>
                <w:sz w:val="21"/>
                <w:szCs w:val="21"/>
                <w14:textFill>
                  <w14:solidFill>
                    <w14:schemeClr w14:val="tx1"/>
                  </w14:solidFill>
                </w14:textFill>
              </w:rPr>
              <w:t>规划及规划环境影响评价符合性分析</w:t>
            </w:r>
          </w:p>
        </w:tc>
        <w:tc>
          <w:tcPr>
            <w:tcW w:w="6609" w:type="dxa"/>
            <w:gridSpan w:val="3"/>
            <w:tcBorders>
              <w:tl2br w:val="nil"/>
              <w:tr2bl w:val="nil"/>
            </w:tcBorders>
            <w:vAlign w:val="center"/>
          </w:tcPr>
          <w:p w14:paraId="0CCAAC60">
            <w:pPr>
              <w:autoSpaceDE w:val="0"/>
              <w:autoSpaceDN w:val="0"/>
              <w:adjustRightInd w:val="0"/>
              <w:snapToGrid w:val="0"/>
              <w:spacing w:line="360" w:lineRule="auto"/>
              <w:ind w:left="0" w:leftChars="0" w:firstLine="482" w:firstLineChars="200"/>
              <w:jc w:val="left"/>
              <w:rPr>
                <w:rFonts w:hint="eastAsia" w:eastAsia="新宋体" w:cs="Times New Roman"/>
                <w:color w:val="000000" w:themeColor="text1"/>
                <w:sz w:val="21"/>
                <w:szCs w:val="21"/>
                <w:lang w:val="en-US" w:eastAsia="zh-CN"/>
                <w14:textFill>
                  <w14:solidFill>
                    <w14:schemeClr w14:val="tx1"/>
                  </w14:solidFill>
                </w14:textFill>
              </w:rPr>
            </w:pPr>
            <w:r>
              <w:rPr>
                <w:rFonts w:hint="eastAsia" w:eastAsia="新宋体" w:cs="Times New Roman"/>
                <w:b/>
                <w:bCs/>
                <w:color w:val="000000" w:themeColor="text1"/>
                <w:sz w:val="24"/>
                <w:szCs w:val="24"/>
                <w:lang w:val="en-US" w:eastAsia="zh-CN"/>
                <w14:textFill>
                  <w14:solidFill>
                    <w14:schemeClr w14:val="tx1"/>
                  </w14:solidFill>
                </w14:textFill>
              </w:rPr>
              <w:t>1、与</w:t>
            </w:r>
            <w:r>
              <w:rPr>
                <w:rFonts w:hint="eastAsia" w:eastAsia="新宋体" w:cs="Times New Roman"/>
                <w:b/>
                <w:bCs/>
                <w:color w:val="000000" w:themeColor="text1"/>
                <w:kern w:val="0"/>
                <w:sz w:val="24"/>
                <w:szCs w:val="24"/>
                <w:lang w:val="en-US" w:eastAsia="zh-CN" w:bidi="ar-SA"/>
                <w14:textFill>
                  <w14:solidFill>
                    <w14:schemeClr w14:val="tx1"/>
                  </w14:solidFill>
                </w14:textFill>
              </w:rPr>
              <w:t>《和硕县国土空间总体规划（2021—2035年）》符合性分析</w:t>
            </w:r>
          </w:p>
          <w:p w14:paraId="6CAF94C3">
            <w:pPr>
              <w:autoSpaceDE w:val="0"/>
              <w:autoSpaceDN w:val="0"/>
              <w:adjustRightInd w:val="0"/>
              <w:snapToGrid w:val="0"/>
              <w:spacing w:line="360" w:lineRule="auto"/>
              <w:ind w:left="0" w:leftChars="0" w:firstLine="480" w:firstLineChars="200"/>
              <w:jc w:val="left"/>
              <w:rPr>
                <w:rFonts w:hint="default" w:eastAsia="新宋体" w:cs="Times New Roman"/>
                <w:color w:val="000000" w:themeColor="text1"/>
                <w:sz w:val="24"/>
                <w:szCs w:val="24"/>
                <w:lang w:val="en-US" w:eastAsia="zh-CN"/>
                <w14:textFill>
                  <w14:solidFill>
                    <w14:schemeClr w14:val="tx1"/>
                  </w14:solidFill>
                </w14:textFill>
              </w:rPr>
            </w:pPr>
            <w:r>
              <w:rPr>
                <w:rFonts w:hint="eastAsia" w:eastAsia="新宋体" w:cs="Times New Roman"/>
                <w:color w:val="000000" w:themeColor="text1"/>
                <w:sz w:val="24"/>
                <w:szCs w:val="24"/>
                <w:lang w:val="en-US" w:eastAsia="zh-CN"/>
                <w14:textFill>
                  <w14:solidFill>
                    <w14:schemeClr w14:val="tx1"/>
                  </w14:solidFill>
                </w14:textFill>
              </w:rPr>
              <w:t>根据《和硕县国土空间总体规划（2021-2035年）》发展方向、规划分区、空间结构等规划内容：规划采取“北拓、西优、东跨、南限”的空间发展方向。构建“三纵四横，五心串五区”的城区空间新格局。三纵是清水河路城市发展轴、滨河生态景观轴、现代工业发展轴。四横是水磨街城镇发展轴、金沙滩路城镇发展轴、文化西街城镇发展轴、团结路城镇发展轴。五心是五个主要功能节点，包括丝路红城驿站中心、综合服务中心、文化活力中心、产业发展中心和产城融合中心。五区是五大功能分区，包括丝路红城驿站区、现代综合服务区、文化活力区、现代工业示范区和产城融合先行区。</w:t>
            </w:r>
          </w:p>
          <w:p w14:paraId="7F7D6159">
            <w:pPr>
              <w:autoSpaceDE w:val="0"/>
              <w:autoSpaceDN w:val="0"/>
              <w:adjustRightInd w:val="0"/>
              <w:snapToGrid w:val="0"/>
              <w:spacing w:line="360" w:lineRule="auto"/>
              <w:ind w:left="0" w:leftChars="0" w:firstLine="480" w:firstLineChars="200"/>
              <w:jc w:val="left"/>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4"/>
                <w:szCs w:val="24"/>
                <w:lang w:val="en-US" w:eastAsia="zh-CN"/>
                <w14:textFill>
                  <w14:solidFill>
                    <w14:schemeClr w14:val="tx1"/>
                  </w14:solidFill>
                </w14:textFill>
              </w:rPr>
              <w:t>本项目选址位于和硕县城北部拓展区（现代工业发展轴、水磨街城镇发展轴、现代综合服务区），用地类型为工业用地，依据和硕县自然资源局2024年5月30日出具的《关于“和硕县建司预制厂生产项目”用地和规划说明》明确本项目建设内容及发展规划符合规划内容（见附件4）。</w:t>
            </w:r>
          </w:p>
        </w:tc>
      </w:tr>
      <w:tr w14:paraId="766BD9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82" w:hRule="atLeast"/>
          <w:jc w:val="center"/>
        </w:trPr>
        <w:tc>
          <w:tcPr>
            <w:tcW w:w="1728" w:type="dxa"/>
            <w:tcBorders>
              <w:tl2br w:val="nil"/>
              <w:tr2bl w:val="nil"/>
            </w:tcBorders>
            <w:vAlign w:val="center"/>
          </w:tcPr>
          <w:p w14:paraId="2FBB401E">
            <w:pPr>
              <w:autoSpaceDE w:val="0"/>
              <w:autoSpaceDN w:val="0"/>
              <w:adjustRightInd w:val="0"/>
              <w:snapToGrid w:val="0"/>
              <w:ind w:firstLine="0" w:firstLineChars="0"/>
              <w:jc w:val="center"/>
              <w:rPr>
                <w:rFonts w:hint="default" w:ascii="Times New Roman" w:hAnsi="Times New Roman" w:eastAsia="新宋体" w:cs="Times New Roman"/>
                <w:color w:val="000000" w:themeColor="text1"/>
                <w:kern w:val="0"/>
                <w14:textFill>
                  <w14:solidFill>
                    <w14:schemeClr w14:val="tx1"/>
                  </w14:solidFill>
                </w14:textFill>
              </w:rPr>
            </w:pPr>
            <w:r>
              <w:rPr>
                <w:rFonts w:hint="default" w:ascii="Times New Roman" w:hAnsi="Times New Roman" w:eastAsia="新宋体" w:cs="Times New Roman"/>
                <w:color w:val="000000" w:themeColor="text1"/>
                <w:szCs w:val="32"/>
                <w14:textFill>
                  <w14:solidFill>
                    <w14:schemeClr w14:val="tx1"/>
                  </w14:solidFill>
                </w14:textFill>
              </w:rPr>
              <w:t>其他符合性分析</w:t>
            </w:r>
          </w:p>
        </w:tc>
        <w:tc>
          <w:tcPr>
            <w:tcW w:w="6609" w:type="dxa"/>
            <w:gridSpan w:val="3"/>
            <w:tcBorders>
              <w:tl2br w:val="nil"/>
              <w:tr2bl w:val="nil"/>
            </w:tcBorders>
            <w:vAlign w:val="center"/>
          </w:tcPr>
          <w:p w14:paraId="58069EF4">
            <w:pPr>
              <w:spacing w:line="360" w:lineRule="auto"/>
              <w:ind w:firstLine="482" w:firstLineChars="200"/>
              <w:rPr>
                <w:rFonts w:hint="default" w:ascii="Times New Roman" w:hAnsi="Times New Roman" w:eastAsia="新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新宋体" w:cs="Times New Roman"/>
                <w:b/>
                <w:bCs/>
                <w:color w:val="000000" w:themeColor="text1"/>
                <w:sz w:val="24"/>
                <w:highlight w:val="none"/>
                <w:lang w:val="en-US"/>
                <w14:textFill>
                  <w14:solidFill>
                    <w14:schemeClr w14:val="tx1"/>
                  </w14:solidFill>
                </w14:textFill>
              </w:rPr>
              <w:t>1、</w:t>
            </w:r>
            <w:r>
              <w:rPr>
                <w:rFonts w:hint="default" w:ascii="Times New Roman" w:hAnsi="Times New Roman" w:eastAsia="新宋体" w:cs="Times New Roman"/>
                <w:b/>
                <w:bCs/>
                <w:color w:val="000000" w:themeColor="text1"/>
                <w:sz w:val="24"/>
                <w:highlight w:val="none"/>
                <w14:textFill>
                  <w14:solidFill>
                    <w14:schemeClr w14:val="tx1"/>
                  </w14:solidFill>
                </w14:textFill>
              </w:rPr>
              <w:t>产业政策符合性</w:t>
            </w:r>
            <w:r>
              <w:rPr>
                <w:rFonts w:hint="default" w:ascii="Times New Roman" w:hAnsi="Times New Roman" w:eastAsia="新宋体" w:cs="Times New Roman"/>
                <w:b/>
                <w:bCs/>
                <w:color w:val="000000" w:themeColor="text1"/>
                <w:sz w:val="24"/>
                <w:highlight w:val="none"/>
                <w:lang w:val="en-US" w:eastAsia="zh-CN"/>
                <w14:textFill>
                  <w14:solidFill>
                    <w14:schemeClr w14:val="tx1"/>
                  </w14:solidFill>
                </w14:textFill>
              </w:rPr>
              <w:t>分析</w:t>
            </w:r>
          </w:p>
          <w:p w14:paraId="659B3FF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新宋体" w:cs="Times New Roman"/>
                <w:b w:val="0"/>
                <w:bCs w:val="0"/>
                <w:color w:val="000000" w:themeColor="text1"/>
                <w:kern w:val="2"/>
                <w:sz w:val="24"/>
                <w:szCs w:val="24"/>
                <w:highlight w:val="none"/>
                <w:lang w:val="en-US" w:eastAsia="zh-CN" w:bidi="ar"/>
                <w14:textFill>
                  <w14:solidFill>
                    <w14:schemeClr w14:val="tx1"/>
                  </w14:solidFill>
                </w14:textFill>
              </w:rPr>
            </w:pP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根据《产业结构调整指导目录（20</w:t>
            </w:r>
            <w:r>
              <w:rPr>
                <w:rFonts w:hint="eastAsia" w:eastAsia="新宋体" w:cs="Times New Roman"/>
                <w:color w:val="000000" w:themeColor="text1"/>
                <w:sz w:val="24"/>
                <w:szCs w:val="24"/>
                <w:highlight w:val="none"/>
                <w:lang w:val="en-US" w:eastAsia="zh-CN"/>
                <w14:textFill>
                  <w14:solidFill>
                    <w14:schemeClr w14:val="tx1"/>
                  </w14:solidFill>
                </w14:textFill>
              </w:rPr>
              <w:t>24</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年本）》，本项目不属于“鼓励类”“淘汰类”“</w:t>
            </w:r>
            <w:r>
              <w:rPr>
                <w:rFonts w:hint="eastAsia" w:eastAsia="新宋体" w:cs="Times New Roman"/>
                <w:color w:val="000000" w:themeColor="text1"/>
                <w:sz w:val="24"/>
                <w:szCs w:val="24"/>
                <w:highlight w:val="none"/>
                <w:lang w:val="en-US" w:eastAsia="zh-CN"/>
                <w14:textFill>
                  <w14:solidFill>
                    <w14:schemeClr w14:val="tx1"/>
                  </w14:solidFill>
                </w14:textFill>
              </w:rPr>
              <w:t>限制</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类”</w:t>
            </w:r>
            <w:r>
              <w:rPr>
                <w:rFonts w:hint="default" w:ascii="Times New Roman" w:hAnsi="Times New Roman" w:eastAsia="新宋体" w:cs="Times New Roman"/>
                <w:b w:val="0"/>
                <w:bCs w:val="0"/>
                <w:color w:val="000000" w:themeColor="text1"/>
                <w:kern w:val="2"/>
                <w:sz w:val="24"/>
                <w:szCs w:val="24"/>
                <w:highlight w:val="none"/>
                <w:lang w:val="en-US" w:eastAsia="zh-CN" w:bidi="ar"/>
                <w14:textFill>
                  <w14:solidFill>
                    <w14:schemeClr w14:val="tx1"/>
                  </w14:solidFill>
                </w14:textFill>
              </w:rPr>
              <w:t>，为</w:t>
            </w:r>
            <w:r>
              <w:rPr>
                <w:rFonts w:hint="eastAsia" w:eastAsia="新宋体" w:cs="Times New Roman"/>
                <w:b w:val="0"/>
                <w:bCs w:val="0"/>
                <w:color w:val="000000" w:themeColor="text1"/>
                <w:kern w:val="2"/>
                <w:sz w:val="24"/>
                <w:szCs w:val="24"/>
                <w:highlight w:val="none"/>
                <w:lang w:val="en-US" w:eastAsia="zh-CN" w:bidi="ar"/>
                <w14:textFill>
                  <w14:solidFill>
                    <w14:schemeClr w14:val="tx1"/>
                  </w14:solidFill>
                </w14:textFill>
              </w:rPr>
              <w:t>允许</w:t>
            </w:r>
            <w:r>
              <w:rPr>
                <w:rFonts w:hint="default" w:ascii="Times New Roman" w:hAnsi="Times New Roman" w:eastAsia="新宋体" w:cs="Times New Roman"/>
                <w:b w:val="0"/>
                <w:bCs w:val="0"/>
                <w:color w:val="000000" w:themeColor="text1"/>
                <w:kern w:val="2"/>
                <w:sz w:val="24"/>
                <w:szCs w:val="24"/>
                <w:highlight w:val="none"/>
                <w:lang w:val="en-US" w:eastAsia="zh-CN" w:bidi="ar"/>
                <w14:textFill>
                  <w14:solidFill>
                    <w14:schemeClr w14:val="tx1"/>
                  </w14:solidFill>
                </w14:textFill>
              </w:rPr>
              <w:t>类项目；</w:t>
            </w:r>
          </w:p>
          <w:p w14:paraId="43CE657C">
            <w:pPr>
              <w:ind w:firstLine="480"/>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新宋体" w:cs="Times New Roman"/>
                <w:b w:val="0"/>
                <w:bCs w:val="0"/>
                <w:color w:val="000000" w:themeColor="text1"/>
                <w:kern w:val="2"/>
                <w:sz w:val="24"/>
                <w:szCs w:val="24"/>
                <w:highlight w:val="none"/>
                <w:lang w:val="en-US" w:eastAsia="zh-CN" w:bidi="ar"/>
                <w14:textFill>
                  <w14:solidFill>
                    <w14:schemeClr w14:val="tx1"/>
                  </w14:solidFill>
                </w14:textFill>
              </w:rPr>
              <w:t>根据《市场准入负面清单（2022年版）》发改体改规〔2022〕397号内容，</w:t>
            </w:r>
            <w:r>
              <w:rPr>
                <w:rFonts w:hint="default" w:ascii="Times New Roman" w:hAnsi="Times New Roman" w:eastAsia="新宋体" w:cs="Times New Roman"/>
                <w:color w:val="000000" w:themeColor="text1"/>
                <w:sz w:val="24"/>
                <w:szCs w:val="24"/>
                <w:highlight w:val="none"/>
                <w14:textFill>
                  <w14:solidFill>
                    <w14:schemeClr w14:val="tx1"/>
                  </w14:solidFill>
                </w14:textFill>
              </w:rPr>
              <w:t>本项目</w:t>
            </w: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不属于禁止准入类，</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符合要求。</w:t>
            </w:r>
          </w:p>
          <w:p w14:paraId="55255982">
            <w:pPr>
              <w:ind w:firstLine="480"/>
              <w:rPr>
                <w:rFonts w:hint="default" w:ascii="Times New Roman" w:hAnsi="Times New Roman" w:eastAsia="新宋体" w:cs="Times New Roman"/>
                <w:b w:val="0"/>
                <w:bCs w:val="0"/>
                <w:color w:val="000000" w:themeColor="text1"/>
                <w:kern w:val="2"/>
                <w:sz w:val="24"/>
                <w:szCs w:val="24"/>
                <w:highlight w:val="none"/>
                <w:lang w:val="en-US" w:eastAsia="zh-CN" w:bidi="ar"/>
                <w14:textFill>
                  <w14:solidFill>
                    <w14:schemeClr w14:val="tx1"/>
                  </w14:solidFill>
                </w14:textFill>
              </w:rPr>
            </w:pPr>
            <w:r>
              <w:rPr>
                <w:rFonts w:hint="default" w:ascii="Times New Roman" w:hAnsi="Times New Roman" w:eastAsia="新宋体" w:cs="Times New Roman"/>
                <w:b w:val="0"/>
                <w:bCs w:val="0"/>
                <w:color w:val="000000" w:themeColor="text1"/>
                <w:kern w:val="2"/>
                <w:sz w:val="24"/>
                <w:szCs w:val="24"/>
                <w:highlight w:val="none"/>
                <w:lang w:val="en-US" w:eastAsia="zh-CN" w:bidi="ar"/>
                <w14:textFill>
                  <w14:solidFill>
                    <w14:schemeClr w14:val="tx1"/>
                  </w14:solidFill>
                </w14:textFill>
              </w:rPr>
              <w:t>同时，本项目所用设备也不在工业和信息化部</w:t>
            </w:r>
            <w:r>
              <w:rPr>
                <w:rFonts w:hint="eastAsia" w:eastAsia="新宋体" w:cs="Times New Roman"/>
                <w:b w:val="0"/>
                <w:bCs w:val="0"/>
                <w:color w:val="000000" w:themeColor="text1"/>
                <w:kern w:val="2"/>
                <w:sz w:val="24"/>
                <w:szCs w:val="24"/>
                <w:highlight w:val="none"/>
                <w:lang w:val="en-US" w:eastAsia="zh-CN" w:bidi="ar"/>
                <w14:textFill>
                  <w14:solidFill>
                    <w14:schemeClr w14:val="tx1"/>
                  </w14:solidFill>
                </w14:textFill>
              </w:rPr>
              <w:t>工业〔2010〕122号</w:t>
            </w:r>
            <w:r>
              <w:rPr>
                <w:rFonts w:hint="default" w:ascii="Times New Roman" w:hAnsi="Times New Roman" w:eastAsia="新宋体" w:cs="Times New Roman"/>
                <w:b w:val="0"/>
                <w:bCs w:val="0"/>
                <w:color w:val="000000" w:themeColor="text1"/>
                <w:kern w:val="2"/>
                <w:sz w:val="24"/>
                <w:szCs w:val="24"/>
                <w:highlight w:val="none"/>
                <w:lang w:val="en-US" w:eastAsia="zh-CN" w:bidi="ar"/>
                <w14:textFill>
                  <w14:solidFill>
                    <w14:schemeClr w14:val="tx1"/>
                  </w14:solidFill>
                </w14:textFill>
              </w:rPr>
              <w:t>《部分行业淘汰落后生产工艺装备和产品指导目录（2010年本）》及《“高污染、高环境风险”产品名录》。</w:t>
            </w:r>
          </w:p>
          <w:p w14:paraId="24C5493A">
            <w:pPr>
              <w:ind w:firstLine="480"/>
              <w:rPr>
                <w:rFonts w:hint="default" w:ascii="Times New Roman" w:hAnsi="Times New Roman" w:eastAsia="新宋体" w:cs="Times New Roman"/>
                <w:color w:val="000000" w:themeColor="text1"/>
                <w14:textFill>
                  <w14:solidFill>
                    <w14:schemeClr w14:val="tx1"/>
                  </w14:solidFill>
                </w14:textFill>
              </w:rPr>
            </w:pPr>
            <w:r>
              <w:rPr>
                <w:rFonts w:hint="default" w:ascii="Times New Roman" w:hAnsi="Times New Roman" w:eastAsia="新宋体" w:cs="Times New Roman"/>
                <w:b w:val="0"/>
                <w:bCs w:val="0"/>
                <w:color w:val="000000" w:themeColor="text1"/>
                <w:kern w:val="2"/>
                <w:sz w:val="24"/>
                <w:szCs w:val="24"/>
                <w:highlight w:val="none"/>
                <w:lang w:val="en-US" w:eastAsia="zh-CN" w:bidi="ar"/>
                <w14:textFill>
                  <w14:solidFill>
                    <w14:schemeClr w14:val="tx1"/>
                  </w14:solidFill>
                </w14:textFill>
              </w:rPr>
              <w:t>因此项目的建设内容符合当前国家和地方的产业政策。</w:t>
            </w:r>
          </w:p>
          <w:p w14:paraId="0F796644">
            <w:pPr>
              <w:ind w:firstLine="482"/>
              <w:rPr>
                <w:rFonts w:hint="default" w:ascii="Times New Roman" w:hAnsi="Times New Roman" w:eastAsia="新宋体" w:cs="Times New Roman"/>
                <w:b/>
                <w:bCs/>
                <w:color w:val="000000" w:themeColor="text1"/>
                <w:kern w:val="0"/>
                <w14:textFill>
                  <w14:solidFill>
                    <w14:schemeClr w14:val="tx1"/>
                  </w14:solidFill>
                </w14:textFill>
              </w:rPr>
            </w:pPr>
            <w:r>
              <w:rPr>
                <w:rFonts w:hint="eastAsia" w:eastAsia="新宋体" w:cs="Times New Roman"/>
                <w:b/>
                <w:bCs/>
                <w:color w:val="000000" w:themeColor="text1"/>
                <w:lang w:val="en-US" w:eastAsia="zh-CN"/>
                <w14:textFill>
                  <w14:solidFill>
                    <w14:schemeClr w14:val="tx1"/>
                  </w14:solidFill>
                </w14:textFill>
              </w:rPr>
              <w:t>2</w:t>
            </w:r>
            <w:r>
              <w:rPr>
                <w:rFonts w:hint="default" w:ascii="Times New Roman" w:hAnsi="Times New Roman" w:eastAsia="新宋体" w:cs="Times New Roman"/>
                <w:b/>
                <w:bCs/>
                <w:color w:val="000000" w:themeColor="text1"/>
                <w:lang w:eastAsia="zh-CN"/>
                <w14:textFill>
                  <w14:solidFill>
                    <w14:schemeClr w14:val="tx1"/>
                  </w14:solidFill>
                </w14:textFill>
              </w:rPr>
              <w:t>、</w:t>
            </w:r>
            <w:r>
              <w:rPr>
                <w:rFonts w:hint="default" w:ascii="Times New Roman" w:hAnsi="Times New Roman" w:eastAsia="新宋体" w:cs="Times New Roman"/>
                <w:b/>
                <w:bCs/>
                <w:color w:val="000000" w:themeColor="text1"/>
                <w:kern w:val="0"/>
                <w14:textFill>
                  <w14:solidFill>
                    <w14:schemeClr w14:val="tx1"/>
                  </w14:solidFill>
                </w14:textFill>
              </w:rPr>
              <w:t>项目选址合理性分析</w:t>
            </w:r>
          </w:p>
          <w:p w14:paraId="0590CE8C">
            <w:pPr>
              <w:autoSpaceDE w:val="0"/>
              <w:autoSpaceDN w:val="0"/>
              <w:adjustRightInd w:val="0"/>
              <w:snapToGrid w:val="0"/>
              <w:ind w:firstLine="480"/>
              <w:rPr>
                <w:rFonts w:hint="default" w:ascii="Times New Roman" w:hAnsi="Times New Roman" w:eastAsia="新宋体" w:cs="Times New Roman"/>
                <w:color w:val="000000" w:themeColor="text1"/>
                <w:lang w:val="en-US" w:eastAsia="zh-CN"/>
                <w14:textFill>
                  <w14:solidFill>
                    <w14:schemeClr w14:val="tx1"/>
                  </w14:solidFill>
                </w14:textFill>
              </w:rPr>
            </w:pPr>
            <w:r>
              <w:rPr>
                <w:rFonts w:hint="eastAsia" w:eastAsia="新宋体" w:cs="Times New Roman"/>
                <w:color w:val="000000" w:themeColor="text1"/>
                <w:lang w:val="en-US" w:eastAsia="zh-CN"/>
                <w14:textFill>
                  <w14:solidFill>
                    <w14:schemeClr w14:val="tx1"/>
                  </w14:solidFill>
                </w14:textFill>
              </w:rPr>
              <w:t>项目选址位于和硕县城北边界，厂区南侧相邻水磨街，北侧703m为G3012吐和高速，周边交通便利，且周边相邻生产企业和未利用空地，相对居民集中居住区较远，环境敏感度低。</w:t>
            </w:r>
          </w:p>
          <w:p w14:paraId="02D86187">
            <w:pPr>
              <w:autoSpaceDE w:val="0"/>
              <w:autoSpaceDN w:val="0"/>
              <w:adjustRightInd w:val="0"/>
              <w:snapToGrid w:val="0"/>
              <w:ind w:firstLine="480"/>
              <w:rPr>
                <w:rFonts w:hint="default" w:ascii="Times New Roman" w:hAnsi="Times New Roman" w:eastAsia="新宋体" w:cs="Times New Roman"/>
                <w:color w:val="000000" w:themeColor="text1"/>
                <w14:textFill>
                  <w14:solidFill>
                    <w14:schemeClr w14:val="tx1"/>
                  </w14:solidFill>
                </w14:textFill>
              </w:rPr>
            </w:pPr>
            <w:r>
              <w:rPr>
                <w:rFonts w:hint="eastAsia" w:eastAsia="新宋体" w:cs="Times New Roman"/>
                <w:color w:val="000000" w:themeColor="text1"/>
                <w:lang w:val="en-US" w:eastAsia="zh-CN"/>
                <w14:textFill>
                  <w14:solidFill>
                    <w14:schemeClr w14:val="tx1"/>
                  </w14:solidFill>
                </w14:textFill>
              </w:rPr>
              <w:t>评价区内无自然保护区、风景名胜区、世界自然文化遗产地、饮用水源保护区等其他敏感目标，</w:t>
            </w:r>
            <w:r>
              <w:rPr>
                <w:rFonts w:hint="default" w:ascii="Times New Roman" w:hAnsi="Times New Roman" w:eastAsia="新宋体" w:cs="Times New Roman"/>
                <w:color w:val="000000" w:themeColor="text1"/>
                <w14:textFill>
                  <w14:solidFill>
                    <w14:schemeClr w14:val="tx1"/>
                  </w14:solidFill>
                </w14:textFill>
              </w:rPr>
              <w:t>用地不属于限制类和禁止类。</w:t>
            </w:r>
            <w:r>
              <w:rPr>
                <w:rFonts w:hint="default" w:ascii="Times New Roman" w:hAnsi="Times New Roman" w:eastAsia="新宋体" w:cs="Times New Roman"/>
                <w:color w:val="000000" w:themeColor="text1"/>
                <w:lang w:val="en-US" w:eastAsia="zh-CN"/>
                <w14:textFill>
                  <w14:solidFill>
                    <w14:schemeClr w14:val="tx1"/>
                  </w14:solidFill>
                </w14:textFill>
              </w:rPr>
              <w:t>项目用地类型为</w:t>
            </w:r>
            <w:r>
              <w:rPr>
                <w:rFonts w:hint="eastAsia" w:eastAsia="新宋体" w:cs="Times New Roman"/>
                <w:color w:val="000000" w:themeColor="text1"/>
                <w:lang w:val="en-US" w:eastAsia="zh-CN"/>
                <w14:textFill>
                  <w14:solidFill>
                    <w14:schemeClr w14:val="tx1"/>
                  </w14:solidFill>
                </w14:textFill>
              </w:rPr>
              <w:t>工业用地</w:t>
            </w:r>
            <w:r>
              <w:rPr>
                <w:rFonts w:hint="default" w:ascii="Times New Roman" w:hAnsi="Times New Roman" w:eastAsia="新宋体" w:cs="Times New Roman"/>
                <w:color w:val="000000" w:themeColor="text1"/>
                <w14:textFill>
                  <w14:solidFill>
                    <w14:schemeClr w14:val="tx1"/>
                  </w14:solidFill>
                </w14:textFill>
              </w:rPr>
              <w:t>（</w:t>
            </w:r>
            <w:r>
              <w:rPr>
                <w:rFonts w:hint="default" w:ascii="Times New Roman" w:hAnsi="Times New Roman" w:eastAsia="新宋体" w:cs="Times New Roman"/>
                <w:color w:val="000000" w:themeColor="text1"/>
                <w:lang w:val="en-US" w:eastAsia="zh-CN"/>
                <w14:textFill>
                  <w14:solidFill>
                    <w14:schemeClr w14:val="tx1"/>
                  </w14:solidFill>
                </w14:textFill>
              </w:rPr>
              <w:t>用地手续详见附件2</w:t>
            </w:r>
            <w:r>
              <w:rPr>
                <w:rFonts w:hint="default" w:ascii="Times New Roman" w:hAnsi="Times New Roman" w:eastAsia="新宋体" w:cs="Times New Roman"/>
                <w:color w:val="000000" w:themeColor="text1"/>
                <w14:textFill>
                  <w14:solidFill>
                    <w14:schemeClr w14:val="tx1"/>
                  </w14:solidFill>
                </w14:textFill>
              </w:rPr>
              <w:t>），</w:t>
            </w:r>
            <w:r>
              <w:rPr>
                <w:rFonts w:hint="default" w:ascii="Times New Roman" w:hAnsi="Times New Roman" w:eastAsia="新宋体" w:cs="Times New Roman"/>
                <w:color w:val="000000" w:themeColor="text1"/>
                <w:lang w:val="en-US" w:eastAsia="zh-CN"/>
                <w14:textFill>
                  <w14:solidFill>
                    <w14:schemeClr w14:val="tx1"/>
                  </w14:solidFill>
                </w14:textFill>
              </w:rPr>
              <w:t>项目运营过程中产生的生活废水、废气、噪声及固废等</w:t>
            </w:r>
            <w:r>
              <w:rPr>
                <w:rFonts w:hint="default" w:ascii="Times New Roman" w:hAnsi="Times New Roman" w:eastAsia="新宋体" w:cs="Times New Roman"/>
                <w:color w:val="000000" w:themeColor="text1"/>
                <w14:textFill>
                  <w14:solidFill>
                    <w14:schemeClr w14:val="tx1"/>
                  </w14:solidFill>
                </w14:textFill>
              </w:rPr>
              <w:t>污染，经采取相应的污染防治措施后，各项污染物均可达标排放，故选址合理。</w:t>
            </w:r>
          </w:p>
          <w:p w14:paraId="47E15EC8">
            <w:pPr>
              <w:ind w:firstLine="482"/>
              <w:rPr>
                <w:rFonts w:hint="default" w:ascii="Times New Roman" w:hAnsi="Times New Roman" w:eastAsia="新宋体" w:cs="Times New Roman"/>
                <w:b/>
                <w:color w:val="000000" w:themeColor="text1"/>
                <w:kern w:val="0"/>
                <w:szCs w:val="20"/>
                <w:lang w:val="en-US" w:eastAsia="zh-CN"/>
                <w14:textFill>
                  <w14:solidFill>
                    <w14:schemeClr w14:val="tx1"/>
                  </w14:solidFill>
                </w14:textFill>
              </w:rPr>
            </w:pPr>
            <w:r>
              <w:rPr>
                <w:rFonts w:hint="eastAsia" w:eastAsia="新宋体" w:cs="Times New Roman"/>
                <w:b/>
                <w:color w:val="000000" w:themeColor="text1"/>
                <w:kern w:val="0"/>
                <w:szCs w:val="20"/>
                <w:lang w:val="en-US" w:eastAsia="zh-CN"/>
                <w14:textFill>
                  <w14:solidFill>
                    <w14:schemeClr w14:val="tx1"/>
                  </w14:solidFill>
                </w14:textFill>
              </w:rPr>
              <w:t>3</w:t>
            </w:r>
            <w:r>
              <w:rPr>
                <w:rFonts w:hint="default" w:ascii="Times New Roman" w:hAnsi="Times New Roman" w:eastAsia="新宋体" w:cs="Times New Roman"/>
                <w:b/>
                <w:color w:val="000000" w:themeColor="text1"/>
                <w:kern w:val="0"/>
                <w:szCs w:val="20"/>
                <w:lang w:val="en-US" w:eastAsia="zh-CN"/>
                <w14:textFill>
                  <w14:solidFill>
                    <w14:schemeClr w14:val="tx1"/>
                  </w14:solidFill>
                </w14:textFill>
              </w:rPr>
              <w:t>、与相关政策法规符合性分析</w:t>
            </w:r>
          </w:p>
          <w:p w14:paraId="20AE7155">
            <w:pPr>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w:t>
            </w:r>
            <w:r>
              <w:rPr>
                <w:rFonts w:hint="eastAsia" w:cs="Times New Roman"/>
                <w:b/>
                <w:bCs/>
                <w:color w:val="000000" w:themeColor="text1"/>
                <w:sz w:val="21"/>
                <w:szCs w:val="21"/>
                <w:highlight w:val="none"/>
                <w:lang w:val="en-US" w:eastAsia="zh-CN"/>
                <w14:textFill>
                  <w14:solidFill>
                    <w14:schemeClr w14:val="tx1"/>
                  </w14:solidFill>
                </w14:textFill>
              </w:rPr>
              <w:t xml:space="preserve">1-1 </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环境管理政策相符性分析</w:t>
            </w:r>
          </w:p>
          <w:tbl>
            <w:tblPr>
              <w:tblStyle w:val="28"/>
              <w:tblW w:w="4995"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8"/>
              <w:gridCol w:w="2712"/>
              <w:gridCol w:w="2599"/>
              <w:gridCol w:w="428"/>
            </w:tblGrid>
            <w:tr w14:paraId="6E85EF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7" w:type="pct"/>
                  <w:tcBorders>
                    <w:tl2br w:val="nil"/>
                    <w:tr2bl w:val="nil"/>
                  </w:tcBorders>
                  <w:noWrap w:val="0"/>
                  <w:vAlign w:val="center"/>
                </w:tcPr>
                <w:p w14:paraId="3EEC00A2">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文件</w:t>
                  </w:r>
                </w:p>
              </w:tc>
              <w:tc>
                <w:tcPr>
                  <w:tcW w:w="2123" w:type="pct"/>
                  <w:tcBorders>
                    <w:tl2br w:val="nil"/>
                    <w:tr2bl w:val="nil"/>
                  </w:tcBorders>
                  <w:noWrap w:val="0"/>
                  <w:vAlign w:val="center"/>
                </w:tcPr>
                <w:p w14:paraId="0ADD7A39">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环境管理政策要求</w:t>
                  </w:r>
                </w:p>
              </w:tc>
              <w:tc>
                <w:tcPr>
                  <w:tcW w:w="2034" w:type="pct"/>
                  <w:tcBorders>
                    <w:tl2br w:val="nil"/>
                    <w:tr2bl w:val="nil"/>
                  </w:tcBorders>
                  <w:noWrap w:val="0"/>
                  <w:vAlign w:val="center"/>
                </w:tcPr>
                <w:p w14:paraId="0B68A07A">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本项目情况</w:t>
                  </w:r>
                </w:p>
              </w:tc>
              <w:tc>
                <w:tcPr>
                  <w:tcW w:w="335" w:type="pct"/>
                  <w:tcBorders>
                    <w:tl2br w:val="nil"/>
                    <w:tr2bl w:val="nil"/>
                  </w:tcBorders>
                  <w:noWrap w:val="0"/>
                  <w:vAlign w:val="center"/>
                </w:tcPr>
                <w:p w14:paraId="5A4905EA">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符合性</w:t>
                  </w:r>
                </w:p>
              </w:tc>
            </w:tr>
            <w:tr w14:paraId="25B564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7" w:type="pct"/>
                  <w:vMerge w:val="restart"/>
                  <w:tcBorders>
                    <w:tl2br w:val="nil"/>
                    <w:tr2bl w:val="nil"/>
                  </w:tcBorders>
                  <w:noWrap w:val="0"/>
                  <w:vAlign w:val="center"/>
                </w:tcPr>
                <w:p w14:paraId="7EA6C67B">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《工业料堆场扬尘整治规范》（DB65/T4061-2017）</w:t>
                  </w:r>
                </w:p>
              </w:tc>
              <w:tc>
                <w:tcPr>
                  <w:tcW w:w="2712" w:type="dxa"/>
                  <w:tcBorders>
                    <w:tl2br w:val="nil"/>
                    <w:tr2bl w:val="nil"/>
                  </w:tcBorders>
                  <w:noWrap w:val="0"/>
                  <w:vAlign w:val="center"/>
                </w:tcPr>
                <w:p w14:paraId="03DA64BE">
                  <w:pPr>
                    <w:pStyle w:val="65"/>
                    <w:numPr>
                      <w:ilvl w:val="0"/>
                      <w:numId w:val="0"/>
                    </w:numPr>
                    <w:spacing w:line="320" w:lineRule="exact"/>
                    <w:ind w:left="0" w:leftChars="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工业料堆场的污染防治应从源头控制，减少堆存量，通过优化生产原料配置、厂区布置，提高管理水平、改善</w:t>
                  </w:r>
                  <w:r>
                    <w:rPr>
                      <w:rFonts w:hint="eastAsia" w:cs="Times New Roman"/>
                      <w:color w:val="000000" w:themeColor="text1"/>
                      <w:sz w:val="21"/>
                      <w:szCs w:val="21"/>
                      <w:highlight w:val="none"/>
                      <w:lang w:eastAsia="zh-CN"/>
                      <w14:textFill>
                        <w14:solidFill>
                          <w14:schemeClr w14:val="tx1"/>
                        </w14:solidFill>
                      </w14:textFill>
                    </w:rPr>
                    <w:t>污染</w:t>
                  </w:r>
                  <w:r>
                    <w:rPr>
                      <w:rFonts w:hint="default" w:ascii="Times New Roman" w:hAnsi="Times New Roman" w:eastAsia="宋体" w:cs="Times New Roman"/>
                      <w:color w:val="000000" w:themeColor="text1"/>
                      <w:sz w:val="21"/>
                      <w:szCs w:val="21"/>
                      <w:highlight w:val="none"/>
                      <w14:textFill>
                        <w14:solidFill>
                          <w14:schemeClr w14:val="tx1"/>
                        </w14:solidFill>
                      </w14:textFill>
                    </w:rPr>
                    <w:t>防治技术工艺、加强综合利用等措施减少环境污染</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2599" w:type="dxa"/>
                  <w:tcBorders>
                    <w:tl2br w:val="nil"/>
                    <w:tr2bl w:val="nil"/>
                  </w:tcBorders>
                  <w:noWrap w:val="0"/>
                  <w:vAlign w:val="center"/>
                </w:tcPr>
                <w:p w14:paraId="3AF3E423">
                  <w:pPr>
                    <w:pStyle w:val="65"/>
                    <w:numPr>
                      <w:ilvl w:val="0"/>
                      <w:numId w:val="0"/>
                    </w:numPr>
                    <w:spacing w:line="320" w:lineRule="exact"/>
                    <w:ind w:left="0" w:lef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本项目水泥、沙子暂存在全密闭原料库房内；石子堆存露天堆场苫盖密目防尘布。</w:t>
                  </w:r>
                </w:p>
              </w:tc>
              <w:tc>
                <w:tcPr>
                  <w:tcW w:w="335" w:type="pct"/>
                  <w:tcBorders>
                    <w:tl2br w:val="nil"/>
                    <w:tr2bl w:val="nil"/>
                  </w:tcBorders>
                  <w:noWrap w:val="0"/>
                  <w:vAlign w:val="center"/>
                </w:tcPr>
                <w:p w14:paraId="6422E2D6">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14CAF5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7" w:type="pct"/>
                  <w:vMerge w:val="continue"/>
                  <w:tcBorders>
                    <w:tl2br w:val="nil"/>
                    <w:tr2bl w:val="nil"/>
                  </w:tcBorders>
                  <w:noWrap w:val="0"/>
                  <w:vAlign w:val="center"/>
                </w:tcPr>
                <w:p w14:paraId="3A67A489">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712" w:type="dxa"/>
                  <w:tcBorders>
                    <w:tl2br w:val="nil"/>
                    <w:tr2bl w:val="nil"/>
                  </w:tcBorders>
                  <w:noWrap w:val="0"/>
                  <w:vAlign w:val="center"/>
                </w:tcPr>
                <w:p w14:paraId="2EA1974A">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5.8对工业料堆场内装卸、运输等作业过程中，易产生扬尘污染的物料必须采取封闭、遮盖、洒水降尘措施，密闭输送物料必须在装料、卸料处配备吸尘、喷淋防尘措施。</w:t>
                  </w:r>
                </w:p>
                <w:p w14:paraId="01042BD5">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5.9露天工业料堆场存放袋装、桶装及箱装件物品时，应加盖</w:t>
                  </w:r>
                  <w:r>
                    <w:rPr>
                      <w:rFonts w:hint="eastAsia" w:cs="Times New Roman"/>
                      <w:color w:val="000000" w:themeColor="text1"/>
                      <w:sz w:val="21"/>
                      <w:szCs w:val="21"/>
                      <w:highlight w:val="none"/>
                      <w:lang w:eastAsia="zh-CN"/>
                      <w14:textFill>
                        <w14:solidFill>
                          <w14:schemeClr w14:val="tx1"/>
                        </w14:solidFill>
                      </w14:textFill>
                    </w:rPr>
                    <w:t>篷布</w:t>
                  </w:r>
                  <w:r>
                    <w:rPr>
                      <w:rFonts w:hint="default" w:ascii="Times New Roman" w:hAnsi="Times New Roman" w:eastAsia="宋体" w:cs="Times New Roman"/>
                      <w:color w:val="000000" w:themeColor="text1"/>
                      <w:sz w:val="21"/>
                      <w:szCs w:val="21"/>
                      <w:highlight w:val="none"/>
                      <w14:textFill>
                        <w14:solidFill>
                          <w14:schemeClr w14:val="tx1"/>
                        </w14:solidFill>
                      </w14:textFill>
                    </w:rPr>
                    <w:t>遮护。</w:t>
                  </w:r>
                </w:p>
                <w:p w14:paraId="0CE87115">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5.10对于工业料堆场的坡面、场坪和路面等，必须采取铺装、硬化、定期喷洒抑尘剂或稳定剂等措施。</w:t>
                  </w:r>
                </w:p>
                <w:p w14:paraId="5A1745AC">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5.12在工业料堆场出口处设置车辆清洗的专用场地，配备运输车辆冲洗保洁设施，冲洗沉积物必须及时进行清理和清运，冲洗污水必须经回收系统收集、处理，处理符合GB8978的规定后排放。</w:t>
                  </w:r>
                </w:p>
                <w:p w14:paraId="617779EF">
                  <w:pPr>
                    <w:pStyle w:val="65"/>
                    <w:numPr>
                      <w:ilvl w:val="0"/>
                      <w:numId w:val="0"/>
                    </w:numPr>
                    <w:spacing w:line="320" w:lineRule="exact"/>
                    <w:ind w:left="0" w:leftChars="0"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5.14宜在工业料堆场周边进行绿化，减少扬尘污染对环境的影响。</w:t>
                  </w:r>
                  <w:r>
                    <w:rPr>
                      <w:rFonts w:hint="eastAsia" w:cs="Times New Roman"/>
                      <w:color w:val="000000" w:themeColor="text1"/>
                      <w:sz w:val="21"/>
                      <w:szCs w:val="21"/>
                      <w:highlight w:val="none"/>
                      <w:lang w:val="en-US" w:eastAsia="zh-CN"/>
                      <w14:textFill>
                        <w14:solidFill>
                          <w14:schemeClr w14:val="tx1"/>
                        </w14:solidFill>
                      </w14:textFill>
                    </w:rPr>
                    <w:t>……</w:t>
                  </w:r>
                </w:p>
              </w:tc>
              <w:tc>
                <w:tcPr>
                  <w:tcW w:w="2599" w:type="dxa"/>
                  <w:tcBorders>
                    <w:tl2br w:val="nil"/>
                    <w:tr2bl w:val="nil"/>
                  </w:tcBorders>
                  <w:noWrap w:val="0"/>
                  <w:vAlign w:val="center"/>
                </w:tcPr>
                <w:p w14:paraId="5AE50ADD">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本环评设计在水泥、沙子装卸过程在密闭原料库房内雾炮降尘，石子堆场装卸过程控制装卸高度设置落差降尘罩。</w:t>
                  </w:r>
                </w:p>
                <w:p w14:paraId="0538A34F">
                  <w:pPr>
                    <w:pStyle w:val="65"/>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养护废水、洗车废水均设置防渗沉淀池满足</w:t>
                  </w:r>
                  <w:r>
                    <w:rPr>
                      <w:rFonts w:hint="default" w:ascii="Times New Roman" w:hAnsi="Times New Roman" w:eastAsia="宋体" w:cs="Times New Roman"/>
                      <w:color w:val="000000" w:themeColor="text1"/>
                      <w:sz w:val="21"/>
                      <w:szCs w:val="21"/>
                      <w:highlight w:val="none"/>
                      <w14:textFill>
                        <w14:solidFill>
                          <w14:schemeClr w14:val="tx1"/>
                        </w14:solidFill>
                      </w14:textFill>
                    </w:rPr>
                    <w:t>GB8978的</w:t>
                  </w:r>
                  <w:r>
                    <w:rPr>
                      <w:rFonts w:hint="eastAsia" w:cs="Times New Roman"/>
                      <w:color w:val="000000" w:themeColor="text1"/>
                      <w:sz w:val="21"/>
                      <w:szCs w:val="21"/>
                      <w:highlight w:val="none"/>
                      <w:lang w:val="en-US" w:eastAsia="zh-CN"/>
                      <w14:textFill>
                        <w14:solidFill>
                          <w14:schemeClr w14:val="tx1"/>
                        </w14:solidFill>
                      </w14:textFill>
                    </w:rPr>
                    <w:t>一般规定处理回用。</w:t>
                  </w:r>
                </w:p>
                <w:p w14:paraId="34DEBC91">
                  <w:pPr>
                    <w:pStyle w:val="65"/>
                    <w:numPr>
                      <w:ilvl w:val="0"/>
                      <w:numId w:val="0"/>
                    </w:numPr>
                    <w:spacing w:line="320" w:lineRule="exact"/>
                    <w:ind w:left="0" w:lef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本项目场内现有绿化面积约230m</w:t>
                  </w:r>
                  <w:r>
                    <w:rPr>
                      <w:rFonts w:hint="eastAsia" w:cs="Times New Roman"/>
                      <w:color w:val="000000" w:themeColor="text1"/>
                      <w:sz w:val="21"/>
                      <w:szCs w:val="21"/>
                      <w:highlight w:val="none"/>
                      <w:vertAlign w:val="superscript"/>
                      <w:lang w:val="en-US" w:eastAsia="zh-CN"/>
                      <w14:textFill>
                        <w14:solidFill>
                          <w14:schemeClr w14:val="tx1"/>
                        </w14:solidFill>
                      </w14:textFill>
                    </w:rPr>
                    <w:t>2</w:t>
                  </w:r>
                  <w:r>
                    <w:rPr>
                      <w:rFonts w:hint="eastAsia" w:cs="Times New Roman"/>
                      <w:color w:val="000000" w:themeColor="text1"/>
                      <w:sz w:val="21"/>
                      <w:szCs w:val="21"/>
                      <w:highlight w:val="none"/>
                      <w:lang w:val="en-US" w:eastAsia="zh-CN"/>
                      <w14:textFill>
                        <w14:solidFill>
                          <w14:schemeClr w14:val="tx1"/>
                        </w14:solidFill>
                      </w14:textFill>
                    </w:rPr>
                    <w:t>。</w:t>
                  </w:r>
                </w:p>
              </w:tc>
              <w:tc>
                <w:tcPr>
                  <w:tcW w:w="335" w:type="pct"/>
                  <w:tcBorders>
                    <w:tl2br w:val="nil"/>
                    <w:tr2bl w:val="nil"/>
                  </w:tcBorders>
                  <w:noWrap w:val="0"/>
                  <w:vAlign w:val="center"/>
                </w:tcPr>
                <w:p w14:paraId="6B6FAE57">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w:t>
                  </w:r>
                </w:p>
              </w:tc>
            </w:tr>
            <w:tr w14:paraId="235D47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7" w:type="pct"/>
                  <w:tcBorders>
                    <w:tl2br w:val="nil"/>
                    <w:tr2bl w:val="nil"/>
                  </w:tcBorders>
                  <w:noWrap w:val="0"/>
                  <w:vAlign w:val="center"/>
                </w:tcPr>
                <w:p w14:paraId="1112A8D1">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《挥发性有机物无组织排放控制标准》（GB37822-2019）</w:t>
                  </w:r>
                </w:p>
              </w:tc>
              <w:tc>
                <w:tcPr>
                  <w:tcW w:w="2123" w:type="pct"/>
                  <w:tcBorders>
                    <w:tl2br w:val="nil"/>
                    <w:tr2bl w:val="nil"/>
                  </w:tcBorders>
                  <w:noWrap w:val="0"/>
                  <w:vAlign w:val="center"/>
                </w:tcPr>
                <w:p w14:paraId="68B1069E">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VOCs物料应储存于密闭的容器、包装袋、储罐、储库、料仓中</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2034" w:type="pct"/>
                  <w:tcBorders>
                    <w:tl2br w:val="nil"/>
                    <w:tr2bl w:val="nil"/>
                  </w:tcBorders>
                  <w:noWrap w:val="0"/>
                  <w:vAlign w:val="center"/>
                </w:tcPr>
                <w:p w14:paraId="75902934">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w:t>
                  </w:r>
                  <w:r>
                    <w:rPr>
                      <w:rFonts w:hint="eastAsia" w:cs="Times New Roman"/>
                      <w:color w:val="000000" w:themeColor="text1"/>
                      <w:sz w:val="21"/>
                      <w:szCs w:val="21"/>
                      <w:highlight w:val="none"/>
                      <w:lang w:val="en-US" w:eastAsia="zh-CN"/>
                      <w14:textFill>
                        <w14:solidFill>
                          <w14:schemeClr w14:val="tx1"/>
                        </w14:solidFill>
                      </w14:textFill>
                    </w:rPr>
                    <w:t>不使用VOCs物料，生产用脱模剂及维护保养用机油等储存密闭油桶内，维护保养产生的废机油铁桶密闭收集暂存至危废暂存间。</w:t>
                  </w:r>
                </w:p>
              </w:tc>
              <w:tc>
                <w:tcPr>
                  <w:tcW w:w="335" w:type="pct"/>
                  <w:tcBorders>
                    <w:tl2br w:val="nil"/>
                    <w:tr2bl w:val="nil"/>
                  </w:tcBorders>
                  <w:noWrap w:val="0"/>
                  <w:vAlign w:val="center"/>
                </w:tcPr>
                <w:p w14:paraId="69AA3FE3">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6EF571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7" w:type="pct"/>
                  <w:tcBorders>
                    <w:tl2br w:val="nil"/>
                    <w:tr2bl w:val="nil"/>
                  </w:tcBorders>
                  <w:noWrap w:val="0"/>
                  <w:vAlign w:val="center"/>
                </w:tcPr>
                <w:p w14:paraId="1803C2A2">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《自治州大气污染防治三年攻坚行动方案》（2023－2025年）</w:t>
                  </w:r>
                </w:p>
              </w:tc>
              <w:tc>
                <w:tcPr>
                  <w:tcW w:w="2123" w:type="pct"/>
                  <w:tcBorders>
                    <w:tl2br w:val="nil"/>
                    <w:tr2bl w:val="nil"/>
                  </w:tcBorders>
                  <w:noWrap w:val="0"/>
                  <w:vAlign w:val="center"/>
                </w:tcPr>
                <w:p w14:paraId="5E2C04AE">
                  <w:pPr>
                    <w:pStyle w:val="65"/>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一、严格项目准入：库尔勒大气污染联防联控区严禁新增钢铁、水泥熟料、平板玻璃、炼油产能。其他地区钢铁、水泥熟料、平板玻璃、炼油、电解铝等新建、扩建项目严格实施产能等量置换要求。</w:t>
                  </w:r>
                </w:p>
                <w:p w14:paraId="5C352441">
                  <w:pPr>
                    <w:pStyle w:val="65"/>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扬尘综合整治：各县市加强砂石料场扬尘污染监管，落实破碎、投料、传输、筛分、出料、堆场（物料粒度≤0.5mm）全环节密闭；落实厂区内外扰动区域硬化，进出车辆苫盖冲洗，生产期间定期清尘和洒水降尘，进场道路定期洒水抑尘。库尔勒市、尉犁县周边砂石料场进场道路硬化。2023年底前，库尔勒市、尉犁县、库尔</w:t>
                  </w:r>
                </w:p>
                <w:p w14:paraId="2FE74B90">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勒经济技术开发区全面完成砂石料场生产区和堆场封闭式改造。库尔勒市、尉犁县联合整治东山矿区扬尘污染源。</w:t>
                  </w:r>
                </w:p>
              </w:tc>
              <w:tc>
                <w:tcPr>
                  <w:tcW w:w="2034" w:type="pct"/>
                  <w:tcBorders>
                    <w:tl2br w:val="nil"/>
                    <w:tr2bl w:val="nil"/>
                  </w:tcBorders>
                  <w:noWrap w:val="0"/>
                  <w:vAlign w:val="center"/>
                </w:tcPr>
                <w:p w14:paraId="48A00E6A">
                  <w:pPr>
                    <w:pStyle w:val="65"/>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本项目选址不属于库尔勒市大气联防联控区，行业类别属于水泥预制件生产制造，不属于高能耗、高排放项目。</w:t>
                  </w:r>
                </w:p>
                <w:p w14:paraId="3E116C4C">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本项目生产过程在全密闭车间，水泥、沙子原料暂存封闭原料库房内，石子露天堆场苫盖密目防尘布并雾炮降尘；进料工序、搅拌工序顶部安装集气装置相连布袋除尘器有组织排放。项目区内分区硬化，进出车辆冲洗后上路。本项目主体工程均为全封闭建筑物。</w:t>
                  </w:r>
                </w:p>
              </w:tc>
              <w:tc>
                <w:tcPr>
                  <w:tcW w:w="335" w:type="pct"/>
                  <w:tcBorders>
                    <w:tl2br w:val="nil"/>
                    <w:tr2bl w:val="nil"/>
                  </w:tcBorders>
                  <w:noWrap w:val="0"/>
                  <w:vAlign w:val="center"/>
                </w:tcPr>
                <w:p w14:paraId="2921819C">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3E6392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7" w:type="pct"/>
                  <w:vMerge w:val="restart"/>
                  <w:tcBorders>
                    <w:tl2br w:val="nil"/>
                    <w:tr2bl w:val="nil"/>
                  </w:tcBorders>
                  <w:noWrap w:val="0"/>
                  <w:vAlign w:val="center"/>
                </w:tcPr>
                <w:p w14:paraId="3059F48C">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和硕县国民经济和社会发展第十四个五年规划和二〇三五年远景目标纲要</w:t>
                  </w:r>
                </w:p>
              </w:tc>
              <w:tc>
                <w:tcPr>
                  <w:tcW w:w="2123" w:type="pct"/>
                  <w:tcBorders>
                    <w:tl2br w:val="nil"/>
                    <w:tr2bl w:val="nil"/>
                  </w:tcBorders>
                  <w:noWrap w:val="0"/>
                  <w:vAlign w:val="center"/>
                </w:tcPr>
                <w:p w14:paraId="26E9076E">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全面实施大气污染防治行动计划，推进散煤治理和煤炭消费减量替代，严格执行燃煤锅炉排放标准，加快农村煤改电、煤改气步伐，推广以电代煤、“</w:t>
                  </w:r>
                  <w:r>
                    <w:rPr>
                      <w:rFonts w:hint="eastAsia" w:ascii="Times New Roman" w:hAnsi="Times New Roman" w:eastAsia="宋体" w:cs="Times New Roman"/>
                      <w:color w:val="000000" w:themeColor="text1"/>
                      <w:sz w:val="21"/>
                      <w:szCs w:val="21"/>
                      <w:highlight w:val="none"/>
                      <w14:textFill>
                        <w14:solidFill>
                          <w14:schemeClr w14:val="tx1"/>
                        </w14:solidFill>
                      </w14:textFill>
                    </w:rPr>
                    <w:t>气电互补</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等多元化供暖技术，改善空气质量。强化源头管理，严格环境准入，禁止新建不符合国家产业政策和生产工艺落后的大气重污染项目，严格控制大气污染物新增排放量。</w:t>
                  </w:r>
                </w:p>
              </w:tc>
              <w:tc>
                <w:tcPr>
                  <w:tcW w:w="2034" w:type="pct"/>
                  <w:tcBorders>
                    <w:tl2br w:val="nil"/>
                    <w:tr2bl w:val="nil"/>
                  </w:tcBorders>
                  <w:noWrap w:val="0"/>
                  <w:vAlign w:val="center"/>
                </w:tcPr>
                <w:p w14:paraId="361F6225">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项目不涉及燃煤、燃气锅炉。</w:t>
                  </w:r>
                </w:p>
              </w:tc>
              <w:tc>
                <w:tcPr>
                  <w:tcW w:w="335" w:type="pct"/>
                  <w:tcBorders>
                    <w:tl2br w:val="nil"/>
                    <w:tr2bl w:val="nil"/>
                  </w:tcBorders>
                  <w:noWrap w:val="0"/>
                  <w:vAlign w:val="center"/>
                </w:tcPr>
                <w:p w14:paraId="3E596D91">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w:t>
                  </w:r>
                </w:p>
              </w:tc>
            </w:tr>
            <w:tr w14:paraId="40FECA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7" w:type="pct"/>
                  <w:vMerge w:val="continue"/>
                  <w:tcBorders>
                    <w:tl2br w:val="nil"/>
                    <w:tr2bl w:val="nil"/>
                  </w:tcBorders>
                  <w:noWrap w:val="0"/>
                  <w:vAlign w:val="center"/>
                </w:tcPr>
                <w:p w14:paraId="799D2CBC">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123" w:type="pct"/>
                  <w:tcBorders>
                    <w:tl2br w:val="nil"/>
                    <w:tr2bl w:val="nil"/>
                  </w:tcBorders>
                  <w:noWrap w:val="0"/>
                  <w:vAlign w:val="center"/>
                </w:tcPr>
                <w:p w14:paraId="5A8D2899">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鼓励发展石粉、碎石综合利用，提高石材产品附加值和石材资源利用效率</w:t>
                  </w:r>
                </w:p>
              </w:tc>
              <w:tc>
                <w:tcPr>
                  <w:tcW w:w="2034" w:type="pct"/>
                  <w:tcBorders>
                    <w:tl2br w:val="nil"/>
                    <w:tr2bl w:val="nil"/>
                  </w:tcBorders>
                  <w:noWrap w:val="0"/>
                  <w:vAlign w:val="center"/>
                </w:tcPr>
                <w:p w14:paraId="75BCE0AF">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和硕县属于石材、水泥预制件生产较集中县域，项目</w:t>
                  </w:r>
                  <w:r>
                    <w:rPr>
                      <w:rFonts w:hint="eastAsia" w:cs="Times New Roman"/>
                      <w:color w:val="000000" w:themeColor="text1"/>
                      <w:sz w:val="21"/>
                      <w:szCs w:val="21"/>
                      <w:highlight w:val="none"/>
                      <w:lang w:val="en-US" w:eastAsia="zh-CN"/>
                      <w14:textFill>
                        <w14:solidFill>
                          <w14:schemeClr w14:val="tx1"/>
                        </w14:solidFill>
                      </w14:textFill>
                    </w:rPr>
                    <w:t>石子外购石材企业生产废料作为原料。</w:t>
                  </w:r>
                </w:p>
              </w:tc>
              <w:tc>
                <w:tcPr>
                  <w:tcW w:w="335" w:type="pct"/>
                  <w:tcBorders>
                    <w:tl2br w:val="nil"/>
                    <w:tr2bl w:val="nil"/>
                  </w:tcBorders>
                  <w:noWrap w:val="0"/>
                  <w:vAlign w:val="center"/>
                </w:tcPr>
                <w:p w14:paraId="7F7F86AD">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w:t>
                  </w:r>
                </w:p>
              </w:tc>
            </w:tr>
            <w:tr w14:paraId="1881C6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48" w:type="dxa"/>
                  <w:vMerge w:val="restart"/>
                  <w:tcBorders>
                    <w:tl2br w:val="nil"/>
                    <w:tr2bl w:val="nil"/>
                  </w:tcBorders>
                  <w:noWrap w:val="0"/>
                  <w:vAlign w:val="center"/>
                </w:tcPr>
                <w:p w14:paraId="7E5A8D69">
                  <w:pPr>
                    <w:pStyle w:val="65"/>
                    <w:numPr>
                      <w:ilvl w:val="0"/>
                      <w:numId w:val="0"/>
                    </w:numPr>
                    <w:spacing w:line="320" w:lineRule="exact"/>
                    <w:ind w:left="0" w:lef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《巴音郭楞蒙古自治州生态环境“十四五”规划》</w:t>
                  </w:r>
                </w:p>
              </w:tc>
              <w:tc>
                <w:tcPr>
                  <w:tcW w:w="2712" w:type="dxa"/>
                  <w:tcBorders>
                    <w:tl2br w:val="nil"/>
                    <w:tr2bl w:val="nil"/>
                  </w:tcBorders>
                  <w:noWrap w:val="0"/>
                  <w:vAlign w:val="center"/>
                </w:tcPr>
                <w:p w14:paraId="59C5E3F9">
                  <w:pPr>
                    <w:pStyle w:val="65"/>
                    <w:numPr>
                      <w:ilvl w:val="0"/>
                      <w:numId w:val="0"/>
                    </w:numPr>
                    <w:spacing w:line="320" w:lineRule="exact"/>
                    <w:ind w:left="0" w:lef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促进再生水利用。制定促进再生水利用的政策，以城市及产业集聚区为重点，持续推进污水收集处理，实施再生水利用工程，完善再生水利用设施，工业生产、城市绿化、道路清扫、车辆冲洗、建筑施工以及生态景观等用水，优先使用再生水。</w:t>
                  </w:r>
                </w:p>
              </w:tc>
              <w:tc>
                <w:tcPr>
                  <w:tcW w:w="2599" w:type="dxa"/>
                  <w:tcBorders>
                    <w:tl2br w:val="nil"/>
                    <w:tr2bl w:val="nil"/>
                  </w:tcBorders>
                  <w:noWrap w:val="0"/>
                  <w:vAlign w:val="center"/>
                </w:tcPr>
                <w:p w14:paraId="7597B04E">
                  <w:pPr>
                    <w:pStyle w:val="65"/>
                    <w:numPr>
                      <w:ilvl w:val="0"/>
                      <w:numId w:val="0"/>
                    </w:numPr>
                    <w:spacing w:line="320" w:lineRule="exact"/>
                    <w:ind w:left="0" w:leftChars="0"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本项目洗车废水可循环使用，不外排，废水利用率为100%。</w:t>
                  </w:r>
                </w:p>
              </w:tc>
              <w:tc>
                <w:tcPr>
                  <w:tcW w:w="428" w:type="dxa"/>
                  <w:tcBorders>
                    <w:tl2br w:val="nil"/>
                    <w:tr2bl w:val="nil"/>
                  </w:tcBorders>
                  <w:noWrap w:val="0"/>
                  <w:vAlign w:val="center"/>
                </w:tcPr>
                <w:p w14:paraId="61C7F838">
                  <w:pPr>
                    <w:pStyle w:val="65"/>
                    <w:numPr>
                      <w:ilvl w:val="0"/>
                      <w:numId w:val="0"/>
                    </w:numPr>
                    <w:spacing w:line="320" w:lineRule="exact"/>
                    <w:ind w:left="0" w:leftChars="0" w:firstLine="0" w:firstLineChars="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5CB2CE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48" w:type="dxa"/>
                  <w:vMerge w:val="continue"/>
                  <w:tcBorders>
                    <w:tl2br w:val="nil"/>
                    <w:tr2bl w:val="nil"/>
                  </w:tcBorders>
                  <w:noWrap w:val="0"/>
                  <w:vAlign w:val="center"/>
                </w:tcPr>
                <w:p w14:paraId="58D62FB1">
                  <w:pPr>
                    <w:pStyle w:val="65"/>
                    <w:numPr>
                      <w:ilvl w:val="0"/>
                      <w:numId w:val="0"/>
                    </w:numPr>
                    <w:spacing w:line="320" w:lineRule="exact"/>
                    <w:ind w:left="0" w:lef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712" w:type="dxa"/>
                  <w:tcBorders>
                    <w:tl2br w:val="nil"/>
                    <w:tr2bl w:val="nil"/>
                  </w:tcBorders>
                  <w:noWrap w:val="0"/>
                  <w:vAlign w:val="center"/>
                </w:tcPr>
                <w:p w14:paraId="2C35CEF4">
                  <w:pPr>
                    <w:pStyle w:val="65"/>
                    <w:numPr>
                      <w:ilvl w:val="0"/>
                      <w:numId w:val="0"/>
                    </w:numPr>
                    <w:spacing w:line="320" w:lineRule="exact"/>
                    <w:ind w:left="0" w:lef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实施最严格的生态保护制度。坚决遏制“两高”项目盲目发展，严格执行能源、矿产资源开发自治区人民政府“一支笔”审批制度、环境保护“一票否决”制度，落实“三线一单”生态环境分区管控要求，守住生态保护红线、环境质量底线和自然资源利用上线，实施兵地统一的生态环境准入清单管控。</w:t>
                  </w:r>
                </w:p>
              </w:tc>
              <w:tc>
                <w:tcPr>
                  <w:tcW w:w="2599" w:type="dxa"/>
                  <w:tcBorders>
                    <w:tl2br w:val="nil"/>
                    <w:tr2bl w:val="nil"/>
                  </w:tcBorders>
                  <w:noWrap w:val="0"/>
                  <w:vAlign w:val="center"/>
                </w:tcPr>
                <w:p w14:paraId="663DA182">
                  <w:pPr>
                    <w:pStyle w:val="65"/>
                    <w:numPr>
                      <w:ilvl w:val="0"/>
                      <w:numId w:val="0"/>
                    </w:numPr>
                    <w:spacing w:line="320" w:lineRule="exact"/>
                    <w:ind w:left="0" w:leftChars="0"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本项目为砼结构预制件生产，不涉及选矿，不属于“两高”项目，本项目符合《</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巴音郭楞蒙古自治州</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三线一单</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生态环境分区管控方案</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》，符合性分析见下表。</w:t>
                  </w:r>
                </w:p>
              </w:tc>
              <w:tc>
                <w:tcPr>
                  <w:tcW w:w="428" w:type="dxa"/>
                  <w:tcBorders>
                    <w:tl2br w:val="nil"/>
                    <w:tr2bl w:val="nil"/>
                  </w:tcBorders>
                  <w:noWrap w:val="0"/>
                  <w:vAlign w:val="center"/>
                </w:tcPr>
                <w:p w14:paraId="420A64A2">
                  <w:pPr>
                    <w:pStyle w:val="65"/>
                    <w:numPr>
                      <w:ilvl w:val="0"/>
                      <w:numId w:val="0"/>
                    </w:numPr>
                    <w:spacing w:line="320" w:lineRule="exact"/>
                    <w:ind w:left="0" w:leftChars="0" w:firstLine="0" w:firstLineChars="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7F5CE1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48" w:type="dxa"/>
                  <w:vMerge w:val="continue"/>
                  <w:tcBorders>
                    <w:tl2br w:val="nil"/>
                    <w:tr2bl w:val="nil"/>
                  </w:tcBorders>
                  <w:noWrap w:val="0"/>
                  <w:vAlign w:val="center"/>
                </w:tcPr>
                <w:p w14:paraId="3F1AF88F">
                  <w:pPr>
                    <w:pStyle w:val="65"/>
                    <w:numPr>
                      <w:ilvl w:val="0"/>
                      <w:numId w:val="0"/>
                    </w:numPr>
                    <w:spacing w:line="320" w:lineRule="exact"/>
                    <w:ind w:left="0" w:lef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712" w:type="dxa"/>
                  <w:tcBorders>
                    <w:tl2br w:val="nil"/>
                    <w:tr2bl w:val="nil"/>
                  </w:tcBorders>
                  <w:noWrap w:val="0"/>
                  <w:vAlign w:val="center"/>
                </w:tcPr>
                <w:p w14:paraId="4D7741FB">
                  <w:pPr>
                    <w:pStyle w:val="65"/>
                    <w:numPr>
                      <w:ilvl w:val="0"/>
                      <w:numId w:val="0"/>
                    </w:numPr>
                    <w:spacing w:line="320" w:lineRule="exact"/>
                    <w:ind w:left="0" w:lef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加强环境噪声污染防控。加强噪声污染源监管，继续强化和深入推进交通运输、建筑施工、社会生活、工业企业、机场周边噪声污染防治，推进工业企业噪声纳入排污许可管理。</w:t>
                  </w:r>
                </w:p>
              </w:tc>
              <w:tc>
                <w:tcPr>
                  <w:tcW w:w="2599" w:type="dxa"/>
                  <w:tcBorders>
                    <w:tl2br w:val="nil"/>
                    <w:tr2bl w:val="nil"/>
                  </w:tcBorders>
                  <w:noWrap w:val="0"/>
                  <w:vAlign w:val="center"/>
                </w:tcPr>
                <w:p w14:paraId="29564860">
                  <w:pPr>
                    <w:pStyle w:val="65"/>
                    <w:numPr>
                      <w:ilvl w:val="0"/>
                      <w:numId w:val="0"/>
                    </w:numPr>
                    <w:spacing w:line="320" w:lineRule="exact"/>
                    <w:ind w:left="0" w:leftChars="0"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噪声设备采用基础减振、厂房隔音的措施，满足《工业企业厂界环境噪声排放标准》（GB12348-2008）中2类区声环境功能区标准。</w:t>
                  </w:r>
                </w:p>
              </w:tc>
              <w:tc>
                <w:tcPr>
                  <w:tcW w:w="428" w:type="dxa"/>
                  <w:tcBorders>
                    <w:tl2br w:val="nil"/>
                    <w:tr2bl w:val="nil"/>
                  </w:tcBorders>
                  <w:noWrap w:val="0"/>
                  <w:vAlign w:val="center"/>
                </w:tcPr>
                <w:p w14:paraId="476E46DB">
                  <w:pPr>
                    <w:pStyle w:val="65"/>
                    <w:numPr>
                      <w:ilvl w:val="0"/>
                      <w:numId w:val="0"/>
                    </w:numPr>
                    <w:spacing w:line="320" w:lineRule="exact"/>
                    <w:ind w:left="0" w:leftChars="0" w:firstLine="0" w:firstLineChars="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2B7D82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48" w:type="dxa"/>
                  <w:tcBorders>
                    <w:tl2br w:val="nil"/>
                    <w:tr2bl w:val="nil"/>
                  </w:tcBorders>
                  <w:noWrap w:val="0"/>
                  <w:vAlign w:val="center"/>
                </w:tcPr>
                <w:p w14:paraId="76899A08">
                  <w:pPr>
                    <w:pStyle w:val="65"/>
                    <w:numPr>
                      <w:ilvl w:val="0"/>
                      <w:numId w:val="0"/>
                    </w:numPr>
                    <w:spacing w:line="320" w:lineRule="exact"/>
                    <w:ind w:left="0" w:lef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《空气质量持续改善行动计划》（国发〔2023〕24号）</w:t>
                  </w:r>
                </w:p>
              </w:tc>
              <w:tc>
                <w:tcPr>
                  <w:tcW w:w="2712" w:type="dxa"/>
                  <w:tcBorders>
                    <w:tl2br w:val="nil"/>
                    <w:tr2bl w:val="nil"/>
                  </w:tcBorders>
                  <w:noWrap w:val="0"/>
                  <w:vAlign w:val="center"/>
                </w:tcPr>
                <w:p w14:paraId="6416D17B">
                  <w:pPr>
                    <w:pStyle w:val="65"/>
                    <w:numPr>
                      <w:ilvl w:val="0"/>
                      <w:numId w:val="0"/>
                    </w:numPr>
                    <w:spacing w:line="320" w:lineRule="exact"/>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（十二）实施工业炉窑清洁能源替代。有序推进以电代煤，积极稳妥推进以气代煤</w:t>
                  </w:r>
                  <w:r>
                    <w:rPr>
                      <w:rFonts w:hint="eastAsia" w:cs="Times New Roman"/>
                      <w:color w:val="000000" w:themeColor="text1"/>
                      <w:sz w:val="21"/>
                      <w:szCs w:val="21"/>
                      <w:highlight w:val="none"/>
                      <w:lang w:val="en-US" w:eastAsia="zh-CN"/>
                      <w14:textFill>
                        <w14:solidFill>
                          <w14:schemeClr w14:val="tx1"/>
                        </w14:solidFill>
                      </w14:textFill>
                    </w:rPr>
                    <w:t>……</w:t>
                  </w:r>
                </w:p>
                <w:p w14:paraId="5AC4FAAE">
                  <w:pPr>
                    <w:pStyle w:val="65"/>
                    <w:numPr>
                      <w:ilvl w:val="0"/>
                      <w:numId w:val="0"/>
                    </w:numPr>
                    <w:spacing w:line="320" w:lineRule="exact"/>
                    <w:ind w:left="0" w:lef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（十三）持续推进北方地区清洁取暖。因地制宜成片推进北方地区清洁取暖，确保</w:t>
                  </w:r>
                  <w:r>
                    <w:rPr>
                      <w:rFonts w:hint="eastAsia" w:cs="Times New Roman"/>
                      <w:color w:val="000000" w:themeColor="text1"/>
                      <w:sz w:val="21"/>
                      <w:szCs w:val="21"/>
                      <w:highlight w:val="none"/>
                      <w:lang w:val="en-US" w:eastAsia="zh-CN"/>
                      <w14:textFill>
                        <w14:solidFill>
                          <w14:schemeClr w14:val="tx1"/>
                        </w14:solidFill>
                      </w14:textFill>
                    </w:rPr>
                    <w:t>……</w:t>
                  </w:r>
                </w:p>
              </w:tc>
              <w:tc>
                <w:tcPr>
                  <w:tcW w:w="2599" w:type="dxa"/>
                  <w:tcBorders>
                    <w:tl2br w:val="nil"/>
                    <w:tr2bl w:val="nil"/>
                  </w:tcBorders>
                  <w:noWrap w:val="0"/>
                  <w:vAlign w:val="center"/>
                </w:tcPr>
                <w:p w14:paraId="47EF59E4">
                  <w:pPr>
                    <w:pStyle w:val="65"/>
                    <w:numPr>
                      <w:ilvl w:val="0"/>
                      <w:numId w:val="0"/>
                    </w:numPr>
                    <w:spacing w:line="320" w:lineRule="exact"/>
                    <w:ind w:left="0" w:leftChars="0"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本项目不涉及工业炉窑，供暖采用空气能供暖。</w:t>
                  </w:r>
                </w:p>
              </w:tc>
              <w:tc>
                <w:tcPr>
                  <w:tcW w:w="428" w:type="dxa"/>
                  <w:tcBorders>
                    <w:tl2br w:val="nil"/>
                    <w:tr2bl w:val="nil"/>
                  </w:tcBorders>
                  <w:noWrap w:val="0"/>
                  <w:vAlign w:val="center"/>
                </w:tcPr>
                <w:p w14:paraId="0190F49D">
                  <w:pPr>
                    <w:pStyle w:val="65"/>
                    <w:numPr>
                      <w:ilvl w:val="0"/>
                      <w:numId w:val="0"/>
                    </w:numPr>
                    <w:spacing w:line="320" w:lineRule="exact"/>
                    <w:ind w:left="0" w:leftChars="0" w:firstLine="0" w:firstLineChars="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559EB5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48" w:type="dxa"/>
                  <w:tcBorders>
                    <w:tl2br w:val="nil"/>
                    <w:tr2bl w:val="nil"/>
                  </w:tcBorders>
                  <w:noWrap w:val="0"/>
                  <w:vAlign w:val="center"/>
                </w:tcPr>
                <w:p w14:paraId="4FB0648E">
                  <w:pPr>
                    <w:pStyle w:val="65"/>
                    <w:numPr>
                      <w:ilvl w:val="0"/>
                      <w:numId w:val="0"/>
                    </w:numPr>
                    <w:spacing w:line="320" w:lineRule="exact"/>
                    <w:ind w:left="0" w:leftChars="0" w:firstLine="0" w:firstLineChars="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《环境空气细颗粒物污染综合防治技术政策》（环境保护部公告2013年第59号）</w:t>
                  </w:r>
                </w:p>
              </w:tc>
              <w:tc>
                <w:tcPr>
                  <w:tcW w:w="2712" w:type="dxa"/>
                  <w:tcBorders>
                    <w:tl2br w:val="nil"/>
                    <w:tr2bl w:val="nil"/>
                  </w:tcBorders>
                  <w:noWrap w:val="0"/>
                  <w:vAlign w:val="center"/>
                </w:tcPr>
                <w:p w14:paraId="7E84A439">
                  <w:pPr>
                    <w:pStyle w:val="65"/>
                    <w:numPr>
                      <w:ilvl w:val="0"/>
                      <w:numId w:val="0"/>
                    </w:numPr>
                    <w:spacing w:line="320" w:lineRule="exact"/>
                    <w:ind w:left="0" w:leftChars="0"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（十五）产生大气颗粒物及其前体物污染物的生产活动应尽量采用密闭装置，避免无组织排放；无法完全密闭的，应安装集气装置收集逸散的污染物，经净化后排放。</w:t>
                  </w:r>
                </w:p>
              </w:tc>
              <w:tc>
                <w:tcPr>
                  <w:tcW w:w="2599" w:type="dxa"/>
                  <w:tcBorders>
                    <w:tl2br w:val="nil"/>
                    <w:tr2bl w:val="nil"/>
                  </w:tcBorders>
                  <w:noWrap w:val="0"/>
                  <w:vAlign w:val="center"/>
                </w:tcPr>
                <w:p w14:paraId="37AB92BF">
                  <w:pPr>
                    <w:pStyle w:val="65"/>
                    <w:numPr>
                      <w:ilvl w:val="0"/>
                      <w:numId w:val="0"/>
                    </w:numPr>
                    <w:spacing w:line="320" w:lineRule="exact"/>
                    <w:ind w:left="0" w:leftChars="0" w:firstLine="0" w:firstLineChars="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本项目</w:t>
                  </w:r>
                  <w:r>
                    <w:rPr>
                      <w:rFonts w:hint="eastAsia" w:eastAsia="宋体" w:cs="Times New Roman"/>
                      <w:color w:val="000000" w:themeColor="text1"/>
                      <w:sz w:val="21"/>
                      <w:szCs w:val="21"/>
                      <w:highlight w:val="none"/>
                      <w:lang w:val="en-US" w:eastAsia="zh-CN"/>
                      <w14:textFill>
                        <w14:solidFill>
                          <w14:schemeClr w14:val="tx1"/>
                        </w14:solidFill>
                      </w14:textFill>
                    </w:rPr>
                    <w:t>水泥沙子原料暂存在全密闭原料库房内，石子露天堆存经密目网苫盖、雾炮降尘可有效控制原料暂存过程无组织颗粒物；</w:t>
                  </w:r>
                  <w:r>
                    <w:rPr>
                      <w:rFonts w:hint="eastAsia" w:cs="Times New Roman"/>
                      <w:color w:val="000000" w:themeColor="text1"/>
                      <w:sz w:val="21"/>
                      <w:szCs w:val="21"/>
                      <w:highlight w:val="none"/>
                      <w:lang w:val="en-US" w:eastAsia="zh-CN"/>
                      <w14:textFill>
                        <w14:solidFill>
                          <w14:schemeClr w14:val="tx1"/>
                        </w14:solidFill>
                      </w14:textFill>
                    </w:rPr>
                    <w:t>进料、搅拌粉尘</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经布袋除尘器处理后有组织排放。</w:t>
                  </w:r>
                </w:p>
              </w:tc>
              <w:tc>
                <w:tcPr>
                  <w:tcW w:w="428" w:type="dxa"/>
                  <w:tcBorders>
                    <w:tl2br w:val="nil"/>
                    <w:tr2bl w:val="nil"/>
                  </w:tcBorders>
                  <w:noWrap w:val="0"/>
                  <w:vAlign w:val="center"/>
                </w:tcPr>
                <w:p w14:paraId="1B9F6FCD">
                  <w:pPr>
                    <w:pStyle w:val="65"/>
                    <w:numPr>
                      <w:ilvl w:val="0"/>
                      <w:numId w:val="0"/>
                    </w:numPr>
                    <w:spacing w:line="320" w:lineRule="exact"/>
                    <w:ind w:left="0" w:leftChars="0"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bl>
          <w:p w14:paraId="3A5BB0D7">
            <w:pPr>
              <w:keepNext w:val="0"/>
              <w:keepLines w:val="0"/>
              <w:pageBreakBefore w:val="0"/>
              <w:widowControl/>
              <w:numPr>
                <w:ilvl w:val="0"/>
                <w:numId w:val="0"/>
              </w:numPr>
              <w:suppressLineNumbers w:val="0"/>
              <w:kinsoku w:val="0"/>
              <w:wordWrap/>
              <w:overflowPunct w:val="0"/>
              <w:topLinePunct w:val="0"/>
              <w:autoSpaceDE/>
              <w:autoSpaceDN/>
              <w:bidi w:val="0"/>
              <w:adjustRightInd/>
              <w:snapToGrid/>
              <w:spacing w:before="0" w:beforeAutospacing="0" w:after="0" w:afterAutospacing="0" w:line="360" w:lineRule="auto"/>
              <w:ind w:left="0" w:right="0" w:rightChars="0" w:firstLine="482" w:firstLineChars="200"/>
              <w:textAlignment w:val="auto"/>
              <w:rPr>
                <w:rFonts w:hint="default" w:ascii="Times New Roman" w:hAnsi="Times New Roman" w:eastAsia="新宋体" w:cs="Times New Roman"/>
                <w:b/>
                <w:bCs/>
                <w:color w:val="000000" w:themeColor="text1"/>
                <w:sz w:val="24"/>
                <w14:textFill>
                  <w14:solidFill>
                    <w14:schemeClr w14:val="tx1"/>
                  </w14:solidFill>
                </w14:textFill>
              </w:rPr>
            </w:pPr>
            <w:r>
              <w:rPr>
                <w:rFonts w:hint="eastAsia" w:eastAsia="新宋体" w:cs="Times New Roman"/>
                <w:b/>
                <w:bCs/>
                <w:color w:val="000000" w:themeColor="text1"/>
                <w:sz w:val="24"/>
                <w:lang w:val="en-US" w:eastAsia="zh-CN"/>
                <w14:textFill>
                  <w14:solidFill>
                    <w14:schemeClr w14:val="tx1"/>
                  </w14:solidFill>
                </w14:textFill>
              </w:rPr>
              <w:t>4</w:t>
            </w:r>
            <w:r>
              <w:rPr>
                <w:rFonts w:hint="default" w:ascii="Times New Roman" w:hAnsi="Times New Roman" w:eastAsia="新宋体" w:cs="Times New Roman"/>
                <w:b/>
                <w:bCs/>
                <w:color w:val="000000" w:themeColor="text1"/>
                <w:sz w:val="24"/>
                <w:lang w:val="en-US" w:eastAsia="zh-CN"/>
                <w14:textFill>
                  <w14:solidFill>
                    <w14:schemeClr w14:val="tx1"/>
                  </w14:solidFill>
                </w14:textFill>
              </w:rPr>
              <w:t>、</w:t>
            </w:r>
            <w:r>
              <w:rPr>
                <w:rFonts w:hint="default" w:ascii="Times New Roman" w:hAnsi="Times New Roman" w:eastAsia="新宋体" w:cs="Times New Roman"/>
                <w:b/>
                <w:bCs/>
                <w:color w:val="000000" w:themeColor="text1"/>
                <w:sz w:val="24"/>
                <w14:textFill>
                  <w14:solidFill>
                    <w14:schemeClr w14:val="tx1"/>
                  </w14:solidFill>
                </w14:textFill>
              </w:rPr>
              <w:t>项目“三线一单”符合性分析</w:t>
            </w:r>
          </w:p>
          <w:p w14:paraId="47B3696B">
            <w:pPr>
              <w:keepNext w:val="0"/>
              <w:keepLines w:val="0"/>
              <w:widowControl/>
              <w:suppressLineNumbers w:val="0"/>
              <w:autoSpaceDE w:val="0"/>
              <w:spacing w:before="0" w:beforeAutospacing="0" w:after="0" w:afterAutospacing="0" w:line="360" w:lineRule="auto"/>
              <w:ind w:left="0" w:right="0" w:firstLine="480" w:firstLineChars="200"/>
              <w:jc w:val="left"/>
              <w:rPr>
                <w:rFonts w:hint="default" w:ascii="Times New Roman" w:hAnsi="Times New Roman" w:eastAsia="新宋体" w:cs="Times New Roman"/>
                <w:color w:val="000000" w:themeColor="text1"/>
                <w:sz w:val="24"/>
                <w14:textFill>
                  <w14:solidFill>
                    <w14:schemeClr w14:val="tx1"/>
                  </w14:solidFill>
                </w14:textFill>
              </w:rPr>
            </w:pPr>
            <w:r>
              <w:rPr>
                <w:rFonts w:hint="default" w:ascii="Times New Roman" w:hAnsi="Times New Roman" w:eastAsia="新宋体" w:cs="Times New Roman"/>
                <w:color w:val="000000" w:themeColor="text1"/>
                <w:sz w:val="24"/>
                <w14:textFill>
                  <w14:solidFill>
                    <w14:schemeClr w14:val="tx1"/>
                  </w14:solidFill>
                </w14:textFill>
              </w:rPr>
              <w:t>2021年2月，新疆维吾尔自治区人民政府发布了《新疆维吾尔自治区“三线一单”生态环境分区管控方案》（新政发﹝2021﹞18号）。为落实其管控要求，2021年7月，新疆维吾尔自治区生态环境厅发布了《新疆维吾尔自治区七大片区“三线一单”生态环境分区管控要求》（新环环评发﹝2021﹞162号）。</w:t>
            </w:r>
          </w:p>
          <w:p w14:paraId="53369944">
            <w:pPr>
              <w:keepNext w:val="0"/>
              <w:keepLines w:val="0"/>
              <w:widowControl/>
              <w:suppressLineNumbers w:val="0"/>
              <w:autoSpaceDE w:val="0"/>
              <w:spacing w:before="0" w:beforeAutospacing="0" w:after="0" w:afterAutospacing="0"/>
              <w:ind w:left="0" w:right="0"/>
              <w:jc w:val="center"/>
              <w:rPr>
                <w:rFonts w:hint="default" w:ascii="Times New Roman" w:hAnsi="Times New Roman" w:eastAsia="新宋体" w:cs="Times New Roman"/>
                <w:b/>
                <w:bCs/>
                <w:color w:val="000000" w:themeColor="text1"/>
                <w:sz w:val="21"/>
                <w:szCs w:val="18"/>
                <w14:textFill>
                  <w14:solidFill>
                    <w14:schemeClr w14:val="tx1"/>
                  </w14:solidFill>
                </w14:textFill>
              </w:rPr>
            </w:pPr>
            <w:r>
              <w:rPr>
                <w:rFonts w:hint="default" w:ascii="Times New Roman" w:hAnsi="Times New Roman" w:eastAsia="新宋体" w:cs="Times New Roman"/>
                <w:b/>
                <w:bCs/>
                <w:color w:val="000000" w:themeColor="text1"/>
                <w:sz w:val="21"/>
                <w:szCs w:val="18"/>
                <w14:textFill>
                  <w14:solidFill>
                    <w14:schemeClr w14:val="tx1"/>
                  </w14:solidFill>
                </w14:textFill>
              </w:rPr>
              <w:t>表1-</w:t>
            </w:r>
            <w:r>
              <w:rPr>
                <w:rFonts w:hint="eastAsia" w:eastAsia="新宋体" w:cs="Times New Roman"/>
                <w:b/>
                <w:bCs/>
                <w:color w:val="000000" w:themeColor="text1"/>
                <w:sz w:val="21"/>
                <w:szCs w:val="18"/>
                <w:lang w:val="en-US" w:eastAsia="zh-CN"/>
                <w14:textFill>
                  <w14:solidFill>
                    <w14:schemeClr w14:val="tx1"/>
                  </w14:solidFill>
                </w14:textFill>
              </w:rPr>
              <w:t>2</w:t>
            </w:r>
            <w:r>
              <w:rPr>
                <w:rFonts w:hint="default" w:ascii="Times New Roman" w:hAnsi="Times New Roman" w:eastAsia="新宋体" w:cs="Times New Roman"/>
                <w:b/>
                <w:bCs/>
                <w:color w:val="000000" w:themeColor="text1"/>
                <w:sz w:val="21"/>
                <w:szCs w:val="18"/>
                <w14:textFill>
                  <w14:solidFill>
                    <w14:schemeClr w14:val="tx1"/>
                  </w14:solidFill>
                </w14:textFill>
              </w:rPr>
              <w:t>项目与自治区</w:t>
            </w:r>
            <w:r>
              <w:rPr>
                <w:rFonts w:hint="default" w:ascii="Times New Roman" w:hAnsi="Times New Roman" w:eastAsia="新宋体" w:cs="Times New Roman"/>
                <w:b/>
                <w:bCs/>
                <w:color w:val="000000" w:themeColor="text1"/>
                <w:sz w:val="21"/>
                <w:szCs w:val="18"/>
                <w:lang w:eastAsia="zh-CN"/>
                <w14:textFill>
                  <w14:solidFill>
                    <w14:schemeClr w14:val="tx1"/>
                  </w14:solidFill>
                </w14:textFill>
              </w:rPr>
              <w:t>“</w:t>
            </w:r>
            <w:r>
              <w:rPr>
                <w:rFonts w:hint="default" w:ascii="Times New Roman" w:hAnsi="Times New Roman" w:eastAsia="新宋体" w:cs="Times New Roman"/>
                <w:b/>
                <w:bCs/>
                <w:color w:val="000000" w:themeColor="text1"/>
                <w:sz w:val="21"/>
                <w:szCs w:val="18"/>
                <w14:textFill>
                  <w14:solidFill>
                    <w14:schemeClr w14:val="tx1"/>
                  </w14:solidFill>
                </w14:textFill>
              </w:rPr>
              <w:t>三线一单</w:t>
            </w:r>
            <w:r>
              <w:rPr>
                <w:rFonts w:hint="default" w:ascii="Times New Roman" w:hAnsi="Times New Roman" w:eastAsia="新宋体" w:cs="Times New Roman"/>
                <w:b/>
                <w:bCs/>
                <w:color w:val="000000" w:themeColor="text1"/>
                <w:sz w:val="21"/>
                <w:szCs w:val="18"/>
                <w:lang w:eastAsia="zh-CN"/>
                <w14:textFill>
                  <w14:solidFill>
                    <w14:schemeClr w14:val="tx1"/>
                  </w14:solidFill>
                </w14:textFill>
              </w:rPr>
              <w:t>”</w:t>
            </w:r>
            <w:r>
              <w:rPr>
                <w:rFonts w:hint="default" w:ascii="Times New Roman" w:hAnsi="Times New Roman" w:eastAsia="新宋体" w:cs="Times New Roman"/>
                <w:b/>
                <w:bCs/>
                <w:color w:val="000000" w:themeColor="text1"/>
                <w:sz w:val="21"/>
                <w:szCs w:val="18"/>
                <w14:textFill>
                  <w14:solidFill>
                    <w14:schemeClr w14:val="tx1"/>
                  </w14:solidFill>
                </w14:textFill>
              </w:rPr>
              <w:t>符合性分析一览表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250"/>
              <w:gridCol w:w="2735"/>
              <w:gridCol w:w="408"/>
            </w:tblGrid>
            <w:tr w14:paraId="51480F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42" w:type="pct"/>
                  <w:tcBorders>
                    <w:tl2br w:val="nil"/>
                    <w:tr2bl w:val="nil"/>
                  </w:tcBorders>
                  <w:vAlign w:val="center"/>
                </w:tcPr>
                <w:p w14:paraId="69C8D497">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“三线一单”要求</w:t>
                  </w:r>
                </w:p>
              </w:tc>
              <w:tc>
                <w:tcPr>
                  <w:tcW w:w="2138" w:type="pct"/>
                  <w:tcBorders>
                    <w:tl2br w:val="nil"/>
                    <w:tr2bl w:val="nil"/>
                  </w:tcBorders>
                  <w:vAlign w:val="center"/>
                </w:tcPr>
                <w:p w14:paraId="25AEDC21">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项目情况</w:t>
                  </w:r>
                </w:p>
              </w:tc>
              <w:tc>
                <w:tcPr>
                  <w:tcW w:w="319" w:type="pct"/>
                  <w:tcBorders>
                    <w:tl2br w:val="nil"/>
                    <w:tr2bl w:val="nil"/>
                  </w:tcBorders>
                  <w:vAlign w:val="center"/>
                </w:tcPr>
                <w:p w14:paraId="5FA0DB62">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结论</w:t>
                  </w:r>
                </w:p>
              </w:tc>
            </w:tr>
            <w:tr w14:paraId="5376BF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42" w:type="pct"/>
                  <w:tcBorders>
                    <w:tl2br w:val="nil"/>
                    <w:tr2bl w:val="nil"/>
                  </w:tcBorders>
                  <w:vAlign w:val="center"/>
                </w:tcPr>
                <w:p w14:paraId="4E490359">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生态保护红线：按照“生态功能不降低、面积不减少、性质不改变”的基本要求，对划定的生态保护红线实施严格管控，保障和维护国家生态安全的底线和生命线。</w:t>
                  </w:r>
                </w:p>
              </w:tc>
              <w:tc>
                <w:tcPr>
                  <w:tcW w:w="2138" w:type="pct"/>
                  <w:tcBorders>
                    <w:tl2br w:val="nil"/>
                    <w:tr2bl w:val="nil"/>
                  </w:tcBorders>
                  <w:vAlign w:val="center"/>
                </w:tcPr>
                <w:p w14:paraId="288DB993">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项目区周边无生态保护目标，不会造成生态功能降低、面积减少、性质改变，不触及自治区生态保护红线，符合自治区生态保护红线要求。</w:t>
                  </w:r>
                </w:p>
              </w:tc>
              <w:tc>
                <w:tcPr>
                  <w:tcW w:w="319" w:type="pct"/>
                  <w:tcBorders>
                    <w:tl2br w:val="nil"/>
                    <w:tr2bl w:val="nil"/>
                  </w:tcBorders>
                  <w:vAlign w:val="center"/>
                </w:tcPr>
                <w:p w14:paraId="01853978">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05E6B9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42" w:type="pct"/>
                  <w:tcBorders>
                    <w:tl2br w:val="nil"/>
                    <w:tr2bl w:val="nil"/>
                  </w:tcBorders>
                  <w:vAlign w:val="center"/>
                </w:tcPr>
                <w:p w14:paraId="3DD4673C">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环境质量底线：全区水环境质量持续改善，受污染地表水体得到有效治理，饮用水安全保障水平持续提升，地下水超采得到严格控制，地下水水质保持稳定；全区环境空气质量有所提升，重污染天数持续减少，已达标城市环境空气质量保持稳定，未达标城市环境空气质量持续改善，沙尘影响严重地区做好防风固沙、生态环境保护修复等工作；全区土壤环境质量保持稳定，污染地块安全利用水平稳中有升，土壤环境风险得到进一步管控。</w:t>
                  </w:r>
                </w:p>
              </w:tc>
              <w:tc>
                <w:tcPr>
                  <w:tcW w:w="2138" w:type="pct"/>
                  <w:tcBorders>
                    <w:tl2br w:val="nil"/>
                    <w:tr2bl w:val="nil"/>
                  </w:tcBorders>
                  <w:vAlign w:val="center"/>
                </w:tcPr>
                <w:p w14:paraId="3C012CB4">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本项目废水与地表水无水力联系，不进行地下水开采，生产过程中产生的污染物在经过相应措施治理后，不会对当地空气及土壤环境质量造成影响，符合自治区环境质量底线要求。</w:t>
                  </w:r>
                </w:p>
              </w:tc>
              <w:tc>
                <w:tcPr>
                  <w:tcW w:w="319" w:type="pct"/>
                  <w:tcBorders>
                    <w:tl2br w:val="nil"/>
                    <w:tr2bl w:val="nil"/>
                  </w:tcBorders>
                  <w:vAlign w:val="center"/>
                </w:tcPr>
                <w:p w14:paraId="1FB7FA33">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07D458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542" w:type="pct"/>
                  <w:tcBorders>
                    <w:tl2br w:val="nil"/>
                    <w:tr2bl w:val="nil"/>
                  </w:tcBorders>
                  <w:vAlign w:val="center"/>
                </w:tcPr>
                <w:p w14:paraId="0E289D6C">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资源利用上线：强化节约集约利用，持续提升资源能源利用效率，水资源、土地资源、能源消耗等达到国家、自治区下达的总量和强度控制目标。加快区域低碳发展，积极推动乌鲁木齐市、昌吉市、伊宁市、和田市等4个国家级低碳试点城市发挥低碳试点示范和引领作用。</w:t>
                  </w:r>
                </w:p>
              </w:tc>
              <w:tc>
                <w:tcPr>
                  <w:tcW w:w="2138" w:type="pct"/>
                  <w:tcBorders>
                    <w:tl2br w:val="nil"/>
                    <w:tr2bl w:val="nil"/>
                  </w:tcBorders>
                  <w:vAlign w:val="center"/>
                </w:tcPr>
                <w:p w14:paraId="73C1AC32">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项目本身水、电资源使用量较少，且不位于4个国家级低碳试点城市中。不会突破自治区的资源利用上线。</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建设单位已于20</w:t>
                  </w:r>
                  <w:r>
                    <w:rPr>
                      <w:rFonts w:hint="eastAsia" w:eastAsia="宋体" w:cs="Times New Roman"/>
                      <w:color w:val="000000" w:themeColor="text1"/>
                      <w:sz w:val="21"/>
                      <w:szCs w:val="21"/>
                      <w:highlight w:val="none"/>
                      <w:lang w:val="en-US" w:eastAsia="zh-CN"/>
                      <w14:textFill>
                        <w14:solidFill>
                          <w14:schemeClr w14:val="tx1"/>
                        </w14:solidFill>
                      </w14:textFill>
                    </w:rPr>
                    <w:t>03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年1月</w:t>
                  </w:r>
                  <w:r>
                    <w:rPr>
                      <w:rFonts w:hint="eastAsia" w:eastAsia="宋体" w:cs="Times New Roman"/>
                      <w:color w:val="000000" w:themeColor="text1"/>
                      <w:sz w:val="21"/>
                      <w:szCs w:val="21"/>
                      <w:highlight w:val="none"/>
                      <w:lang w:val="en-US" w:eastAsia="zh-CN"/>
                      <w14:textFill>
                        <w14:solidFill>
                          <w14:schemeClr w14:val="tx1"/>
                        </w14:solidFill>
                      </w14:textFill>
                    </w:rPr>
                    <w:t>21</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日取得建设用地规划许可证。</w:t>
                  </w:r>
                </w:p>
              </w:tc>
              <w:tc>
                <w:tcPr>
                  <w:tcW w:w="319" w:type="pct"/>
                  <w:tcBorders>
                    <w:tl2br w:val="nil"/>
                    <w:tr2bl w:val="nil"/>
                  </w:tcBorders>
                  <w:vAlign w:val="center"/>
                </w:tcPr>
                <w:p w14:paraId="135223A7">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2EA1F5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42" w:type="pct"/>
                  <w:tcBorders>
                    <w:tl2br w:val="nil"/>
                    <w:tr2bl w:val="nil"/>
                  </w:tcBorders>
                  <w:vAlign w:val="center"/>
                </w:tcPr>
                <w:p w14:paraId="1CED59FB">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生态环境准入清单：指基于环境管控单元，统筹考虑生态保护红线、环境质量底线、资源利用上线的管控要求，提出的空间布局、污染物排放、环境风险、资源开发利用等方面禁止和限制的环境准入要求。</w:t>
                  </w:r>
                </w:p>
              </w:tc>
              <w:tc>
                <w:tcPr>
                  <w:tcW w:w="2138" w:type="pct"/>
                  <w:tcBorders>
                    <w:tl2br w:val="nil"/>
                    <w:tr2bl w:val="nil"/>
                  </w:tcBorders>
                  <w:vAlign w:val="center"/>
                </w:tcPr>
                <w:p w14:paraId="7C0D030C">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本项目不属于综合生态保护红线、环境质量底线、资源利用上线的管控要求，符合自治区环境准入要求。</w:t>
                  </w:r>
                </w:p>
              </w:tc>
              <w:tc>
                <w:tcPr>
                  <w:tcW w:w="319" w:type="pct"/>
                  <w:tcBorders>
                    <w:tl2br w:val="nil"/>
                    <w:tr2bl w:val="nil"/>
                  </w:tcBorders>
                  <w:vAlign w:val="center"/>
                </w:tcPr>
                <w:p w14:paraId="1256A128">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bl>
          <w:p w14:paraId="0FE39C51">
            <w:pPr>
              <w:keepNext w:val="0"/>
              <w:keepLines w:val="0"/>
              <w:widowControl/>
              <w:suppressLineNumbers w:val="0"/>
              <w:spacing w:before="0" w:beforeAutospacing="0" w:after="0" w:afterAutospacing="0" w:line="360" w:lineRule="auto"/>
              <w:ind w:left="0" w:right="0" w:firstLine="480" w:firstLineChars="200"/>
              <w:jc w:val="left"/>
              <w:rPr>
                <w:rFonts w:hint="eastAsia" w:ascii="Times New Roman" w:hAnsi="Times New Roman" w:eastAsia="新宋体" w:cs="Times New Roman"/>
                <w:color w:val="000000" w:themeColor="text1"/>
                <w:sz w:val="24"/>
                <w:lang w:val="en-US" w:eastAsia="zh-CN"/>
                <w14:textFill>
                  <w14:solidFill>
                    <w14:schemeClr w14:val="tx1"/>
                  </w14:solidFill>
                </w14:textFill>
              </w:rPr>
            </w:pPr>
            <w:r>
              <w:rPr>
                <w:rFonts w:hint="default" w:ascii="Times New Roman" w:hAnsi="Times New Roman" w:eastAsia="新宋体" w:cs="Times New Roman"/>
                <w:color w:val="000000" w:themeColor="text1"/>
                <w:sz w:val="24"/>
                <w14:textFill>
                  <w14:solidFill>
                    <w14:schemeClr w14:val="tx1"/>
                  </w14:solidFill>
                </w14:textFill>
              </w:rPr>
              <w:t>本项目与自治区七大片区天山南坡管控要求的符合性分析</w:t>
            </w:r>
            <w:r>
              <w:rPr>
                <w:rFonts w:hint="eastAsia" w:eastAsia="新宋体" w:cs="Times New Roman"/>
                <w:color w:val="000000" w:themeColor="text1"/>
                <w:sz w:val="24"/>
                <w:lang w:val="en-US" w:eastAsia="zh-CN"/>
                <w14:textFill>
                  <w14:solidFill>
                    <w14:schemeClr w14:val="tx1"/>
                  </w14:solidFill>
                </w14:textFill>
              </w:rPr>
              <w:t>如下：</w:t>
            </w:r>
          </w:p>
          <w:p w14:paraId="41090FA0">
            <w:pPr>
              <w:pStyle w:val="6"/>
              <w:keepNext w:val="0"/>
              <w:keepLines w:val="0"/>
              <w:suppressLineNumbers w:val="0"/>
              <w:bidi w:val="0"/>
              <w:spacing w:before="0" w:beforeAutospacing="0" w:after="0" w:afterAutospacing="0"/>
              <w:ind w:left="0" w:right="0"/>
              <w:jc w:val="center"/>
              <w:rPr>
                <w:rFonts w:hint="default" w:ascii="Times New Roman" w:hAnsi="Times New Roman" w:eastAsia="新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新宋体" w:cs="Times New Roman"/>
                <w:b/>
                <w:bCs/>
                <w:color w:val="000000" w:themeColor="text1"/>
                <w:kern w:val="2"/>
                <w:sz w:val="21"/>
                <w:szCs w:val="21"/>
                <w:lang w:val="en-US" w:eastAsia="zh-CN" w:bidi="ar-SA"/>
                <w14:textFill>
                  <w14:solidFill>
                    <w14:schemeClr w14:val="tx1"/>
                  </w14:solidFill>
                </w14:textFill>
              </w:rPr>
              <w:t>表1-</w:t>
            </w:r>
            <w:r>
              <w:rPr>
                <w:rFonts w:hint="eastAsia" w:eastAsia="新宋体" w:cs="Times New Roman"/>
                <w:b/>
                <w:bCs/>
                <w:color w:val="000000" w:themeColor="text1"/>
                <w:kern w:val="2"/>
                <w:sz w:val="21"/>
                <w:szCs w:val="21"/>
                <w:lang w:val="en-US" w:eastAsia="zh-CN" w:bidi="ar-SA"/>
                <w14:textFill>
                  <w14:solidFill>
                    <w14:schemeClr w14:val="tx1"/>
                  </w14:solidFill>
                </w14:textFill>
              </w:rPr>
              <w:t>3</w:t>
            </w:r>
            <w:r>
              <w:rPr>
                <w:rFonts w:hint="default" w:ascii="Times New Roman" w:hAnsi="Times New Roman" w:eastAsia="新宋体" w:cs="Times New Roman"/>
                <w:b/>
                <w:bCs/>
                <w:color w:val="000000" w:themeColor="text1"/>
                <w:kern w:val="2"/>
                <w:sz w:val="21"/>
                <w:szCs w:val="21"/>
                <w:lang w:val="en-US" w:eastAsia="zh-CN" w:bidi="ar-SA"/>
                <w14:textFill>
                  <w14:solidFill>
                    <w14:schemeClr w14:val="tx1"/>
                  </w14:solidFill>
                </w14:textFill>
              </w:rPr>
              <w:t>与《自治区生态环境分区管控方案和七大片区管控要求》的符合性分析</w:t>
            </w:r>
          </w:p>
          <w:tbl>
            <w:tblPr>
              <w:tblStyle w:val="29"/>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0"/>
              <w:gridCol w:w="717"/>
              <w:gridCol w:w="2759"/>
              <w:gridCol w:w="2290"/>
            </w:tblGrid>
            <w:tr w14:paraId="3EB4A1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86" w:type="pct"/>
                  <w:vMerge w:val="restart"/>
                  <w:tcBorders>
                    <w:tl2br w:val="nil"/>
                    <w:tr2bl w:val="nil"/>
                  </w:tcBorders>
                  <w:noWrap w:val="0"/>
                  <w:vAlign w:val="center"/>
                </w:tcPr>
                <w:p w14:paraId="222A447A">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生态环境分区管控</w:t>
                  </w:r>
                </w:p>
              </w:tc>
              <w:tc>
                <w:tcPr>
                  <w:tcW w:w="560" w:type="pct"/>
                  <w:tcBorders>
                    <w:tl2br w:val="nil"/>
                    <w:tr2bl w:val="nil"/>
                  </w:tcBorders>
                  <w:noWrap w:val="0"/>
                  <w:vAlign w:val="center"/>
                </w:tcPr>
                <w:p w14:paraId="364F4942">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管控类别</w:t>
                  </w:r>
                </w:p>
              </w:tc>
              <w:tc>
                <w:tcPr>
                  <w:tcW w:w="2159" w:type="pct"/>
                  <w:tcBorders>
                    <w:tl2br w:val="nil"/>
                    <w:tr2bl w:val="nil"/>
                  </w:tcBorders>
                  <w:noWrap w:val="0"/>
                  <w:vAlign w:val="center"/>
                </w:tcPr>
                <w:p w14:paraId="5DE3FD63">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管控要求</w:t>
                  </w:r>
                </w:p>
              </w:tc>
              <w:tc>
                <w:tcPr>
                  <w:tcW w:w="1792" w:type="pct"/>
                  <w:tcBorders>
                    <w:tl2br w:val="nil"/>
                    <w:tr2bl w:val="nil"/>
                  </w:tcBorders>
                  <w:noWrap w:val="0"/>
                  <w:vAlign w:val="center"/>
                </w:tcPr>
                <w:p w14:paraId="6665548C">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符合性分析</w:t>
                  </w:r>
                </w:p>
              </w:tc>
            </w:tr>
            <w:tr w14:paraId="482727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86" w:type="pct"/>
                  <w:vMerge w:val="continue"/>
                  <w:tcBorders>
                    <w:tl2br w:val="nil"/>
                    <w:tr2bl w:val="nil"/>
                  </w:tcBorders>
                  <w:noWrap w:val="0"/>
                  <w:vAlign w:val="center"/>
                </w:tcPr>
                <w:p w14:paraId="3A40DCF5">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60" w:type="pct"/>
                  <w:vMerge w:val="restart"/>
                  <w:tcBorders>
                    <w:tl2br w:val="nil"/>
                    <w:tr2bl w:val="nil"/>
                  </w:tcBorders>
                  <w:noWrap w:val="0"/>
                  <w:vAlign w:val="center"/>
                </w:tcPr>
                <w:p w14:paraId="1F986713">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空间布局约束</w:t>
                  </w:r>
                </w:p>
              </w:tc>
              <w:tc>
                <w:tcPr>
                  <w:tcW w:w="2159" w:type="pct"/>
                  <w:tcBorders>
                    <w:tl2br w:val="nil"/>
                    <w:tr2bl w:val="nil"/>
                  </w:tcBorders>
                  <w:noWrap w:val="0"/>
                  <w:vAlign w:val="center"/>
                </w:tcPr>
                <w:p w14:paraId="2872BBCD">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严格执行国家、自治区产业政策和环境准入要求，严禁“三高”项目进新疆，坚决遏制“两高”项目盲目发展。</w:t>
                  </w:r>
                </w:p>
              </w:tc>
              <w:tc>
                <w:tcPr>
                  <w:tcW w:w="1792" w:type="pct"/>
                  <w:tcBorders>
                    <w:tl2br w:val="nil"/>
                    <w:tr2bl w:val="nil"/>
                  </w:tcBorders>
                  <w:noWrap w:val="0"/>
                  <w:vAlign w:val="center"/>
                </w:tcPr>
                <w:p w14:paraId="12D505A4">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符合，本项目为</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砼结构构件制造</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，不属于“三高（高污染、高能耗、高环境风险）”及“两高”项目。</w:t>
                  </w:r>
                </w:p>
              </w:tc>
            </w:tr>
            <w:tr w14:paraId="4496BE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86" w:type="pct"/>
                  <w:vMerge w:val="continue"/>
                  <w:tcBorders>
                    <w:tl2br w:val="nil"/>
                    <w:tr2bl w:val="nil"/>
                  </w:tcBorders>
                  <w:noWrap w:val="0"/>
                  <w:vAlign w:val="center"/>
                </w:tcPr>
                <w:p w14:paraId="0964C748">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60" w:type="pct"/>
                  <w:vMerge w:val="continue"/>
                  <w:tcBorders>
                    <w:tl2br w:val="nil"/>
                    <w:tr2bl w:val="nil"/>
                  </w:tcBorders>
                  <w:noWrap w:val="0"/>
                  <w:vAlign w:val="center"/>
                </w:tcPr>
                <w:p w14:paraId="73653513">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159" w:type="pct"/>
                  <w:tcBorders>
                    <w:tl2br w:val="nil"/>
                    <w:tr2bl w:val="nil"/>
                  </w:tcBorders>
                  <w:noWrap w:val="0"/>
                  <w:vAlign w:val="center"/>
                </w:tcPr>
                <w:p w14:paraId="317CEF26">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不得在水源涵养区、饮用水水源保护区内和河流、湖泊、水库周围建设重化工、涉重金属等工业污染项目。</w:t>
                  </w:r>
                </w:p>
              </w:tc>
              <w:tc>
                <w:tcPr>
                  <w:tcW w:w="1792" w:type="pct"/>
                  <w:tcBorders>
                    <w:tl2br w:val="nil"/>
                    <w:tr2bl w:val="nil"/>
                  </w:tcBorders>
                  <w:noWrap w:val="0"/>
                  <w:vAlign w:val="center"/>
                </w:tcPr>
                <w:p w14:paraId="3C6B3DCB">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符合，本项目不属于重化工、涉重金属等工业污染项目。</w:t>
                  </w:r>
                </w:p>
              </w:tc>
            </w:tr>
            <w:tr w14:paraId="3A7B79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86" w:type="pct"/>
                  <w:vMerge w:val="continue"/>
                  <w:tcBorders>
                    <w:tl2br w:val="nil"/>
                    <w:tr2bl w:val="nil"/>
                  </w:tcBorders>
                  <w:noWrap w:val="0"/>
                  <w:vAlign w:val="center"/>
                </w:tcPr>
                <w:p w14:paraId="02347883">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60" w:type="pct"/>
                  <w:vMerge w:val="continue"/>
                  <w:tcBorders>
                    <w:tl2br w:val="nil"/>
                    <w:tr2bl w:val="nil"/>
                  </w:tcBorders>
                  <w:noWrap w:val="0"/>
                  <w:vAlign w:val="center"/>
                </w:tcPr>
                <w:p w14:paraId="63F74353">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159" w:type="pct"/>
                  <w:tcBorders>
                    <w:tl2br w:val="nil"/>
                    <w:tr2bl w:val="nil"/>
                  </w:tcBorders>
                  <w:noWrap w:val="0"/>
                  <w:vAlign w:val="center"/>
                </w:tcPr>
                <w:p w14:paraId="620E0227">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推动项目集聚发展，新建、改建、扩建工业项目原则上应布置由县级及以上人民政府批准建立、环境保护基础设施完善的产业园区、工业聚集区或规划区，并且符合相关规划和规划环评要求。</w:t>
                  </w:r>
                </w:p>
              </w:tc>
              <w:tc>
                <w:tcPr>
                  <w:tcW w:w="1792" w:type="pct"/>
                  <w:tcBorders>
                    <w:tl2br w:val="nil"/>
                    <w:tr2bl w:val="nil"/>
                  </w:tcBorders>
                  <w:noWrap w:val="0"/>
                  <w:vAlign w:val="center"/>
                </w:tcPr>
                <w:p w14:paraId="6243DA4C">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符合，项目用地性质为工业用地，符合《</w:t>
                  </w:r>
                  <w:r>
                    <w:rPr>
                      <w:rFonts w:hint="eastAsia" w:eastAsia="宋体" w:cs="Times New Roman"/>
                      <w:color w:val="000000" w:themeColor="text1"/>
                      <w:sz w:val="21"/>
                      <w:szCs w:val="21"/>
                      <w:highlight w:val="none"/>
                      <w:lang w:val="en-US" w:eastAsia="zh-CN"/>
                      <w14:textFill>
                        <w14:solidFill>
                          <w14:schemeClr w14:val="tx1"/>
                        </w14:solidFill>
                      </w14:textFill>
                    </w:rPr>
                    <w:t>和硕县</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国土空间总体规划（2021—2035年）》</w:t>
                  </w:r>
                  <w:r>
                    <w:rPr>
                      <w:rFonts w:hint="eastAsia" w:eastAsia="宋体" w:cs="Times New Roman"/>
                      <w:color w:val="000000" w:themeColor="text1"/>
                      <w:sz w:val="21"/>
                      <w:szCs w:val="21"/>
                      <w:highlight w:val="none"/>
                      <w:lang w:val="en-US" w:eastAsia="zh-CN"/>
                      <w14:textFill>
                        <w14:solidFill>
                          <w14:schemeClr w14:val="tx1"/>
                        </w14:solidFill>
                      </w14:textFill>
                    </w:rPr>
                    <w:t>要求</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5D0A6C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86" w:type="pct"/>
                  <w:vMerge w:val="continue"/>
                  <w:tcBorders>
                    <w:tl2br w:val="nil"/>
                    <w:tr2bl w:val="nil"/>
                  </w:tcBorders>
                  <w:noWrap w:val="0"/>
                  <w:vAlign w:val="center"/>
                </w:tcPr>
                <w:p w14:paraId="701B1819">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60" w:type="pct"/>
                  <w:vMerge w:val="restart"/>
                  <w:tcBorders>
                    <w:tl2br w:val="nil"/>
                    <w:tr2bl w:val="nil"/>
                  </w:tcBorders>
                  <w:noWrap w:val="0"/>
                  <w:vAlign w:val="center"/>
                </w:tcPr>
                <w:p w14:paraId="1855B9DF">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污染物排放管控</w:t>
                  </w:r>
                </w:p>
              </w:tc>
              <w:tc>
                <w:tcPr>
                  <w:tcW w:w="2159" w:type="pct"/>
                  <w:tcBorders>
                    <w:tl2br w:val="nil"/>
                    <w:tr2bl w:val="nil"/>
                  </w:tcBorders>
                  <w:noWrap w:val="0"/>
                  <w:vAlign w:val="center"/>
                </w:tcPr>
                <w:p w14:paraId="557C170C">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深化行业污染源头治理，深入开展火电行业减排，全力推进钢铁行业超低排放改造，有序推进石化行业“泄漏检测与修复”技术改造。强化煤化工、石化、有机化工、表面涂装、包装印刷等重点行业挥发性有机物控制。深入开展燃煤锅炉污染综合整治，深化工业炉窑综合治理。加强“散乱污”企业综合整治。优化区域交通运输结构，加快货物运输绿色转型，做好车油联合管控。</w:t>
                  </w:r>
                </w:p>
              </w:tc>
              <w:tc>
                <w:tcPr>
                  <w:tcW w:w="1792" w:type="pct"/>
                  <w:tcBorders>
                    <w:tl2br w:val="nil"/>
                    <w:tr2bl w:val="nil"/>
                  </w:tcBorders>
                  <w:noWrap w:val="0"/>
                  <w:vAlign w:val="center"/>
                </w:tcPr>
                <w:p w14:paraId="4D89FE16">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原料及成品依托社会运输车辆</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，不涉及所列燃煤锅炉及炉窑</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2EB3B9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86" w:type="pct"/>
                  <w:vMerge w:val="continue"/>
                  <w:tcBorders>
                    <w:tl2br w:val="nil"/>
                    <w:tr2bl w:val="nil"/>
                  </w:tcBorders>
                  <w:noWrap w:val="0"/>
                  <w:vAlign w:val="center"/>
                </w:tcPr>
                <w:p w14:paraId="3C6D2B1E">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60" w:type="pct"/>
                  <w:vMerge w:val="continue"/>
                  <w:tcBorders>
                    <w:tl2br w:val="nil"/>
                    <w:tr2bl w:val="nil"/>
                  </w:tcBorders>
                  <w:noWrap w:val="0"/>
                  <w:vAlign w:val="center"/>
                </w:tcPr>
                <w:p w14:paraId="0F72B652">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159" w:type="pct"/>
                  <w:tcBorders>
                    <w:tl2br w:val="nil"/>
                    <w:tr2bl w:val="nil"/>
                  </w:tcBorders>
                  <w:noWrap w:val="0"/>
                  <w:vAlign w:val="center"/>
                </w:tcPr>
                <w:p w14:paraId="77EB0FAA">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以改善流域水环境质量为核心，强化源头控制，“一河（湖）一策”精准施治，减少水污染物排放，持续改善水环境质量。强化园区（工业集聚区）“水污染防治，不断提高工业用水重复利用率。加快实施城镇污水处理设施提质增效，补齐生活污水收集和处理设施短板，提高再生水回用比例。持续推进农业农村污染防治。</w:t>
                  </w:r>
                </w:p>
              </w:tc>
              <w:tc>
                <w:tcPr>
                  <w:tcW w:w="1792" w:type="pct"/>
                  <w:tcBorders>
                    <w:tl2br w:val="nil"/>
                    <w:tr2bl w:val="nil"/>
                  </w:tcBorders>
                  <w:noWrap w:val="0"/>
                  <w:vAlign w:val="center"/>
                </w:tcPr>
                <w:p w14:paraId="172644B7">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符合，项目不涉及饮用水源等环境敏感区域</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，洗车废水</w:t>
                  </w:r>
                  <w:r>
                    <w:rPr>
                      <w:rFonts w:hint="eastAsia" w:eastAsia="宋体" w:cs="Times New Roman"/>
                      <w:color w:val="000000" w:themeColor="text1"/>
                      <w:sz w:val="21"/>
                      <w:szCs w:val="21"/>
                      <w:highlight w:val="none"/>
                      <w:lang w:val="en-US" w:eastAsia="zh-CN"/>
                      <w14:textFill>
                        <w14:solidFill>
                          <w14:schemeClr w14:val="tx1"/>
                        </w14:solidFill>
                      </w14:textFill>
                    </w:rPr>
                    <w:t>、养护废水</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经防渗沉淀池沉淀后回用，无生产废水外排</w:t>
                  </w:r>
                  <w:r>
                    <w:rPr>
                      <w:rFonts w:hint="eastAsia" w:eastAsia="宋体" w:cs="Times New Roman"/>
                      <w:color w:val="000000" w:themeColor="text1"/>
                      <w:sz w:val="21"/>
                      <w:szCs w:val="21"/>
                      <w:highlight w:val="none"/>
                      <w:lang w:val="en-US" w:eastAsia="zh-CN"/>
                      <w14:textFill>
                        <w14:solidFill>
                          <w14:schemeClr w14:val="tx1"/>
                        </w14:solidFill>
                      </w14:textFill>
                    </w:rPr>
                    <w:t>，配料用水随产品带出；生活污水委托拉运至和硕县污水处理厂</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7A9066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86" w:type="pct"/>
                  <w:vMerge w:val="continue"/>
                  <w:tcBorders>
                    <w:tl2br w:val="nil"/>
                    <w:tr2bl w:val="nil"/>
                  </w:tcBorders>
                  <w:noWrap w:val="0"/>
                  <w:vAlign w:val="center"/>
                </w:tcPr>
                <w:p w14:paraId="7F2E8310">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60" w:type="pct"/>
                  <w:vMerge w:val="continue"/>
                  <w:tcBorders>
                    <w:tl2br w:val="nil"/>
                    <w:tr2bl w:val="nil"/>
                  </w:tcBorders>
                  <w:noWrap w:val="0"/>
                  <w:vAlign w:val="center"/>
                </w:tcPr>
                <w:p w14:paraId="014F5DC3">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159" w:type="pct"/>
                  <w:tcBorders>
                    <w:tl2br w:val="nil"/>
                    <w:tr2bl w:val="nil"/>
                  </w:tcBorders>
                  <w:noWrap w:val="0"/>
                  <w:vAlign w:val="center"/>
                </w:tcPr>
                <w:p w14:paraId="7459D245">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提升土壤环境监管能力，加强污染地块安全利用监管。强化工矿用地管理，严格建设用地土壤环境风险管控。加强农用地土壤污染源头控制，科学施用化肥农药，提高农膜回收率。</w:t>
                  </w:r>
                </w:p>
              </w:tc>
              <w:tc>
                <w:tcPr>
                  <w:tcW w:w="1792" w:type="pct"/>
                  <w:tcBorders>
                    <w:tl2br w:val="nil"/>
                    <w:tr2bl w:val="nil"/>
                  </w:tcBorders>
                  <w:noWrap w:val="0"/>
                  <w:vAlign w:val="center"/>
                </w:tcPr>
                <w:p w14:paraId="4A3C52FE">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符合，本项目分区防渗，项目区相邻无农用地。</w:t>
                  </w:r>
                </w:p>
              </w:tc>
            </w:tr>
            <w:tr w14:paraId="26A5EB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86" w:type="pct"/>
                  <w:vMerge w:val="continue"/>
                  <w:tcBorders>
                    <w:tl2br w:val="nil"/>
                    <w:tr2bl w:val="nil"/>
                  </w:tcBorders>
                  <w:noWrap w:val="0"/>
                  <w:vAlign w:val="center"/>
                </w:tcPr>
                <w:p w14:paraId="3733E331">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60" w:type="pct"/>
                  <w:tcBorders>
                    <w:tl2br w:val="nil"/>
                    <w:tr2bl w:val="nil"/>
                  </w:tcBorders>
                  <w:noWrap w:val="0"/>
                  <w:vAlign w:val="center"/>
                </w:tcPr>
                <w:p w14:paraId="773463A4">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环境风险防控</w:t>
                  </w:r>
                </w:p>
              </w:tc>
              <w:tc>
                <w:tcPr>
                  <w:tcW w:w="2159" w:type="pct"/>
                  <w:tcBorders>
                    <w:tl2br w:val="nil"/>
                    <w:tr2bl w:val="nil"/>
                  </w:tcBorders>
                  <w:noWrap w:val="0"/>
                  <w:vAlign w:val="center"/>
                </w:tcPr>
                <w:p w14:paraId="070B42E3">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禁止在化工园区外新建、扩建危险化学品生产项目。严格落实危险废物处置相关要求。加强重点流域水环境风险管控，保障水环境安全。</w:t>
                  </w:r>
                </w:p>
              </w:tc>
              <w:tc>
                <w:tcPr>
                  <w:tcW w:w="1792" w:type="pct"/>
                  <w:tcBorders>
                    <w:tl2br w:val="nil"/>
                    <w:tr2bl w:val="nil"/>
                  </w:tcBorders>
                  <w:noWrap w:val="0"/>
                  <w:vAlign w:val="center"/>
                </w:tcPr>
                <w:p w14:paraId="3347BAA1">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符合，本项目不属于危险化学品生产项目。</w:t>
                  </w:r>
                </w:p>
              </w:tc>
            </w:tr>
            <w:tr w14:paraId="146A0A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86" w:type="pct"/>
                  <w:vMerge w:val="continue"/>
                  <w:tcBorders>
                    <w:tl2br w:val="nil"/>
                    <w:tr2bl w:val="nil"/>
                  </w:tcBorders>
                  <w:noWrap w:val="0"/>
                  <w:vAlign w:val="center"/>
                </w:tcPr>
                <w:p w14:paraId="6160E424">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60" w:type="pct"/>
                  <w:tcBorders>
                    <w:tl2br w:val="nil"/>
                    <w:tr2bl w:val="nil"/>
                  </w:tcBorders>
                  <w:noWrap w:val="0"/>
                  <w:vAlign w:val="center"/>
                </w:tcPr>
                <w:p w14:paraId="7A3C1CAA">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资源利用效率</w:t>
                  </w:r>
                </w:p>
              </w:tc>
              <w:tc>
                <w:tcPr>
                  <w:tcW w:w="2159" w:type="pct"/>
                  <w:tcBorders>
                    <w:tl2br w:val="nil"/>
                    <w:tr2bl w:val="nil"/>
                  </w:tcBorders>
                  <w:noWrap w:val="0"/>
                  <w:vAlign w:val="center"/>
                </w:tcPr>
                <w:p w14:paraId="304774AC">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优化能源结构，控制煤炭等化石能源使用量，鼓励使用清洁能源，协同推进减污降碳。全面实施节水工程，合理开发利用水资源，提升水资源利用效率，保障生态用水，严防地下水超采。</w:t>
                  </w:r>
                </w:p>
              </w:tc>
              <w:tc>
                <w:tcPr>
                  <w:tcW w:w="1792" w:type="pct"/>
                  <w:tcBorders>
                    <w:tl2br w:val="nil"/>
                    <w:tr2bl w:val="nil"/>
                  </w:tcBorders>
                  <w:noWrap w:val="0"/>
                  <w:vAlign w:val="center"/>
                </w:tcPr>
                <w:p w14:paraId="3605FFD5">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符合，本项目</w:t>
                  </w:r>
                  <w:r>
                    <w:rPr>
                      <w:rFonts w:hint="eastAsia" w:eastAsia="宋体" w:cs="Times New Roman"/>
                      <w:color w:val="000000" w:themeColor="text1"/>
                      <w:sz w:val="21"/>
                      <w:szCs w:val="21"/>
                      <w:highlight w:val="none"/>
                      <w:lang w:val="en-US" w:eastAsia="zh-CN"/>
                      <w14:textFill>
                        <w14:solidFill>
                          <w14:schemeClr w14:val="tx1"/>
                        </w14:solidFill>
                      </w14:textFill>
                    </w:rPr>
                    <w:t>年用水量</w:t>
                  </w:r>
                  <w:r>
                    <w:rPr>
                      <w:rFonts w:hint="eastAsia" w:eastAsia="新宋体" w:cs="Times New Roman"/>
                      <w:color w:val="000000" w:themeColor="text1"/>
                      <w:kern w:val="2"/>
                      <w:sz w:val="21"/>
                      <w:szCs w:val="21"/>
                      <w:lang w:val="en-US" w:eastAsia="zh-CN" w:bidi="ar-SA"/>
                      <w14:textFill>
                        <w14:solidFill>
                          <w14:schemeClr w14:val="tx1"/>
                        </w14:solidFill>
                      </w14:textFill>
                    </w:rPr>
                    <w:t>5740.51m</w:t>
                  </w:r>
                  <w:r>
                    <w:rPr>
                      <w:rFonts w:hint="eastAsia" w:eastAsia="新宋体" w:cs="Times New Roman"/>
                      <w:color w:val="000000" w:themeColor="text1"/>
                      <w:kern w:val="2"/>
                      <w:sz w:val="21"/>
                      <w:szCs w:val="21"/>
                      <w:vertAlign w:val="superscript"/>
                      <w:lang w:val="en-US" w:eastAsia="zh-CN" w:bidi="ar-SA"/>
                      <w14:textFill>
                        <w14:solidFill>
                          <w14:schemeClr w14:val="tx1"/>
                        </w14:solidFill>
                      </w14:textFill>
                    </w:rPr>
                    <w:t>3</w:t>
                  </w:r>
                  <w:r>
                    <w:rPr>
                      <w:rFonts w:hint="eastAsia" w:eastAsia="新宋体" w:cs="Times New Roman"/>
                      <w:color w:val="000000" w:themeColor="text1"/>
                      <w:kern w:val="2"/>
                      <w:sz w:val="21"/>
                      <w:szCs w:val="21"/>
                      <w:lang w:val="en-US" w:eastAsia="zh-CN" w:bidi="ar-SA"/>
                      <w14:textFill>
                        <w14:solidFill>
                          <w14:schemeClr w14:val="tx1"/>
                        </w14:solidFill>
                      </w14:textFill>
                    </w:rPr>
                    <w:t>，不涉及地下水开采等</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6FB77A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047" w:type="pct"/>
                  <w:gridSpan w:val="2"/>
                  <w:vMerge w:val="restart"/>
                  <w:tcBorders>
                    <w:tl2br w:val="nil"/>
                    <w:tr2bl w:val="nil"/>
                  </w:tcBorders>
                  <w:noWrap w:val="0"/>
                  <w:vAlign w:val="center"/>
                </w:tcPr>
                <w:p w14:paraId="7C012560">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天山南坡片区</w:t>
                  </w:r>
                </w:p>
              </w:tc>
              <w:tc>
                <w:tcPr>
                  <w:tcW w:w="2159" w:type="pct"/>
                  <w:tcBorders>
                    <w:tl2br w:val="nil"/>
                    <w:tr2bl w:val="nil"/>
                  </w:tcBorders>
                  <w:noWrap w:val="0"/>
                  <w:vAlign w:val="center"/>
                </w:tcPr>
                <w:p w14:paraId="7D53300E">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切实保护托木尔峰和天山南坡中段冰雪水源及生物多样性保护生态功能区内的托木尔峰自然景观、高山冰川、野生动物、森林和草原，合理利用天然草地，稳步推进草原减牧，加强保护区管理，维护自然景观和生物多样性。</w:t>
                  </w:r>
                </w:p>
              </w:tc>
              <w:tc>
                <w:tcPr>
                  <w:tcW w:w="1792" w:type="pct"/>
                  <w:tcBorders>
                    <w:tl2br w:val="nil"/>
                    <w:tr2bl w:val="nil"/>
                  </w:tcBorders>
                  <w:noWrap w:val="0"/>
                  <w:vAlign w:val="center"/>
                </w:tcPr>
                <w:p w14:paraId="211DB474">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符合，本项目不涉及所列情形。</w:t>
                  </w:r>
                </w:p>
              </w:tc>
            </w:tr>
            <w:tr w14:paraId="59A3B3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047" w:type="pct"/>
                  <w:gridSpan w:val="2"/>
                  <w:vMerge w:val="continue"/>
                  <w:tcBorders>
                    <w:tl2br w:val="nil"/>
                    <w:tr2bl w:val="nil"/>
                  </w:tcBorders>
                  <w:noWrap w:val="0"/>
                  <w:vAlign w:val="center"/>
                </w:tcPr>
                <w:p w14:paraId="469830DA">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159" w:type="pct"/>
                  <w:tcBorders>
                    <w:tl2br w:val="nil"/>
                    <w:tr2bl w:val="nil"/>
                  </w:tcBorders>
                  <w:noWrap w:val="0"/>
                  <w:vAlign w:val="center"/>
                </w:tcPr>
                <w:p w14:paraId="6E8FD503">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重点做好塔里木盆地北缘荒漠化防治。加强荒漠植被及河岸荒漠林保护，规范油气勘探开发作业，建立油田和公路扰动区域工程与生物相结合的防风固沙体系，逐步形成生态屏障。</w:t>
                  </w:r>
                </w:p>
              </w:tc>
              <w:tc>
                <w:tcPr>
                  <w:tcW w:w="1792" w:type="pct"/>
                  <w:tcBorders>
                    <w:tl2br w:val="nil"/>
                    <w:tr2bl w:val="nil"/>
                  </w:tcBorders>
                  <w:noWrap w:val="0"/>
                  <w:vAlign w:val="center"/>
                </w:tcPr>
                <w:p w14:paraId="20174C54">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符合，本项目不涉及所列情形。</w:t>
                  </w:r>
                </w:p>
              </w:tc>
            </w:tr>
            <w:tr w14:paraId="7330B4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047" w:type="pct"/>
                  <w:gridSpan w:val="2"/>
                  <w:vMerge w:val="continue"/>
                  <w:tcBorders>
                    <w:tl2br w:val="nil"/>
                    <w:tr2bl w:val="nil"/>
                  </w:tcBorders>
                  <w:noWrap w:val="0"/>
                  <w:vAlign w:val="center"/>
                </w:tcPr>
                <w:p w14:paraId="051D1F24">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159" w:type="pct"/>
                  <w:tcBorders>
                    <w:tl2br w:val="nil"/>
                    <w:tr2bl w:val="nil"/>
                  </w:tcBorders>
                  <w:noWrap w:val="0"/>
                  <w:vAlign w:val="center"/>
                </w:tcPr>
                <w:p w14:paraId="6721D2DA">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推进塔里木河流域用水结构调整，维护塔里木河、博斯腾湖基本生态用水。加强塔里木河流域水环境风险管控。加大博斯腾湖污染源头达标排放治理和监督力度，实施博斯腾湖综合治理。</w:t>
                  </w:r>
                </w:p>
              </w:tc>
              <w:tc>
                <w:tcPr>
                  <w:tcW w:w="1792" w:type="pct"/>
                  <w:tcBorders>
                    <w:tl2br w:val="nil"/>
                    <w:tr2bl w:val="nil"/>
                  </w:tcBorders>
                  <w:noWrap w:val="0"/>
                  <w:vAlign w:val="center"/>
                </w:tcPr>
                <w:p w14:paraId="6B69B9A2">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符合，本项目营运期</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洗车泥沙废水、</w:t>
                  </w:r>
                  <w:r>
                    <w:rPr>
                      <w:rFonts w:hint="eastAsia" w:eastAsia="宋体" w:cs="Times New Roman"/>
                      <w:color w:val="000000" w:themeColor="text1"/>
                      <w:sz w:val="21"/>
                      <w:szCs w:val="21"/>
                      <w:highlight w:val="none"/>
                      <w:lang w:val="en-US" w:eastAsia="zh-CN"/>
                      <w14:textFill>
                        <w14:solidFill>
                          <w14:schemeClr w14:val="tx1"/>
                        </w14:solidFill>
                      </w14:textFill>
                    </w:rPr>
                    <w:t>养护废水沉淀后</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回用</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11FE59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047" w:type="pct"/>
                  <w:gridSpan w:val="2"/>
                  <w:vMerge w:val="continue"/>
                  <w:tcBorders>
                    <w:tl2br w:val="nil"/>
                    <w:tr2bl w:val="nil"/>
                  </w:tcBorders>
                  <w:noWrap w:val="0"/>
                  <w:vAlign w:val="center"/>
                </w:tcPr>
                <w:p w14:paraId="0C922B8D">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159" w:type="pct"/>
                  <w:tcBorders>
                    <w:tl2br w:val="nil"/>
                    <w:tr2bl w:val="nil"/>
                  </w:tcBorders>
                  <w:noWrap w:val="0"/>
                  <w:vAlign w:val="center"/>
                </w:tcPr>
                <w:p w14:paraId="29FC3C2F">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加强油（气）资源开发区土壤环境污染综合整治。强化涉重金属行业污染防控与工业废物处理处置。</w:t>
                  </w:r>
                </w:p>
              </w:tc>
              <w:tc>
                <w:tcPr>
                  <w:tcW w:w="1792" w:type="pct"/>
                  <w:tcBorders>
                    <w:tl2br w:val="nil"/>
                    <w:tr2bl w:val="nil"/>
                  </w:tcBorders>
                  <w:noWrap w:val="0"/>
                  <w:vAlign w:val="center"/>
                </w:tcPr>
                <w:p w14:paraId="394EB57E">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符合，本项目</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砼结构构件制造</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，不属于油气资源开发区域和重金属行业。</w:t>
                  </w:r>
                </w:p>
              </w:tc>
            </w:tr>
          </w:tbl>
          <w:p w14:paraId="0E1923C8">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2024</w:t>
            </w:r>
            <w:r>
              <w:rPr>
                <w:rFonts w:hint="eastAsia" w:ascii="宋体" w:hAnsi="宋体" w:eastAsia="宋体" w:cs="宋体"/>
                <w:color w:val="000000"/>
                <w:kern w:val="0"/>
                <w:sz w:val="24"/>
                <w:szCs w:val="24"/>
                <w:lang w:val="en-US" w:eastAsia="zh-CN" w:bidi="ar"/>
              </w:rPr>
              <w:t>年</w:t>
            </w:r>
            <w:r>
              <w:rPr>
                <w:rFonts w:hint="default" w:ascii="Times New Roman" w:hAnsi="Times New Roman" w:eastAsia="宋体" w:cs="Times New Roman"/>
                <w:color w:val="000000"/>
                <w:kern w:val="0"/>
                <w:sz w:val="24"/>
                <w:szCs w:val="24"/>
                <w:lang w:val="en-US" w:eastAsia="zh-CN" w:bidi="ar"/>
              </w:rPr>
              <w:t>11</w:t>
            </w:r>
            <w:r>
              <w:rPr>
                <w:rFonts w:hint="eastAsia" w:ascii="宋体" w:hAnsi="宋体" w:eastAsia="宋体" w:cs="宋体"/>
                <w:color w:val="000000"/>
                <w:kern w:val="0"/>
                <w:sz w:val="24"/>
                <w:szCs w:val="24"/>
                <w:lang w:val="en-US" w:eastAsia="zh-CN" w:bidi="ar"/>
              </w:rPr>
              <w:t>月，新疆维吾尔自治区生态环境厅发布了《关于印发</w:t>
            </w:r>
            <w:r>
              <w:rPr>
                <w:rFonts w:hint="default" w:ascii="Times New Roman" w:hAnsi="Times New Roman" w:eastAsia="宋体" w:cs="Times New Roman"/>
                <w:color w:val="000000"/>
                <w:kern w:val="0"/>
                <w:sz w:val="24"/>
                <w:szCs w:val="24"/>
                <w:lang w:val="en-US" w:eastAsia="zh-CN" w:bidi="ar"/>
              </w:rPr>
              <w:t>&lt;</w:t>
            </w:r>
            <w:r>
              <w:rPr>
                <w:rFonts w:hint="eastAsia" w:ascii="宋体" w:hAnsi="宋体" w:eastAsia="宋体" w:cs="宋体"/>
                <w:color w:val="000000"/>
                <w:kern w:val="0"/>
                <w:sz w:val="24"/>
                <w:szCs w:val="24"/>
                <w:lang w:val="en-US" w:eastAsia="zh-CN" w:bidi="ar"/>
              </w:rPr>
              <w:t>新疆维吾尔自治区生态环境分区管控动态更新成果＞的通知》（新环环评发〔</w:t>
            </w:r>
            <w:r>
              <w:rPr>
                <w:rFonts w:hint="default" w:ascii="Times New Roman" w:hAnsi="Times New Roman" w:eastAsia="宋体" w:cs="Times New Roman"/>
                <w:color w:val="000000"/>
                <w:kern w:val="0"/>
                <w:sz w:val="24"/>
                <w:szCs w:val="24"/>
                <w:lang w:val="en-US" w:eastAsia="zh-CN" w:bidi="ar"/>
              </w:rPr>
              <w:t>2024</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157</w:t>
            </w:r>
            <w:r>
              <w:rPr>
                <w:rFonts w:hint="eastAsia" w:ascii="宋体" w:hAnsi="宋体" w:eastAsia="宋体" w:cs="宋体"/>
                <w:color w:val="000000"/>
                <w:kern w:val="0"/>
                <w:sz w:val="24"/>
                <w:szCs w:val="24"/>
                <w:lang w:val="en-US" w:eastAsia="zh-CN" w:bidi="ar"/>
              </w:rPr>
              <w:t>号），与其符合性分析内容见表</w:t>
            </w:r>
            <w:r>
              <w:rPr>
                <w:rFonts w:hint="default" w:ascii="Times New Roman" w:hAnsi="Times New Roman" w:eastAsia="宋体" w:cs="Times New Roman"/>
                <w:color w:val="000000"/>
                <w:kern w:val="0"/>
                <w:sz w:val="24"/>
                <w:szCs w:val="24"/>
                <w:lang w:val="en-US" w:eastAsia="zh-CN" w:bidi="ar"/>
              </w:rPr>
              <w:t>1-4</w:t>
            </w:r>
            <w:r>
              <w:rPr>
                <w:rFonts w:hint="eastAsia" w:ascii="宋体" w:hAnsi="宋体" w:eastAsia="宋体" w:cs="宋体"/>
                <w:color w:val="000000"/>
                <w:kern w:val="0"/>
                <w:sz w:val="24"/>
                <w:szCs w:val="24"/>
                <w:lang w:val="en-US" w:eastAsia="zh-CN" w:bidi="ar"/>
              </w:rPr>
              <w:t>。</w:t>
            </w:r>
          </w:p>
          <w:p w14:paraId="508E4A46">
            <w:pPr>
              <w:keepNext w:val="0"/>
              <w:keepLines w:val="0"/>
              <w:widowControl/>
              <w:suppressLineNumbers w:val="0"/>
              <w:spacing w:before="0" w:beforeAutospacing="0" w:after="0" w:afterAutospacing="0" w:line="360" w:lineRule="auto"/>
              <w:ind w:left="0" w:leftChars="0" w:right="0" w:firstLine="0" w:firstLineChars="0"/>
              <w:jc w:val="center"/>
              <w:rPr>
                <w:rFonts w:hint="default" w:ascii="Times New Roman" w:hAnsi="Times New Roman" w:eastAsia="新宋体" w:cs="Times New Roman"/>
                <w:b/>
                <w:bCs/>
                <w:color w:val="000000" w:themeColor="text1"/>
                <w:sz w:val="21"/>
                <w:szCs w:val="21"/>
                <w14:textFill>
                  <w14:solidFill>
                    <w14:schemeClr w14:val="tx1"/>
                  </w14:solidFill>
                </w14:textFill>
              </w:rPr>
            </w:pPr>
            <w:r>
              <w:rPr>
                <w:rFonts w:hint="default" w:ascii="Times New Roman" w:hAnsi="Times New Roman" w:eastAsia="新宋体" w:cs="Times New Roman"/>
                <w:b/>
                <w:bCs/>
                <w:color w:val="000000" w:themeColor="text1"/>
                <w:sz w:val="21"/>
                <w:szCs w:val="21"/>
                <w14:textFill>
                  <w14:solidFill>
                    <w14:schemeClr w14:val="tx1"/>
                  </w14:solidFill>
                </w14:textFill>
              </w:rPr>
              <w:t>表1-4与《新疆维吾尔自治区生态环境分区管控动态更新成果》</w:t>
            </w:r>
            <w:r>
              <w:rPr>
                <w:rFonts w:hint="eastAsia" w:eastAsia="新宋体" w:cs="Times New Roman"/>
                <w:b/>
                <w:bCs/>
                <w:color w:val="000000" w:themeColor="text1"/>
                <w:sz w:val="21"/>
                <w:szCs w:val="21"/>
                <w:lang w:eastAsia="zh-CN"/>
                <w14:textFill>
                  <w14:solidFill>
                    <w14:schemeClr w14:val="tx1"/>
                  </w14:solidFill>
                </w14:textFill>
              </w:rPr>
              <w:t>（</w:t>
            </w:r>
            <w:r>
              <w:rPr>
                <w:rFonts w:hint="eastAsia" w:eastAsia="新宋体" w:cs="Times New Roman"/>
                <w:b/>
                <w:bCs/>
                <w:color w:val="000000" w:themeColor="text1"/>
                <w:sz w:val="21"/>
                <w:szCs w:val="21"/>
                <w:lang w:val="en-US" w:eastAsia="zh-CN"/>
                <w14:textFill>
                  <w14:solidFill>
                    <w14:schemeClr w14:val="tx1"/>
                  </w14:solidFill>
                </w14:textFill>
              </w:rPr>
              <w:t>摘选部分涉及</w:t>
            </w:r>
            <w:r>
              <w:rPr>
                <w:rFonts w:hint="eastAsia" w:eastAsia="新宋体" w:cs="Times New Roman"/>
                <w:b/>
                <w:bCs/>
                <w:color w:val="000000" w:themeColor="text1"/>
                <w:sz w:val="21"/>
                <w:szCs w:val="21"/>
                <w:lang w:eastAsia="zh-CN"/>
                <w14:textFill>
                  <w14:solidFill>
                    <w14:schemeClr w14:val="tx1"/>
                  </w14:solidFill>
                </w14:textFill>
              </w:rPr>
              <w:t>）</w:t>
            </w:r>
            <w:r>
              <w:rPr>
                <w:rFonts w:hint="default" w:ascii="Times New Roman" w:hAnsi="Times New Roman" w:eastAsia="新宋体" w:cs="Times New Roman"/>
                <w:b/>
                <w:bCs/>
                <w:color w:val="000000" w:themeColor="text1"/>
                <w:sz w:val="21"/>
                <w:szCs w:val="21"/>
                <w14:textFill>
                  <w14:solidFill>
                    <w14:schemeClr w14:val="tx1"/>
                  </w14:solidFill>
                </w14:textFill>
              </w:rPr>
              <w:t>符合性分析</w:t>
            </w:r>
          </w:p>
          <w:tbl>
            <w:tblPr>
              <w:tblStyle w:val="29"/>
              <w:tblW w:w="4999"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7"/>
              <w:gridCol w:w="469"/>
              <w:gridCol w:w="494"/>
              <w:gridCol w:w="2522"/>
              <w:gridCol w:w="2360"/>
            </w:tblGrid>
            <w:tr w14:paraId="49A453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tcBorders>
                    <w:tl2br w:val="nil"/>
                    <w:tr2bl w:val="nil"/>
                  </w:tcBorders>
                  <w:vAlign w:val="center"/>
                </w:tcPr>
                <w:p w14:paraId="7D2D6850">
                  <w:pPr>
                    <w:pStyle w:val="65"/>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名称</w:t>
                  </w:r>
                </w:p>
              </w:tc>
              <w:tc>
                <w:tcPr>
                  <w:tcW w:w="752" w:type="pct"/>
                  <w:gridSpan w:val="2"/>
                  <w:tcBorders>
                    <w:tl2br w:val="nil"/>
                    <w:tr2bl w:val="nil"/>
                  </w:tcBorders>
                  <w:vAlign w:val="center"/>
                </w:tcPr>
                <w:p w14:paraId="2C5D00F4">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管控维度</w:t>
                  </w:r>
                </w:p>
              </w:tc>
              <w:tc>
                <w:tcPr>
                  <w:tcW w:w="1973" w:type="pct"/>
                  <w:tcBorders>
                    <w:tl2br w:val="nil"/>
                    <w:tr2bl w:val="nil"/>
                  </w:tcBorders>
                  <w:vAlign w:val="center"/>
                </w:tcPr>
                <w:p w14:paraId="1DB92245">
                  <w:pPr>
                    <w:pStyle w:val="65"/>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管控要求</w:t>
                  </w:r>
                </w:p>
              </w:tc>
              <w:tc>
                <w:tcPr>
                  <w:tcW w:w="1846" w:type="pct"/>
                  <w:tcBorders>
                    <w:tl2br w:val="nil"/>
                    <w:tr2bl w:val="nil"/>
                  </w:tcBorders>
                  <w:vAlign w:val="center"/>
                </w:tcPr>
                <w:p w14:paraId="12A461FE">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本项目情况</w:t>
                  </w:r>
                </w:p>
              </w:tc>
            </w:tr>
            <w:tr w14:paraId="501463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restart"/>
                  <w:tcBorders>
                    <w:tl2br w:val="nil"/>
                    <w:tr2bl w:val="nil"/>
                  </w:tcBorders>
                  <w:vAlign w:val="center"/>
                </w:tcPr>
                <w:p w14:paraId="15A61C78">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新疆维吾尔自治区生态环境分区管控</w:t>
                  </w:r>
                </w:p>
              </w:tc>
              <w:tc>
                <w:tcPr>
                  <w:tcW w:w="366" w:type="pct"/>
                  <w:vMerge w:val="restart"/>
                  <w:tcBorders>
                    <w:tl2br w:val="nil"/>
                    <w:tr2bl w:val="nil"/>
                  </w:tcBorders>
                  <w:vAlign w:val="center"/>
                </w:tcPr>
                <w:p w14:paraId="736B4743">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A1空间布局约束</w:t>
                  </w:r>
                </w:p>
              </w:tc>
              <w:tc>
                <w:tcPr>
                  <w:tcW w:w="386" w:type="pct"/>
                  <w:vMerge w:val="restart"/>
                  <w:tcBorders>
                    <w:tl2br w:val="nil"/>
                    <w:tr2bl w:val="nil"/>
                  </w:tcBorders>
                  <w:vAlign w:val="center"/>
                </w:tcPr>
                <w:p w14:paraId="13143F9C">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A1.1禁</w:t>
                  </w:r>
                </w:p>
                <w:p w14:paraId="35864509">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止开发建设的活动</w:t>
                  </w:r>
                </w:p>
              </w:tc>
              <w:tc>
                <w:tcPr>
                  <w:tcW w:w="1973" w:type="pct"/>
                  <w:tcBorders>
                    <w:tl2br w:val="nil"/>
                    <w:tr2bl w:val="nil"/>
                  </w:tcBorders>
                  <w:vAlign w:val="center"/>
                </w:tcPr>
                <w:p w14:paraId="279BCC46">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【A1.1-1】禁止新建、扩建《产业结构调整指导目录（2024年本）》中淘汰类项目。禁止引入《市场准入负面清单（2022年版）》禁止准入类事项。</w:t>
                  </w:r>
                </w:p>
              </w:tc>
              <w:tc>
                <w:tcPr>
                  <w:tcW w:w="1846" w:type="pct"/>
                  <w:tcBorders>
                    <w:tl2br w:val="nil"/>
                    <w:tr2bl w:val="nil"/>
                  </w:tcBorders>
                  <w:vAlign w:val="center"/>
                </w:tcPr>
                <w:p w14:paraId="3A83FDF6">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本项目属于《产业结构调整指导目录（2024年本）》中允许类项目；同时，生产设备的型号规格不在淘汰类落后生产工艺装备范围内，且也不属于《关于印发《市场准入负面清单（2022年版）》的通知》（发改体改规〔2022〕397号）中的禁止类。</w:t>
                  </w:r>
                </w:p>
              </w:tc>
            </w:tr>
            <w:tr w14:paraId="1978C0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tcBorders>
                    <w:tl2br w:val="nil"/>
                    <w:tr2bl w:val="nil"/>
                  </w:tcBorders>
                  <w:vAlign w:val="center"/>
                </w:tcPr>
                <w:p w14:paraId="01F0CEAE">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66" w:type="pct"/>
                  <w:vMerge w:val="continue"/>
                  <w:tcBorders>
                    <w:tl2br w:val="nil"/>
                    <w:tr2bl w:val="nil"/>
                  </w:tcBorders>
                  <w:vAlign w:val="center"/>
                </w:tcPr>
                <w:p w14:paraId="2D67A90F">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86" w:type="pct"/>
                  <w:vMerge w:val="continue"/>
                  <w:tcBorders>
                    <w:tl2br w:val="nil"/>
                    <w:tr2bl w:val="nil"/>
                  </w:tcBorders>
                  <w:vAlign w:val="center"/>
                </w:tcPr>
                <w:p w14:paraId="6F664FC2">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1973" w:type="pct"/>
                  <w:tcBorders>
                    <w:tl2br w:val="nil"/>
                    <w:tr2bl w:val="nil"/>
                  </w:tcBorders>
                  <w:vAlign w:val="center"/>
                </w:tcPr>
                <w:p w14:paraId="1EB926AF">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【A1.1-2】禁止建设不符合国家和自治区环境保护标准的项目。</w:t>
                  </w:r>
                </w:p>
              </w:tc>
              <w:tc>
                <w:tcPr>
                  <w:tcW w:w="1846" w:type="pct"/>
                  <w:tcBorders>
                    <w:tl2br w:val="nil"/>
                    <w:tr2bl w:val="nil"/>
                  </w:tcBorders>
                  <w:vAlign w:val="center"/>
                </w:tcPr>
                <w:p w14:paraId="0AB46A85">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符合。本项目营运期污染物执行标准符合国家和自治区环境保护标准。</w:t>
                  </w:r>
                </w:p>
              </w:tc>
            </w:tr>
            <w:tr w14:paraId="51BC6B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tcBorders>
                    <w:tl2br w:val="nil"/>
                    <w:tr2bl w:val="nil"/>
                  </w:tcBorders>
                  <w:vAlign w:val="center"/>
                </w:tcPr>
                <w:p w14:paraId="0140CED6">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66" w:type="pct"/>
                  <w:vMerge w:val="continue"/>
                  <w:tcBorders>
                    <w:tl2br w:val="nil"/>
                    <w:tr2bl w:val="nil"/>
                  </w:tcBorders>
                  <w:vAlign w:val="center"/>
                </w:tcPr>
                <w:p w14:paraId="75663791">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86" w:type="pct"/>
                  <w:vMerge w:val="continue"/>
                  <w:tcBorders>
                    <w:tl2br w:val="nil"/>
                    <w:tr2bl w:val="nil"/>
                  </w:tcBorders>
                  <w:vAlign w:val="center"/>
                </w:tcPr>
                <w:p w14:paraId="32D35F88">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1973" w:type="pct"/>
                  <w:tcBorders>
                    <w:tl2br w:val="nil"/>
                    <w:tr2bl w:val="nil"/>
                  </w:tcBorders>
                  <w:vAlign w:val="center"/>
                </w:tcPr>
                <w:p w14:paraId="1B631DD8">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【A1.1-3】禁止在饮用水水源保护区、风景名胜区、自然保护区的核心区和缓冲区、城镇居民区、文化教育科学研究区等人口集中区域以及法律法规规定的其他禁止养殖区域建设畜禽养殖场、养殖小区。</w:t>
                  </w:r>
                </w:p>
              </w:tc>
              <w:tc>
                <w:tcPr>
                  <w:tcW w:w="1846" w:type="pct"/>
                  <w:vMerge w:val="restart"/>
                  <w:tcBorders>
                    <w:tl2br w:val="nil"/>
                    <w:tr2bl w:val="nil"/>
                  </w:tcBorders>
                  <w:vAlign w:val="center"/>
                </w:tcPr>
                <w:p w14:paraId="1CC694F1">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符合。本项目选址不涉及所列区域。</w:t>
                  </w:r>
                </w:p>
              </w:tc>
            </w:tr>
            <w:tr w14:paraId="173EF2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tcBorders>
                    <w:tl2br w:val="nil"/>
                    <w:tr2bl w:val="nil"/>
                  </w:tcBorders>
                  <w:vAlign w:val="center"/>
                </w:tcPr>
                <w:p w14:paraId="4F1493D7">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66" w:type="pct"/>
                  <w:vMerge w:val="continue"/>
                  <w:tcBorders>
                    <w:tl2br w:val="nil"/>
                    <w:tr2bl w:val="nil"/>
                  </w:tcBorders>
                  <w:vAlign w:val="center"/>
                </w:tcPr>
                <w:p w14:paraId="2E9C8328">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86" w:type="pct"/>
                  <w:vMerge w:val="continue"/>
                  <w:tcBorders>
                    <w:tl2br w:val="nil"/>
                    <w:tr2bl w:val="nil"/>
                  </w:tcBorders>
                  <w:vAlign w:val="center"/>
                </w:tcPr>
                <w:p w14:paraId="267ADC26">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1973" w:type="pct"/>
                  <w:tcBorders>
                    <w:tl2br w:val="nil"/>
                    <w:tr2bl w:val="nil"/>
                  </w:tcBorders>
                  <w:vAlign w:val="center"/>
                </w:tcPr>
                <w:p w14:paraId="47369035">
                  <w:pPr>
                    <w:pStyle w:val="65"/>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【A1.1-4】禁止在水源涵养区、地下水源、饮用水源、自然保护区、风景名胜区、森林公园、重要湿地及人群密集区等生态敏感区域内进行煤炭、石油、天然气开发。</w:t>
                  </w:r>
                </w:p>
              </w:tc>
              <w:tc>
                <w:tcPr>
                  <w:tcW w:w="1846" w:type="pct"/>
                  <w:vMerge w:val="continue"/>
                  <w:tcBorders>
                    <w:tl2br w:val="nil"/>
                    <w:tr2bl w:val="nil"/>
                  </w:tcBorders>
                  <w:vAlign w:val="center"/>
                </w:tcPr>
                <w:p w14:paraId="18454906">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r>
            <w:tr w14:paraId="72212D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tcBorders>
                    <w:tl2br w:val="nil"/>
                    <w:tr2bl w:val="nil"/>
                  </w:tcBorders>
                  <w:vAlign w:val="center"/>
                </w:tcPr>
                <w:p w14:paraId="150B6DA8">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66" w:type="pct"/>
                  <w:vMerge w:val="continue"/>
                  <w:tcBorders>
                    <w:tl2br w:val="nil"/>
                    <w:tr2bl w:val="nil"/>
                  </w:tcBorders>
                  <w:vAlign w:val="center"/>
                </w:tcPr>
                <w:p w14:paraId="09E9DF75">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86" w:type="pct"/>
                  <w:vMerge w:val="continue"/>
                  <w:tcBorders>
                    <w:tl2br w:val="nil"/>
                    <w:tr2bl w:val="nil"/>
                  </w:tcBorders>
                  <w:vAlign w:val="center"/>
                </w:tcPr>
                <w:p w14:paraId="62C56D0D">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1973" w:type="pct"/>
                  <w:tcBorders>
                    <w:tl2br w:val="nil"/>
                    <w:tr2bl w:val="nil"/>
                  </w:tcBorders>
                  <w:vAlign w:val="center"/>
                </w:tcPr>
                <w:p w14:paraId="1FC52A94">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【A1.1-5】禁止下列破坏湿地及其生态功能的行为……</w:t>
                  </w:r>
                </w:p>
              </w:tc>
              <w:tc>
                <w:tcPr>
                  <w:tcW w:w="1846" w:type="pct"/>
                  <w:tcBorders>
                    <w:tl2br w:val="nil"/>
                    <w:tr2bl w:val="nil"/>
                  </w:tcBorders>
                  <w:vAlign w:val="center"/>
                </w:tcPr>
                <w:p w14:paraId="3C923DB4">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符合。本项目为砼结构构件生产项目，不属于管控要求所列破坏湿地及其生态功能的生产、开采活动。</w:t>
                  </w:r>
                </w:p>
              </w:tc>
            </w:tr>
            <w:tr w14:paraId="7AAFE7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tcBorders>
                    <w:tl2br w:val="nil"/>
                    <w:tr2bl w:val="nil"/>
                  </w:tcBorders>
                  <w:vAlign w:val="center"/>
                </w:tcPr>
                <w:p w14:paraId="10EC83B2">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66" w:type="pct"/>
                  <w:vMerge w:val="continue"/>
                  <w:tcBorders>
                    <w:tl2br w:val="nil"/>
                    <w:tr2bl w:val="nil"/>
                  </w:tcBorders>
                  <w:vAlign w:val="center"/>
                </w:tcPr>
                <w:p w14:paraId="0C0568E4">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86" w:type="pct"/>
                  <w:vMerge w:val="restart"/>
                  <w:tcBorders>
                    <w:tl2br w:val="nil"/>
                    <w:tr2bl w:val="nil"/>
                  </w:tcBorders>
                  <w:vAlign w:val="center"/>
                </w:tcPr>
                <w:p w14:paraId="2E2CE615">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A1.1禁</w:t>
                  </w:r>
                </w:p>
                <w:p w14:paraId="4684A2CB">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止开发</w:t>
                  </w:r>
                </w:p>
                <w:p w14:paraId="1266D2B0">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建设的</w:t>
                  </w:r>
                </w:p>
                <w:p w14:paraId="4C40BCF2">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活动</w:t>
                  </w:r>
                </w:p>
              </w:tc>
              <w:tc>
                <w:tcPr>
                  <w:tcW w:w="1973" w:type="pct"/>
                  <w:tcBorders>
                    <w:tl2br w:val="nil"/>
                    <w:tr2bl w:val="nil"/>
                  </w:tcBorders>
                  <w:vAlign w:val="center"/>
                </w:tcPr>
                <w:p w14:paraId="56528909">
                  <w:pPr>
                    <w:pStyle w:val="65"/>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1.1-6】禁止在自治区行政区域内引进能（水）耗不符合相关国家标准中准入值要求且污染物排放和环境风险防控不符合国家（地方）标准及有关产业准入条件的高污染（排放）、高能（水）耗、高环境风险的工业项目。</w:t>
                  </w:r>
                </w:p>
              </w:tc>
              <w:tc>
                <w:tcPr>
                  <w:tcW w:w="1846" w:type="pct"/>
                  <w:vMerge w:val="restart"/>
                  <w:tcBorders>
                    <w:tl2br w:val="nil"/>
                    <w:tr2bl w:val="nil"/>
                  </w:tcBorders>
                  <w:vAlign w:val="center"/>
                </w:tcPr>
                <w:p w14:paraId="1746F4B4">
                  <w:pPr>
                    <w:pStyle w:val="65"/>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符合。本项目不属于高污染（排放）、高能（水）耗、高环境风险的工业项目。</w:t>
                  </w:r>
                </w:p>
              </w:tc>
            </w:tr>
            <w:tr w14:paraId="29E686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tcBorders>
                    <w:tl2br w:val="nil"/>
                    <w:tr2bl w:val="nil"/>
                  </w:tcBorders>
                  <w:vAlign w:val="center"/>
                </w:tcPr>
                <w:p w14:paraId="1E66BED1">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66" w:type="pct"/>
                  <w:vMerge w:val="continue"/>
                  <w:tcBorders>
                    <w:tl2br w:val="nil"/>
                    <w:tr2bl w:val="nil"/>
                  </w:tcBorders>
                  <w:vAlign w:val="center"/>
                </w:tcPr>
                <w:p w14:paraId="4F5B3515">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86" w:type="pct"/>
                  <w:vMerge w:val="continue"/>
                  <w:tcBorders>
                    <w:tl2br w:val="nil"/>
                    <w:tr2bl w:val="nil"/>
                  </w:tcBorders>
                  <w:vAlign w:val="center"/>
                </w:tcPr>
                <w:p w14:paraId="3284EF63">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1973" w:type="pct"/>
                  <w:tcBorders>
                    <w:tl2br w:val="nil"/>
                    <w:tr2bl w:val="nil"/>
                  </w:tcBorders>
                  <w:vAlign w:val="center"/>
                </w:tcPr>
                <w:p w14:paraId="2AC53A4B">
                  <w:pPr>
                    <w:pStyle w:val="65"/>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【A1.1-7】①坚决遏制高耗能高排放低水平……</w:t>
                  </w:r>
                </w:p>
                <w:p w14:paraId="25E3A57B">
                  <w:pPr>
                    <w:pStyle w:val="65"/>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②重点行业企业纳入重污染天气绩效分级……</w:t>
                  </w:r>
                </w:p>
              </w:tc>
              <w:tc>
                <w:tcPr>
                  <w:tcW w:w="1846" w:type="pct"/>
                  <w:vMerge w:val="continue"/>
                  <w:tcBorders>
                    <w:tl2br w:val="nil"/>
                    <w:tr2bl w:val="nil"/>
                  </w:tcBorders>
                  <w:vAlign w:val="center"/>
                </w:tcPr>
                <w:p w14:paraId="2FBBEDB6">
                  <w:pPr>
                    <w:pStyle w:val="65"/>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p>
              </w:tc>
            </w:tr>
            <w:tr w14:paraId="6E2B10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tcBorders>
                    <w:tl2br w:val="nil"/>
                    <w:tr2bl w:val="nil"/>
                  </w:tcBorders>
                  <w:vAlign w:val="center"/>
                </w:tcPr>
                <w:p w14:paraId="3B6FB4B9">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66" w:type="pct"/>
                  <w:vMerge w:val="continue"/>
                  <w:tcBorders>
                    <w:tl2br w:val="nil"/>
                    <w:tr2bl w:val="nil"/>
                  </w:tcBorders>
                  <w:vAlign w:val="center"/>
                </w:tcPr>
                <w:p w14:paraId="6E85E698">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86" w:type="pct"/>
                  <w:vMerge w:val="restart"/>
                  <w:tcBorders>
                    <w:tl2br w:val="nil"/>
                    <w:tr2bl w:val="nil"/>
                  </w:tcBorders>
                  <w:vAlign w:val="center"/>
                </w:tcPr>
                <w:p w14:paraId="4C224E7E">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A1.2限制开发建设的活动</w:t>
                  </w:r>
                </w:p>
              </w:tc>
              <w:tc>
                <w:tcPr>
                  <w:tcW w:w="1973" w:type="pct"/>
                  <w:tcBorders>
                    <w:tl2br w:val="nil"/>
                    <w:tr2bl w:val="nil"/>
                  </w:tcBorders>
                  <w:vAlign w:val="center"/>
                </w:tcPr>
                <w:p w14:paraId="04D53426">
                  <w:pPr>
                    <w:pStyle w:val="65"/>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【A1.2-1】严格控制缺水地区、水污染严重区域和敏感区域高耗水高污染行业发展。</w:t>
                  </w:r>
                </w:p>
              </w:tc>
              <w:tc>
                <w:tcPr>
                  <w:tcW w:w="1846" w:type="pct"/>
                  <w:tcBorders>
                    <w:tl2br w:val="nil"/>
                    <w:tr2bl w:val="nil"/>
                  </w:tcBorders>
                  <w:vAlign w:val="center"/>
                </w:tcPr>
                <w:p w14:paraId="48007DC6">
                  <w:pPr>
                    <w:pStyle w:val="65"/>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符合。本项目不属于高耗水高污染行业。</w:t>
                  </w:r>
                </w:p>
              </w:tc>
            </w:tr>
            <w:tr w14:paraId="6A9AA5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tcBorders>
                    <w:tl2br w:val="nil"/>
                    <w:tr2bl w:val="nil"/>
                  </w:tcBorders>
                  <w:vAlign w:val="center"/>
                </w:tcPr>
                <w:p w14:paraId="60D9CD70">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66" w:type="pct"/>
                  <w:vMerge w:val="continue"/>
                  <w:tcBorders>
                    <w:tl2br w:val="nil"/>
                    <w:tr2bl w:val="nil"/>
                  </w:tcBorders>
                  <w:vAlign w:val="center"/>
                </w:tcPr>
                <w:p w14:paraId="3426DF0D">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86" w:type="pct"/>
                  <w:vMerge w:val="continue"/>
                  <w:tcBorders>
                    <w:tl2br w:val="nil"/>
                    <w:tr2bl w:val="nil"/>
                  </w:tcBorders>
                  <w:vAlign w:val="center"/>
                </w:tcPr>
                <w:p w14:paraId="25253E76">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1973" w:type="pct"/>
                  <w:tcBorders>
                    <w:tl2br w:val="nil"/>
                    <w:tr2bl w:val="nil"/>
                  </w:tcBorders>
                  <w:vAlign w:val="center"/>
                </w:tcPr>
                <w:p w14:paraId="2B8D7E6F">
                  <w:pPr>
                    <w:pStyle w:val="65"/>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【A1.2-2】建设项目用地原则上不得占用永久基本农田……</w:t>
                  </w:r>
                </w:p>
              </w:tc>
              <w:tc>
                <w:tcPr>
                  <w:tcW w:w="1846" w:type="pct"/>
                  <w:tcBorders>
                    <w:tl2br w:val="nil"/>
                    <w:tr2bl w:val="nil"/>
                  </w:tcBorders>
                  <w:vAlign w:val="center"/>
                </w:tcPr>
                <w:p w14:paraId="6F3CCCE4">
                  <w:pPr>
                    <w:pStyle w:val="65"/>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符合。本项目不占用基本农田。</w:t>
                  </w:r>
                </w:p>
              </w:tc>
            </w:tr>
            <w:tr w14:paraId="461D7D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tcBorders>
                    <w:tl2br w:val="nil"/>
                    <w:tr2bl w:val="nil"/>
                  </w:tcBorders>
                  <w:vAlign w:val="center"/>
                </w:tcPr>
                <w:p w14:paraId="07F9C897">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66" w:type="pct"/>
                  <w:vMerge w:val="continue"/>
                  <w:tcBorders>
                    <w:tl2br w:val="nil"/>
                    <w:tr2bl w:val="nil"/>
                  </w:tcBorders>
                  <w:vAlign w:val="center"/>
                </w:tcPr>
                <w:p w14:paraId="72C491D8">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86" w:type="pct"/>
                  <w:vMerge w:val="continue"/>
                  <w:tcBorders>
                    <w:tl2br w:val="nil"/>
                    <w:tr2bl w:val="nil"/>
                  </w:tcBorders>
                  <w:vAlign w:val="center"/>
                </w:tcPr>
                <w:p w14:paraId="62442055">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1973" w:type="pct"/>
                  <w:tcBorders>
                    <w:tl2br w:val="nil"/>
                    <w:tr2bl w:val="nil"/>
                  </w:tcBorders>
                  <w:vAlign w:val="center"/>
                </w:tcPr>
                <w:p w14:paraId="25A8CF9D">
                  <w:pPr>
                    <w:pStyle w:val="65"/>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【A1.2-3】以用途变更为住宅、公共管理与公共服务用地的地块为重点，严格建设用地准入管理和风险管控，未依法完成土壤污染状况调查或风险评估的地块，不得开工建设与风险管控和修复无关的项目。</w:t>
                  </w:r>
                </w:p>
              </w:tc>
              <w:tc>
                <w:tcPr>
                  <w:tcW w:w="1846" w:type="pct"/>
                  <w:tcBorders>
                    <w:tl2br w:val="nil"/>
                    <w:tr2bl w:val="nil"/>
                  </w:tcBorders>
                  <w:vAlign w:val="center"/>
                </w:tcPr>
                <w:p w14:paraId="0B636BBC">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符合。本地块不涉及用地性质变更等。</w:t>
                  </w:r>
                </w:p>
              </w:tc>
            </w:tr>
            <w:tr w14:paraId="4CDA5A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tcBorders>
                    <w:tl2br w:val="nil"/>
                    <w:tr2bl w:val="nil"/>
                  </w:tcBorders>
                  <w:vAlign w:val="center"/>
                </w:tcPr>
                <w:p w14:paraId="75F9F119">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66" w:type="pct"/>
                  <w:vMerge w:val="continue"/>
                  <w:tcBorders>
                    <w:tl2br w:val="nil"/>
                    <w:tr2bl w:val="nil"/>
                  </w:tcBorders>
                  <w:vAlign w:val="center"/>
                </w:tcPr>
                <w:p w14:paraId="54506864">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86" w:type="pct"/>
                  <w:vMerge w:val="continue"/>
                  <w:tcBorders>
                    <w:tl2br w:val="nil"/>
                    <w:tr2bl w:val="nil"/>
                  </w:tcBorders>
                  <w:vAlign w:val="center"/>
                </w:tcPr>
                <w:p w14:paraId="02E75AD6">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1973" w:type="pct"/>
                  <w:tcBorders>
                    <w:tl2br w:val="nil"/>
                    <w:tr2bl w:val="nil"/>
                  </w:tcBorders>
                  <w:vAlign w:val="center"/>
                </w:tcPr>
                <w:p w14:paraId="3D48207F">
                  <w:pPr>
                    <w:pStyle w:val="65"/>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【A1.3-2】对不符合国家产业政策、严重污染水环境的生产项目全部予以取缔。</w:t>
                  </w:r>
                </w:p>
              </w:tc>
              <w:tc>
                <w:tcPr>
                  <w:tcW w:w="1846" w:type="pct"/>
                  <w:tcBorders>
                    <w:tl2br w:val="nil"/>
                    <w:tr2bl w:val="nil"/>
                  </w:tcBorders>
                  <w:vAlign w:val="center"/>
                </w:tcPr>
                <w:p w14:paraId="1303C301">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符合。本项目不涉及所列情形，营运期废水与地表水无水力联系。</w:t>
                  </w:r>
                </w:p>
              </w:tc>
            </w:tr>
            <w:tr w14:paraId="6C449F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tcBorders>
                    <w:tl2br w:val="nil"/>
                    <w:tr2bl w:val="nil"/>
                  </w:tcBorders>
                  <w:vAlign w:val="center"/>
                </w:tcPr>
                <w:p w14:paraId="07A97A95">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66" w:type="pct"/>
                  <w:vMerge w:val="continue"/>
                  <w:tcBorders>
                    <w:tl2br w:val="nil"/>
                    <w:tr2bl w:val="nil"/>
                  </w:tcBorders>
                  <w:vAlign w:val="center"/>
                </w:tcPr>
                <w:p w14:paraId="1EDE8EAF">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86" w:type="pct"/>
                  <w:tcBorders>
                    <w:tl2br w:val="nil"/>
                    <w:tr2bl w:val="nil"/>
                  </w:tcBorders>
                  <w:vAlign w:val="center"/>
                </w:tcPr>
                <w:p w14:paraId="721568C9">
                  <w:pPr>
                    <w:pStyle w:val="65"/>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p>
                <w:p w14:paraId="426379B5">
                  <w:pPr>
                    <w:pStyle w:val="65"/>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A1.4其</w:t>
                  </w:r>
                </w:p>
                <w:p w14:paraId="3D93E967">
                  <w:pPr>
                    <w:pStyle w:val="65"/>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它布局</w:t>
                  </w:r>
                </w:p>
                <w:p w14:paraId="39107F9A">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要求</w:t>
                  </w:r>
                </w:p>
              </w:tc>
              <w:tc>
                <w:tcPr>
                  <w:tcW w:w="1973" w:type="pct"/>
                  <w:tcBorders>
                    <w:tl2br w:val="nil"/>
                    <w:tr2bl w:val="nil"/>
                  </w:tcBorders>
                  <w:vAlign w:val="center"/>
                </w:tcPr>
                <w:p w14:paraId="123DB826">
                  <w:pPr>
                    <w:pStyle w:val="65"/>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1.4-1】一切开发建设活动应符合国家、自治区主体功能区规划自治区和各地颁布实施的生态环境功能区划、国民经济发展规划、产业发展规划、国土空间规划等相关规划及重点生态功能区负面清单要求，符合区域或产业规划环评要求。</w:t>
                  </w:r>
                </w:p>
              </w:tc>
              <w:tc>
                <w:tcPr>
                  <w:tcW w:w="1846" w:type="pct"/>
                  <w:tcBorders>
                    <w:tl2br w:val="nil"/>
                    <w:tr2bl w:val="nil"/>
                  </w:tcBorders>
                  <w:vAlign w:val="center"/>
                </w:tcPr>
                <w:p w14:paraId="232A8F6E">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符合。本项目与自治区区域主体功能区划目标相协调，符合和硕县国土空间总体规划要求。</w:t>
                  </w:r>
                </w:p>
              </w:tc>
            </w:tr>
            <w:tr w14:paraId="31E26B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restart"/>
                  <w:tcBorders>
                    <w:tl2br w:val="nil"/>
                    <w:tr2bl w:val="nil"/>
                  </w:tcBorders>
                  <w:vAlign w:val="center"/>
                </w:tcPr>
                <w:p w14:paraId="03213B9B">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新疆维吾尔自治区生态环境分区管控</w:t>
                  </w:r>
                </w:p>
              </w:tc>
              <w:tc>
                <w:tcPr>
                  <w:tcW w:w="366" w:type="pct"/>
                  <w:vMerge w:val="restart"/>
                  <w:tcBorders>
                    <w:tl2br w:val="nil"/>
                    <w:tr2bl w:val="nil"/>
                  </w:tcBorders>
                  <w:vAlign w:val="center"/>
                </w:tcPr>
                <w:p w14:paraId="70D0156F">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A2污染物排放管控</w:t>
                  </w:r>
                </w:p>
              </w:tc>
              <w:tc>
                <w:tcPr>
                  <w:tcW w:w="386" w:type="pct"/>
                  <w:tcBorders>
                    <w:tl2br w:val="nil"/>
                    <w:tr2bl w:val="nil"/>
                  </w:tcBorders>
                  <w:vAlign w:val="center"/>
                </w:tcPr>
                <w:p w14:paraId="15203794">
                  <w:pPr>
                    <w:pStyle w:val="65"/>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A2.1污染物削减/替代要求</w:t>
                  </w:r>
                </w:p>
              </w:tc>
              <w:tc>
                <w:tcPr>
                  <w:tcW w:w="1973" w:type="pct"/>
                  <w:tcBorders>
                    <w:tl2br w:val="nil"/>
                    <w:tr2bl w:val="nil"/>
                  </w:tcBorders>
                  <w:vAlign w:val="center"/>
                </w:tcPr>
                <w:p w14:paraId="01029C76">
                  <w:pPr>
                    <w:pStyle w:val="65"/>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2.1-1】新、改、扩建重点行业建设项目应符合“三线一单”、产业政策、区域环评、规划环评和行业环境准入管控要求。重点区域的新、改、扩建重点行业建设项目应遵循重点重金属污染物排放“减量替代”原则。</w:t>
                  </w:r>
                </w:p>
              </w:tc>
              <w:tc>
                <w:tcPr>
                  <w:tcW w:w="1846" w:type="pct"/>
                  <w:tcBorders>
                    <w:tl2br w:val="nil"/>
                    <w:tr2bl w:val="nil"/>
                  </w:tcBorders>
                  <w:vAlign w:val="center"/>
                </w:tcPr>
                <w:p w14:paraId="238FEE13">
                  <w:pPr>
                    <w:pStyle w:val="65"/>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符合。本项目属于砼结构构件制造，不属于重点行业建设项目。</w:t>
                  </w:r>
                </w:p>
              </w:tc>
            </w:tr>
            <w:tr w14:paraId="6267BF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tcBorders>
                    <w:tl2br w:val="nil"/>
                    <w:tr2bl w:val="nil"/>
                  </w:tcBorders>
                  <w:vAlign w:val="center"/>
                </w:tcPr>
                <w:p w14:paraId="67A6C262">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66" w:type="pct"/>
                  <w:vMerge w:val="continue"/>
                  <w:tcBorders>
                    <w:tl2br w:val="nil"/>
                    <w:tr2bl w:val="nil"/>
                  </w:tcBorders>
                  <w:vAlign w:val="center"/>
                </w:tcPr>
                <w:p w14:paraId="5447B57B">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86" w:type="pct"/>
                  <w:tcBorders>
                    <w:tl2br w:val="nil"/>
                    <w:tr2bl w:val="nil"/>
                  </w:tcBorders>
                  <w:vAlign w:val="center"/>
                </w:tcPr>
                <w:p w14:paraId="6CC4330A">
                  <w:pPr>
                    <w:pStyle w:val="65"/>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A2.2污</w:t>
                  </w:r>
                </w:p>
                <w:p w14:paraId="1E4D9A15">
                  <w:pPr>
                    <w:pStyle w:val="65"/>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染控制</w:t>
                  </w:r>
                </w:p>
                <w:p w14:paraId="3D70699A">
                  <w:pPr>
                    <w:pStyle w:val="65"/>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措施要</w:t>
                  </w:r>
                </w:p>
                <w:p w14:paraId="0F54EB77">
                  <w:pPr>
                    <w:pStyle w:val="65"/>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求</w:t>
                  </w:r>
                </w:p>
              </w:tc>
              <w:tc>
                <w:tcPr>
                  <w:tcW w:w="1973" w:type="pct"/>
                  <w:tcBorders>
                    <w:tl2br w:val="nil"/>
                    <w:tr2bl w:val="nil"/>
                  </w:tcBorders>
                  <w:vAlign w:val="center"/>
                </w:tcPr>
                <w:p w14:paraId="570A6CA8">
                  <w:pPr>
                    <w:pStyle w:val="65"/>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【A2.2-4】强化用水定额管理。推进地下水超采综合治理。开展河湖生态流量（水量）确定工作，强化生态用水保障。</w:t>
                  </w:r>
                </w:p>
              </w:tc>
              <w:tc>
                <w:tcPr>
                  <w:tcW w:w="1846" w:type="pct"/>
                  <w:tcBorders>
                    <w:tl2br w:val="nil"/>
                    <w:tr2bl w:val="nil"/>
                  </w:tcBorders>
                  <w:vAlign w:val="center"/>
                </w:tcPr>
                <w:p w14:paraId="2D45165C">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符合。本项目已接入和硕县给水管网，不涉及地下水开采及地表水体用水。</w:t>
                  </w:r>
                </w:p>
              </w:tc>
            </w:tr>
            <w:tr w14:paraId="2FE4AA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tcBorders>
                    <w:tl2br w:val="nil"/>
                    <w:tr2bl w:val="nil"/>
                  </w:tcBorders>
                  <w:vAlign w:val="center"/>
                </w:tcPr>
                <w:p w14:paraId="17A4D11C">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66" w:type="pct"/>
                  <w:tcBorders>
                    <w:tl2br w:val="nil"/>
                    <w:tr2bl w:val="nil"/>
                  </w:tcBorders>
                  <w:vAlign w:val="center"/>
                </w:tcPr>
                <w:p w14:paraId="574BCE4C">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A3环境风险防控</w:t>
                  </w:r>
                </w:p>
              </w:tc>
              <w:tc>
                <w:tcPr>
                  <w:tcW w:w="386" w:type="pct"/>
                  <w:tcBorders>
                    <w:tl2br w:val="nil"/>
                    <w:tr2bl w:val="nil"/>
                  </w:tcBorders>
                  <w:vAlign w:val="center"/>
                </w:tcPr>
                <w:p w14:paraId="45AAD727">
                  <w:pPr>
                    <w:pStyle w:val="65"/>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A3.2联防联控要求</w:t>
                  </w:r>
                </w:p>
              </w:tc>
              <w:tc>
                <w:tcPr>
                  <w:tcW w:w="1973" w:type="pct"/>
                  <w:tcBorders>
                    <w:tl2br w:val="nil"/>
                    <w:tr2bl w:val="nil"/>
                  </w:tcBorders>
                  <w:vAlign w:val="center"/>
                </w:tcPr>
                <w:p w14:paraId="46D98FC5">
                  <w:pPr>
                    <w:pStyle w:val="65"/>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3.2-4】加强环境风险预警防控。加强涉危险物企业、涉重金属企业、化工园区、集中式饮用水水源地及重点流域环境风险调查评估，实施分类分级风险管控，协同推进重点区域、流域生态环境污染综合防治、风险防控与生态修复。</w:t>
                  </w:r>
                </w:p>
              </w:tc>
              <w:tc>
                <w:tcPr>
                  <w:tcW w:w="1846" w:type="pct"/>
                  <w:tcBorders>
                    <w:tl2br w:val="nil"/>
                    <w:tr2bl w:val="nil"/>
                  </w:tcBorders>
                  <w:vAlign w:val="center"/>
                </w:tcPr>
                <w:p w14:paraId="5A6BFAFB">
                  <w:pPr>
                    <w:pStyle w:val="65"/>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符合。本项目环境风险程度较低，本环评已针对营运期风险事件提出防范措施，本环评建设内容纳入环境应急预案风险评估，营运期定期按照应急预案内容进行应急演练，逐步提高应急演练范围与级别。</w:t>
                  </w:r>
                </w:p>
              </w:tc>
            </w:tr>
            <w:tr w14:paraId="2BE090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tcBorders>
                    <w:tl2br w:val="nil"/>
                    <w:tr2bl w:val="nil"/>
                  </w:tcBorders>
                  <w:vAlign w:val="center"/>
                </w:tcPr>
                <w:p w14:paraId="028E10BC">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66" w:type="pct"/>
                  <w:vMerge w:val="restart"/>
                  <w:tcBorders>
                    <w:tl2br w:val="nil"/>
                    <w:tr2bl w:val="nil"/>
                  </w:tcBorders>
                  <w:vAlign w:val="center"/>
                </w:tcPr>
                <w:p w14:paraId="324B8B0E">
                  <w:pPr>
                    <w:pStyle w:val="65"/>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A4资源利用要求</w:t>
                  </w:r>
                </w:p>
              </w:tc>
              <w:tc>
                <w:tcPr>
                  <w:tcW w:w="386" w:type="pct"/>
                  <w:tcBorders>
                    <w:tl2br w:val="nil"/>
                    <w:tr2bl w:val="nil"/>
                  </w:tcBorders>
                  <w:vAlign w:val="center"/>
                </w:tcPr>
                <w:p w14:paraId="6062565C">
                  <w:pPr>
                    <w:pStyle w:val="65"/>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A4.2土地资源</w:t>
                  </w:r>
                </w:p>
              </w:tc>
              <w:tc>
                <w:tcPr>
                  <w:tcW w:w="1973" w:type="pct"/>
                  <w:tcBorders>
                    <w:tl2br w:val="nil"/>
                    <w:tr2bl w:val="nil"/>
                  </w:tcBorders>
                  <w:vAlign w:val="center"/>
                </w:tcPr>
                <w:p w14:paraId="6A35C22F">
                  <w:pPr>
                    <w:pStyle w:val="65"/>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【A4.2-1】土地资源上线指标控制在最终批复的国土空间规划控制指标内。</w:t>
                  </w:r>
                </w:p>
              </w:tc>
              <w:tc>
                <w:tcPr>
                  <w:tcW w:w="1846" w:type="pct"/>
                  <w:tcBorders>
                    <w:tl2br w:val="nil"/>
                    <w:tr2bl w:val="nil"/>
                  </w:tcBorders>
                  <w:vAlign w:val="center"/>
                </w:tcPr>
                <w:p w14:paraId="6D56BCC4">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符合。本项目用地面积29077.12m</w:t>
                  </w:r>
                  <w:r>
                    <w:rPr>
                      <w:rFonts w:hint="eastAsia" w:cs="Times New Roman"/>
                      <w:color w:val="000000" w:themeColor="text1"/>
                      <w:sz w:val="21"/>
                      <w:szCs w:val="21"/>
                      <w:highlight w:val="none"/>
                      <w:vertAlign w:val="superscript"/>
                      <w:lang w:val="en-US" w:eastAsia="zh-CN"/>
                      <w14:textFill>
                        <w14:solidFill>
                          <w14:schemeClr w14:val="tx1"/>
                        </w14:solidFill>
                      </w14:textFill>
                    </w:rPr>
                    <w:t>2</w:t>
                  </w:r>
                  <w:r>
                    <w:rPr>
                      <w:rFonts w:hint="eastAsia" w:cs="Times New Roman"/>
                      <w:color w:val="000000" w:themeColor="text1"/>
                      <w:sz w:val="21"/>
                      <w:szCs w:val="21"/>
                      <w:highlight w:val="none"/>
                      <w:lang w:val="en-US" w:eastAsia="zh-CN"/>
                      <w14:textFill>
                        <w14:solidFill>
                          <w14:schemeClr w14:val="tx1"/>
                        </w14:solidFill>
                      </w14:textFill>
                    </w:rPr>
                    <w:t>，已于2003年1月21日取得用地规划许可证。</w:t>
                  </w:r>
                </w:p>
              </w:tc>
            </w:tr>
            <w:tr w14:paraId="6A1C57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tcBorders>
                    <w:tl2br w:val="nil"/>
                    <w:tr2bl w:val="nil"/>
                  </w:tcBorders>
                  <w:vAlign w:val="center"/>
                </w:tcPr>
                <w:p w14:paraId="797FFC22">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p>
              </w:tc>
              <w:tc>
                <w:tcPr>
                  <w:tcW w:w="366" w:type="pct"/>
                  <w:vMerge w:val="continue"/>
                  <w:tcBorders>
                    <w:tl2br w:val="nil"/>
                    <w:tr2bl w:val="nil"/>
                  </w:tcBorders>
                  <w:vAlign w:val="center"/>
                </w:tcPr>
                <w:p w14:paraId="7093D12A">
                  <w:pPr>
                    <w:pStyle w:val="65"/>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p>
              </w:tc>
              <w:tc>
                <w:tcPr>
                  <w:tcW w:w="386" w:type="pct"/>
                  <w:tcBorders>
                    <w:tl2br w:val="nil"/>
                    <w:tr2bl w:val="nil"/>
                  </w:tcBorders>
                  <w:vAlign w:val="center"/>
                </w:tcPr>
                <w:p w14:paraId="35CF9718">
                  <w:pPr>
                    <w:pStyle w:val="65"/>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A4.5资源综合</w:t>
                  </w:r>
                </w:p>
              </w:tc>
              <w:tc>
                <w:tcPr>
                  <w:tcW w:w="1973" w:type="pct"/>
                  <w:tcBorders>
                    <w:tl2br w:val="nil"/>
                    <w:tr2bl w:val="nil"/>
                  </w:tcBorders>
                  <w:vAlign w:val="center"/>
                </w:tcPr>
                <w:p w14:paraId="10C33540">
                  <w:pPr>
                    <w:pStyle w:val="65"/>
                    <w:numPr>
                      <w:ilvl w:val="0"/>
                      <w:numId w:val="0"/>
                    </w:numPr>
                    <w:spacing w:line="320" w:lineRule="exact"/>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A4.5-1】加强固体废物源头减量、资源化利用和无害化处置，最大限度减少填埋量。推进工业固体废物精细化、名录化环境管理，促进大宗工业固废综合利用、主要农业废弃物全量利用。加快构建废旧物资回收和循环利用体系，健全强制报废制度和废旧家电、消费电子等耐用消费品回收处理体系，推行生产企业“逆向回收”模式。以尾矿和共伴生矿、煤矸石、炉渣、粉煤灰、脱硫石膏、冶炼渣、建筑垃圾等为重点，持续推进固体废物综合利用和环境整治不断提高大宗固体废物资源化利用水平。推行生活垃圾分类，加快建设县(市)生活垃圾处理设施，到2025年，全疆城市生活垃圾无害化处理率达到99%以上。</w:t>
                  </w:r>
                </w:p>
              </w:tc>
              <w:tc>
                <w:tcPr>
                  <w:tcW w:w="1846" w:type="pct"/>
                  <w:tcBorders>
                    <w:tl2br w:val="nil"/>
                    <w:tr2bl w:val="nil"/>
                  </w:tcBorders>
                  <w:vAlign w:val="center"/>
                </w:tcPr>
                <w:p w14:paraId="275AA6D5">
                  <w:pPr>
                    <w:pStyle w:val="65"/>
                    <w:numPr>
                      <w:ilvl w:val="0"/>
                      <w:numId w:val="0"/>
                    </w:numPr>
                    <w:spacing w:line="320" w:lineRule="exact"/>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本项目营运期除尘灰和不合格产品回用于生产，废包装材料卖至当地资源回收站，废模具交由第三方钢铁回收公司处置；设备维修保养产生的少量废机油和废油桶暂存至危废暂存间由有资质单位处置。各类固体废物去向合理，生产固废已落实“资源化、减量化”处置原则。</w:t>
                  </w:r>
                </w:p>
              </w:tc>
            </w:tr>
          </w:tbl>
          <w:p w14:paraId="5796378E">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新宋体" w:cs="Times New Roman"/>
                <w:color w:val="000000" w:themeColor="text1"/>
                <w:sz w:val="24"/>
                <w:lang w:eastAsia="zh-CN"/>
                <w14:textFill>
                  <w14:solidFill>
                    <w14:schemeClr w14:val="tx1"/>
                  </w14:solidFill>
                </w14:textFill>
              </w:rPr>
            </w:pPr>
            <w:r>
              <w:rPr>
                <w:rFonts w:hint="default" w:ascii="Times New Roman" w:hAnsi="Times New Roman" w:eastAsia="新宋体" w:cs="Times New Roman"/>
                <w:color w:val="000000" w:themeColor="text1"/>
                <w:sz w:val="24"/>
                <w14:textFill>
                  <w14:solidFill>
                    <w14:schemeClr w14:val="tx1"/>
                  </w14:solidFill>
                </w14:textFill>
              </w:rPr>
              <w:t>综上所述，项目符合《新疆维吾尔自治区“三线一单”生态环境分区管控方案》</w:t>
            </w:r>
            <w:r>
              <w:rPr>
                <w:rFonts w:hint="eastAsia" w:eastAsia="新宋体" w:cs="Times New Roman"/>
                <w:color w:val="000000" w:themeColor="text1"/>
                <w:sz w:val="24"/>
                <w:lang w:eastAsia="zh-CN"/>
                <w14:textFill>
                  <w14:solidFill>
                    <w14:schemeClr w14:val="tx1"/>
                  </w14:solidFill>
                </w14:textFill>
              </w:rPr>
              <w:t>《新疆维吾尔自治区生态环境分区管控动态更新成果》</w:t>
            </w:r>
            <w:r>
              <w:rPr>
                <w:rFonts w:hint="default" w:ascii="Times New Roman" w:hAnsi="Times New Roman" w:eastAsia="新宋体" w:cs="Times New Roman"/>
                <w:color w:val="000000" w:themeColor="text1"/>
                <w:sz w:val="24"/>
                <w:lang w:eastAsia="zh-CN"/>
                <w14:textFill>
                  <w14:solidFill>
                    <w14:schemeClr w14:val="tx1"/>
                  </w14:solidFill>
                </w14:textFill>
              </w:rPr>
              <w:t>和</w:t>
            </w:r>
            <w:r>
              <w:rPr>
                <w:rFonts w:hint="default" w:ascii="Times New Roman" w:hAnsi="Times New Roman" w:eastAsia="新宋体" w:cs="Times New Roman"/>
                <w:color w:val="000000" w:themeColor="text1"/>
                <w:sz w:val="24"/>
                <w:lang w:val="en-US" w:eastAsia="zh-CN"/>
                <w14:textFill>
                  <w14:solidFill>
                    <w14:schemeClr w14:val="tx1"/>
                  </w14:solidFill>
                </w14:textFill>
              </w:rPr>
              <w:t>《自治区生态环境分区管控方案和七大片区管控要求》</w:t>
            </w:r>
            <w:r>
              <w:rPr>
                <w:rFonts w:hint="default" w:ascii="Times New Roman" w:hAnsi="Times New Roman" w:eastAsia="新宋体" w:cs="Times New Roman"/>
                <w:color w:val="000000" w:themeColor="text1"/>
                <w:sz w:val="24"/>
                <w:lang w:eastAsia="zh-CN"/>
                <w14:textFill>
                  <w14:solidFill>
                    <w14:schemeClr w14:val="tx1"/>
                  </w14:solidFill>
                </w14:textFill>
              </w:rPr>
              <w:t>的要求。</w:t>
            </w:r>
          </w:p>
          <w:p w14:paraId="364709BF">
            <w:pPr>
              <w:pStyle w:val="6"/>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新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新宋体" w:cs="Times New Roman"/>
                <w:b/>
                <w:bCs/>
                <w:color w:val="000000" w:themeColor="text1"/>
                <w:kern w:val="2"/>
                <w:sz w:val="21"/>
                <w:szCs w:val="21"/>
                <w:lang w:val="en-US" w:eastAsia="zh-CN" w:bidi="ar-SA"/>
                <w14:textFill>
                  <w14:solidFill>
                    <w14:schemeClr w14:val="tx1"/>
                  </w14:solidFill>
                </w14:textFill>
              </w:rPr>
              <w:t>表1-</w:t>
            </w:r>
            <w:r>
              <w:rPr>
                <w:rFonts w:hint="eastAsia" w:eastAsia="新宋体" w:cs="Times New Roman"/>
                <w:b/>
                <w:bCs/>
                <w:color w:val="000000" w:themeColor="text1"/>
                <w:kern w:val="2"/>
                <w:sz w:val="21"/>
                <w:szCs w:val="21"/>
                <w:lang w:val="en-US" w:eastAsia="zh-CN" w:bidi="ar-SA"/>
                <w14:textFill>
                  <w14:solidFill>
                    <w14:schemeClr w14:val="tx1"/>
                  </w14:solidFill>
                </w14:textFill>
              </w:rPr>
              <w:t>5</w:t>
            </w:r>
            <w:r>
              <w:rPr>
                <w:rFonts w:hint="default" w:ascii="Times New Roman" w:hAnsi="Times New Roman" w:eastAsia="新宋体" w:cs="Times New Roman"/>
                <w:b/>
                <w:bCs/>
                <w:color w:val="000000" w:themeColor="text1"/>
                <w:kern w:val="2"/>
                <w:sz w:val="21"/>
                <w:szCs w:val="21"/>
                <w:lang w:val="en-US" w:eastAsia="zh-CN" w:bidi="ar-SA"/>
                <w14:textFill>
                  <w14:solidFill>
                    <w14:schemeClr w14:val="tx1"/>
                  </w14:solidFill>
                </w14:textFill>
              </w:rPr>
              <w:t>与《巴音郭楞蒙古自治州“三线一单”生态环境分区管控方案》符合性</w:t>
            </w:r>
            <w:r>
              <w:rPr>
                <w:rFonts w:hint="eastAsia" w:eastAsia="新宋体" w:cs="Times New Roman"/>
                <w:b/>
                <w:bCs/>
                <w:color w:val="000000" w:themeColor="text1"/>
                <w:kern w:val="2"/>
                <w:sz w:val="21"/>
                <w:szCs w:val="21"/>
                <w:lang w:val="en-US" w:eastAsia="zh-CN" w:bidi="ar-SA"/>
                <w14:textFill>
                  <w14:solidFill>
                    <w14:schemeClr w14:val="tx1"/>
                  </w14:solidFill>
                </w14:textFill>
              </w:rPr>
              <w:t>分析</w:t>
            </w:r>
          </w:p>
          <w:tbl>
            <w:tblPr>
              <w:tblStyle w:val="29"/>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0"/>
              <w:gridCol w:w="2915"/>
              <w:gridCol w:w="2246"/>
              <w:gridCol w:w="785"/>
            </w:tblGrid>
            <w:tr w14:paraId="466AAE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27" w:type="pct"/>
                  <w:gridSpan w:val="2"/>
                  <w:tcBorders>
                    <w:tl2br w:val="nil"/>
                    <w:tr2bl w:val="nil"/>
                  </w:tcBorders>
                  <w:noWrap w:val="0"/>
                  <w:vAlign w:val="center"/>
                </w:tcPr>
                <w:p w14:paraId="5FD003E3">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文件要求</w:t>
                  </w:r>
                </w:p>
              </w:tc>
              <w:tc>
                <w:tcPr>
                  <w:tcW w:w="1758" w:type="pct"/>
                  <w:tcBorders>
                    <w:tl2br w:val="nil"/>
                    <w:tr2bl w:val="nil"/>
                  </w:tcBorders>
                  <w:noWrap w:val="0"/>
                  <w:vAlign w:val="center"/>
                </w:tcPr>
                <w:p w14:paraId="0B2DBCF1">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拟建工程</w:t>
                  </w:r>
                </w:p>
              </w:tc>
              <w:tc>
                <w:tcPr>
                  <w:tcW w:w="614" w:type="pct"/>
                  <w:tcBorders>
                    <w:tl2br w:val="nil"/>
                    <w:tr2bl w:val="nil"/>
                  </w:tcBorders>
                  <w:noWrap w:val="0"/>
                  <w:vAlign w:val="center"/>
                </w:tcPr>
                <w:p w14:paraId="248BA383">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符合性</w:t>
                  </w:r>
                </w:p>
              </w:tc>
            </w:tr>
            <w:tr w14:paraId="171EED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5" w:type="pct"/>
                  <w:tcBorders>
                    <w:tl2br w:val="nil"/>
                    <w:tr2bl w:val="nil"/>
                  </w:tcBorders>
                  <w:noWrap w:val="0"/>
                  <w:vAlign w:val="center"/>
                </w:tcPr>
                <w:p w14:paraId="222764AA">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生态保护红线</w:t>
                  </w:r>
                </w:p>
              </w:tc>
              <w:tc>
                <w:tcPr>
                  <w:tcW w:w="2282" w:type="pct"/>
                  <w:tcBorders>
                    <w:tl2br w:val="nil"/>
                    <w:tr2bl w:val="nil"/>
                  </w:tcBorders>
                  <w:noWrap w:val="0"/>
                  <w:vAlign w:val="center"/>
                </w:tcPr>
                <w:p w14:paraId="0415C511">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按照“生态功能不降低、面积不减少、性质不改变”的基本要求，对划定的生态保护红线实施严格管控，保障和维护国家生态安全的底线和生命线。</w:t>
                  </w:r>
                </w:p>
              </w:tc>
              <w:tc>
                <w:tcPr>
                  <w:tcW w:w="1758" w:type="pct"/>
                  <w:tcBorders>
                    <w:tl2br w:val="nil"/>
                    <w:tr2bl w:val="nil"/>
                  </w:tcBorders>
                  <w:noWrap w:val="0"/>
                  <w:vAlign w:val="center"/>
                </w:tcPr>
                <w:p w14:paraId="2FD5B2BB">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位于</w:t>
                  </w:r>
                  <w:r>
                    <w:rPr>
                      <w:rFonts w:hint="eastAsia" w:eastAsia="宋体" w:cs="Times New Roman"/>
                      <w:color w:val="000000" w:themeColor="text1"/>
                      <w:sz w:val="21"/>
                      <w:szCs w:val="21"/>
                      <w:highlight w:val="none"/>
                      <w:lang w:val="en-US" w:eastAsia="zh-CN"/>
                      <w14:textFill>
                        <w14:solidFill>
                          <w14:schemeClr w14:val="tx1"/>
                        </w14:solidFill>
                      </w14:textFill>
                    </w:rPr>
                    <w:t>和硕县水磨街13号（和硕县城北部）</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，项目不涉及生态保护红线区，总体符合分区管控的要求。</w:t>
                  </w:r>
                </w:p>
              </w:tc>
              <w:tc>
                <w:tcPr>
                  <w:tcW w:w="614" w:type="pct"/>
                  <w:tcBorders>
                    <w:tl2br w:val="nil"/>
                    <w:tr2bl w:val="nil"/>
                  </w:tcBorders>
                  <w:noWrap w:val="0"/>
                  <w:vAlign w:val="center"/>
                </w:tcPr>
                <w:p w14:paraId="20C16060">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0C2594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5" w:type="pct"/>
                  <w:tcBorders>
                    <w:tl2br w:val="nil"/>
                    <w:tr2bl w:val="nil"/>
                  </w:tcBorders>
                  <w:noWrap w:val="0"/>
                  <w:vAlign w:val="center"/>
                </w:tcPr>
                <w:p w14:paraId="04EF2BE3">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环境质量底线</w:t>
                  </w:r>
                </w:p>
              </w:tc>
              <w:tc>
                <w:tcPr>
                  <w:tcW w:w="2282" w:type="pct"/>
                  <w:tcBorders>
                    <w:tl2br w:val="nil"/>
                    <w:tr2bl w:val="nil"/>
                  </w:tcBorders>
                  <w:noWrap w:val="0"/>
                  <w:vAlign w:val="center"/>
                </w:tcPr>
                <w:p w14:paraId="597FFA52">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全州水环境质量持续改善，开都河、塔里木河、迪那河、车尔臣河、黄水沟5条河流13个监测断面稳定达到II类水（塔里木河氟化物不参与考核，其他指标均为Ⅱ类），孔雀河4个监测断面达到II类水，博斯腾湖17个重点点位中1、7、14监测点均值Ⅱ类，其余监测点均值Ⅳ类；受污染地表水体得到有效治理，饮用水安全保障水平持续提升，地下水超采得到严格控制，地下水水质保持稳定。全州环境空气质量有所提升，SO2、NO2浓度长期维持在较低水平，达到环境空气质量一级标准；逐步减少颗粒物排放，PM10、PM2.5平均浓度分别低于81μg/m、31.5μg/m（库尔勒市，扣除沙尘天气影响），空气优良天数比例大于75.2%（库尔勒市），重污染天数持续减少，沙尘影响严重地区做好防风固沙、生态环境保护修复等工作：全州土壤环境质量保持稳定，受污染耕地安全利用率达到98%以上，污染地块安全利用率不低于93%，土壤环境风险得到进一步管控。</w:t>
                  </w:r>
                </w:p>
              </w:tc>
              <w:tc>
                <w:tcPr>
                  <w:tcW w:w="1758" w:type="pct"/>
                  <w:tcBorders>
                    <w:tl2br w:val="nil"/>
                    <w:tr2bl w:val="nil"/>
                  </w:tcBorders>
                  <w:noWrap w:val="0"/>
                  <w:vAlign w:val="center"/>
                </w:tcPr>
                <w:p w14:paraId="739BF16A">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项目区大气环境质量执行《环境空气质量标准》（GB3095-2012）中二类限值要求，项目拟采取</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布袋除尘器、封闭车间、</w:t>
                  </w:r>
                  <w:r>
                    <w:rPr>
                      <w:rFonts w:hint="eastAsia" w:eastAsia="宋体" w:cs="Times New Roman"/>
                      <w:color w:val="000000" w:themeColor="text1"/>
                      <w:sz w:val="21"/>
                      <w:szCs w:val="21"/>
                      <w:highlight w:val="none"/>
                      <w:lang w:val="en-US" w:eastAsia="zh-CN"/>
                      <w14:textFill>
                        <w14:solidFill>
                          <w14:schemeClr w14:val="tx1"/>
                        </w14:solidFill>
                      </w14:textFill>
                    </w:rPr>
                    <w:t>雾炮</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降尘</w:t>
                  </w:r>
                  <w:r>
                    <w:rPr>
                      <w:rFonts w:hint="eastAsia" w:eastAsia="宋体" w:cs="Times New Roman"/>
                      <w:color w:val="000000" w:themeColor="text1"/>
                      <w:sz w:val="21"/>
                      <w:szCs w:val="21"/>
                      <w:highlight w:val="none"/>
                      <w:lang w:val="en-US" w:eastAsia="zh-CN"/>
                      <w14:textFill>
                        <w14:solidFill>
                          <w14:schemeClr w14:val="tx1"/>
                        </w14:solidFill>
                      </w14:textFill>
                    </w:rPr>
                    <w:t>、装卸降尘</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等措施颗粒物可</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达标排放，对区域内环境影响较小，环境质量可以保持现有水平。</w:t>
                  </w:r>
                </w:p>
                <w:p w14:paraId="7B738824">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无生产废水排放，</w:t>
                  </w:r>
                  <w:r>
                    <w:rPr>
                      <w:rFonts w:hint="eastAsia" w:eastAsia="宋体" w:cs="Times New Roman"/>
                      <w:color w:val="000000" w:themeColor="text1"/>
                      <w:sz w:val="21"/>
                      <w:szCs w:val="21"/>
                      <w:highlight w:val="none"/>
                      <w:lang w:val="en-US" w:eastAsia="zh-CN"/>
                      <w14:textFill>
                        <w14:solidFill>
                          <w14:schemeClr w14:val="tx1"/>
                        </w14:solidFill>
                      </w14:textFill>
                    </w:rPr>
                    <w:t>养护废水</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与车辆冲洗废水收集后沉淀回用，</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对地表水环境无影响。</w:t>
                  </w:r>
                </w:p>
                <w:p w14:paraId="30DEC4AC">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项目区声环境执行《声环境质量标准》（GB3096-2008）中2类区标准，根据运营期影响分析，本工程通过采取降噪措施，厂界噪声可达标排放，对项目区声环境质量影响较小。</w:t>
                  </w:r>
                </w:p>
                <w:p w14:paraId="721331F3">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通过采取污染防治措施，项目运营期各类污染物均能达到国家排放标准要求，可将对环境质量的影响降到最小，不突破所在区域环境质量底线。</w:t>
                  </w:r>
                </w:p>
                <w:p w14:paraId="273303D1">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14" w:type="pct"/>
                  <w:tcBorders>
                    <w:tl2br w:val="nil"/>
                    <w:tr2bl w:val="nil"/>
                  </w:tcBorders>
                  <w:noWrap w:val="0"/>
                  <w:vAlign w:val="center"/>
                </w:tcPr>
                <w:p w14:paraId="0040A0BD">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187B6C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5" w:type="pct"/>
                  <w:tcBorders>
                    <w:tl2br w:val="nil"/>
                    <w:tr2bl w:val="nil"/>
                  </w:tcBorders>
                  <w:noWrap w:val="0"/>
                  <w:vAlign w:val="center"/>
                </w:tcPr>
                <w:p w14:paraId="363DDA4E">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资源利用上线</w:t>
                  </w:r>
                </w:p>
              </w:tc>
              <w:tc>
                <w:tcPr>
                  <w:tcW w:w="2282" w:type="pct"/>
                  <w:tcBorders>
                    <w:tl2br w:val="nil"/>
                    <w:tr2bl w:val="nil"/>
                  </w:tcBorders>
                  <w:noWrap w:val="0"/>
                  <w:vAlign w:val="center"/>
                </w:tcPr>
                <w:p w14:paraId="6661A27B">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强化节约集约利用，持续提升资源能源利用效率，水资源、土地资源、能源消耗等达到国家、自治区下达的总量和强度控制目标。加快低碳发展，提升碳汇能力，做好</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碳达峰碳中和</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工作。</w:t>
                  </w:r>
                </w:p>
              </w:tc>
              <w:tc>
                <w:tcPr>
                  <w:tcW w:w="1758" w:type="pct"/>
                  <w:tcBorders>
                    <w:tl2br w:val="nil"/>
                    <w:tr2bl w:val="nil"/>
                  </w:tcBorders>
                  <w:noWrap w:val="0"/>
                  <w:vAlign w:val="center"/>
                </w:tcPr>
                <w:p w14:paraId="03E90459">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运营过程中消耗一定的水和电能，项目资源消耗量相对区域资源利用总量较少，本项目建成后通过内部管理、优化工艺，以“节能、降耗、减污”为目标，提高资源利用率，项目用水、用电不会突破资源利用上线，符合资源利用上线要求。</w:t>
                  </w:r>
                </w:p>
              </w:tc>
              <w:tc>
                <w:tcPr>
                  <w:tcW w:w="614" w:type="pct"/>
                  <w:tcBorders>
                    <w:tl2br w:val="nil"/>
                    <w:tr2bl w:val="nil"/>
                  </w:tcBorders>
                  <w:noWrap w:val="0"/>
                  <w:vAlign w:val="center"/>
                </w:tcPr>
                <w:p w14:paraId="19134782">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726B3C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5" w:type="pct"/>
                  <w:tcBorders>
                    <w:tl2br w:val="nil"/>
                    <w:tr2bl w:val="nil"/>
                  </w:tcBorders>
                  <w:noWrap w:val="0"/>
                  <w:vAlign w:val="center"/>
                </w:tcPr>
                <w:p w14:paraId="17BA0A4D">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环境管控单元</w:t>
                  </w:r>
                </w:p>
              </w:tc>
              <w:tc>
                <w:tcPr>
                  <w:tcW w:w="2282" w:type="pct"/>
                  <w:tcBorders>
                    <w:tl2br w:val="nil"/>
                    <w:tr2bl w:val="nil"/>
                  </w:tcBorders>
                  <w:noWrap w:val="0"/>
                  <w:vAlign w:val="center"/>
                </w:tcPr>
                <w:p w14:paraId="664EA899">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自治州划定125个环境管控单元，分为优先保护单元、重点管控单元和一般管控单元等三个管控类别。优先保护单元包括生态保护红线和生态保护红线区以外的饮用水水源保护区、水源涵养区、防风固沙区、土地沙化防控区、水土流失防控区等一般生态空间管控区；重点管控区为城镇建成区、工业园区和开发强度大、污染排放强度高的工业聚集区等；一般管控单位包括优先保护单元和重点管控单元之外的其他区域。</w:t>
                  </w:r>
                </w:p>
              </w:tc>
              <w:tc>
                <w:tcPr>
                  <w:tcW w:w="1758" w:type="pct"/>
                  <w:tcBorders>
                    <w:tl2br w:val="nil"/>
                    <w:tr2bl w:val="nil"/>
                  </w:tcBorders>
                  <w:noWrap w:val="0"/>
                  <w:vAlign w:val="center"/>
                </w:tcPr>
                <w:p w14:paraId="3C525946">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根据关于印发《巴音郭楞蒙古自治州“三线一单”生态环境分区管控方案》的通知（巴政办发〔2021〕32号）中《方案》的相关规定，本项目位于</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“ZH65282820001－和硕县大气布局敏感区－重点管控单元”</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，本项目与巴音郭楞蒙古自治州“三线一单”生态环境准入清单中的分区管控要求的符合性分析见下表。</w:t>
                  </w:r>
                </w:p>
              </w:tc>
              <w:tc>
                <w:tcPr>
                  <w:tcW w:w="614" w:type="pct"/>
                  <w:tcBorders>
                    <w:tl2br w:val="nil"/>
                    <w:tr2bl w:val="nil"/>
                  </w:tcBorders>
                  <w:noWrap w:val="0"/>
                  <w:vAlign w:val="center"/>
                </w:tcPr>
                <w:p w14:paraId="78B02F14">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bl>
          <w:p w14:paraId="2B6CD9D7">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eastAsia="新宋体" w:cs="Times New Roman"/>
                <w:color w:val="000000" w:themeColor="text1"/>
                <w:sz w:val="24"/>
                <w14:textFill>
                  <w14:solidFill>
                    <w14:schemeClr w14:val="tx1"/>
                  </w14:solidFill>
                </w14:textFill>
              </w:rPr>
            </w:pPr>
            <w:r>
              <w:rPr>
                <w:rFonts w:hint="default" w:ascii="Times New Roman" w:hAnsi="Times New Roman" w:eastAsia="新宋体" w:cs="Times New Roman"/>
                <w:color w:val="000000" w:themeColor="text1"/>
                <w:sz w:val="24"/>
                <w:lang w:val="en-US" w:eastAsia="zh-CN"/>
                <w14:textFill>
                  <w14:solidFill>
                    <w14:schemeClr w14:val="tx1"/>
                  </w14:solidFill>
                </w14:textFill>
              </w:rPr>
              <w:t>2021年6月30日，新疆巴音郭楞蒙古自治州人民政府印发的</w:t>
            </w:r>
            <w:r>
              <w:rPr>
                <w:rFonts w:hint="default" w:ascii="Times New Roman" w:hAnsi="Times New Roman" w:eastAsia="新宋体" w:cs="Times New Roman"/>
                <w:color w:val="000000" w:themeColor="text1"/>
                <w:sz w:val="24"/>
                <w14:textFill>
                  <w14:solidFill>
                    <w14:schemeClr w14:val="tx1"/>
                  </w14:solidFill>
                </w14:textFill>
              </w:rPr>
              <w:t>《巴州地区“三线一单”生态环境分区管控方案》（巴政办发﹝2021﹞32号）要求，本项目属于</w:t>
            </w:r>
            <w:r>
              <w:rPr>
                <w:rFonts w:hint="eastAsia" w:eastAsia="新宋体" w:cs="Times New Roman"/>
                <w:color w:val="000000" w:themeColor="text1"/>
                <w:sz w:val="24"/>
                <w:lang w:eastAsia="zh-CN"/>
                <w14:textFill>
                  <w14:solidFill>
                    <w14:schemeClr w14:val="tx1"/>
                  </w14:solidFill>
                </w14:textFill>
              </w:rPr>
              <w:t>“ZH65282820001－和硕县大气布局敏感区－重点管控单元”</w:t>
            </w:r>
            <w:r>
              <w:rPr>
                <w:rFonts w:hint="default" w:ascii="Times New Roman" w:hAnsi="Times New Roman" w:eastAsia="新宋体" w:cs="Times New Roman"/>
                <w:color w:val="000000" w:themeColor="text1"/>
                <w:kern w:val="0"/>
                <w:sz w:val="24"/>
                <w14:textFill>
                  <w14:solidFill>
                    <w14:schemeClr w14:val="tx1"/>
                  </w14:solidFill>
                </w14:textFill>
              </w:rPr>
              <w:t>，</w:t>
            </w:r>
            <w:r>
              <w:rPr>
                <w:rFonts w:hint="default" w:ascii="Times New Roman" w:hAnsi="Times New Roman" w:eastAsia="新宋体" w:cs="Times New Roman"/>
                <w:color w:val="000000" w:themeColor="text1"/>
                <w:sz w:val="24"/>
                <w14:textFill>
                  <w14:solidFill>
                    <w14:schemeClr w14:val="tx1"/>
                  </w14:solidFill>
                </w14:textFill>
              </w:rPr>
              <w:t>项目与巴州地区三线一单图位置关系见附图</w:t>
            </w:r>
            <w:r>
              <w:rPr>
                <w:rFonts w:hint="eastAsia" w:eastAsia="新宋体" w:cs="Times New Roman"/>
                <w:color w:val="000000" w:themeColor="text1"/>
                <w:sz w:val="24"/>
                <w:lang w:val="en-US" w:eastAsia="zh-CN"/>
                <w14:textFill>
                  <w14:solidFill>
                    <w14:schemeClr w14:val="tx1"/>
                  </w14:solidFill>
                </w14:textFill>
              </w:rPr>
              <w:t>7</w:t>
            </w:r>
            <w:r>
              <w:rPr>
                <w:rFonts w:hint="default" w:ascii="Times New Roman" w:hAnsi="Times New Roman" w:eastAsia="新宋体" w:cs="Times New Roman"/>
                <w:color w:val="000000" w:themeColor="text1"/>
                <w:sz w:val="24"/>
                <w14:textFill>
                  <w14:solidFill>
                    <w14:schemeClr w14:val="tx1"/>
                  </w14:solidFill>
                </w14:textFill>
              </w:rPr>
              <w:t>。本项目与</w:t>
            </w:r>
            <w:r>
              <w:rPr>
                <w:rFonts w:hint="default" w:ascii="Times New Roman" w:hAnsi="Times New Roman" w:eastAsia="新宋体" w:cs="Times New Roman"/>
                <w:color w:val="000000" w:themeColor="text1"/>
                <w:sz w:val="24"/>
                <w:lang w:val="en-US" w:eastAsia="zh-CN"/>
                <w14:textFill>
                  <w14:solidFill>
                    <w14:schemeClr w14:val="tx1"/>
                  </w14:solidFill>
                </w14:textFill>
              </w:rPr>
              <w:t>《巴音郭楞蒙古自治州生态环境准入清单》（2023年）</w:t>
            </w:r>
            <w:r>
              <w:rPr>
                <w:rFonts w:hint="default" w:ascii="Times New Roman" w:hAnsi="Times New Roman" w:eastAsia="新宋体" w:cs="Times New Roman"/>
                <w:color w:val="000000" w:themeColor="text1"/>
                <w:sz w:val="24"/>
                <w14:textFill>
                  <w14:solidFill>
                    <w14:schemeClr w14:val="tx1"/>
                  </w14:solidFill>
                </w14:textFill>
              </w:rPr>
              <w:t>符合性分析见下表。</w:t>
            </w:r>
          </w:p>
          <w:p w14:paraId="42BD53F2">
            <w:pPr>
              <w:pStyle w:val="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b/>
                <w:bCs/>
                <w:color w:val="000000" w:themeColor="text1"/>
                <w:sz w:val="21"/>
                <w:szCs w:val="21"/>
                <w14:textFill>
                  <w14:solidFill>
                    <w14:schemeClr w14:val="tx1"/>
                  </w14:solidFill>
                </w14:textFill>
              </w:rPr>
              <w:t>表1-</w:t>
            </w:r>
            <w:r>
              <w:rPr>
                <w:rFonts w:hint="eastAsia" w:eastAsia="新宋体" w:cs="Times New Roman"/>
                <w:b/>
                <w:bCs/>
                <w:color w:val="000000" w:themeColor="text1"/>
                <w:sz w:val="21"/>
                <w:szCs w:val="21"/>
                <w:lang w:val="en-US" w:eastAsia="zh-CN"/>
                <w14:textFill>
                  <w14:solidFill>
                    <w14:schemeClr w14:val="tx1"/>
                  </w14:solidFill>
                </w14:textFill>
              </w:rPr>
              <w:t>6</w:t>
            </w:r>
            <w:r>
              <w:rPr>
                <w:rFonts w:hint="default" w:ascii="Times New Roman" w:hAnsi="Times New Roman" w:eastAsia="新宋体" w:cs="Times New Roman"/>
                <w:b/>
                <w:bCs/>
                <w:color w:val="000000" w:themeColor="text1"/>
                <w:sz w:val="21"/>
                <w:szCs w:val="21"/>
                <w14:textFill>
                  <w14:solidFill>
                    <w14:schemeClr w14:val="tx1"/>
                  </w14:solidFill>
                </w14:textFill>
              </w:rPr>
              <w:t>项目与</w:t>
            </w:r>
            <w:r>
              <w:rPr>
                <w:rFonts w:hint="default" w:ascii="Times New Roman" w:hAnsi="Times New Roman" w:eastAsia="新宋体" w:cs="Times New Roman"/>
                <w:b/>
                <w:bCs/>
                <w:color w:val="000000" w:themeColor="text1"/>
                <w:sz w:val="21"/>
                <w:szCs w:val="21"/>
                <w:lang w:val="en-US" w:eastAsia="zh-CN"/>
                <w14:textFill>
                  <w14:solidFill>
                    <w14:schemeClr w14:val="tx1"/>
                  </w14:solidFill>
                </w14:textFill>
              </w:rPr>
              <w:t>《巴音郭楞蒙古自治州生态环境准入清单》（2023年）</w:t>
            </w:r>
            <w:r>
              <w:rPr>
                <w:rFonts w:hint="default" w:ascii="Times New Roman" w:hAnsi="Times New Roman" w:eastAsia="新宋体" w:cs="Times New Roman"/>
                <w:b/>
                <w:bCs/>
                <w:color w:val="000000" w:themeColor="text1"/>
                <w:sz w:val="21"/>
                <w:szCs w:val="21"/>
                <w14:textFill>
                  <w14:solidFill>
                    <w14:schemeClr w14:val="tx1"/>
                  </w14:solidFill>
                </w14:textFill>
              </w:rPr>
              <w:t>符合性分析一览表</w:t>
            </w:r>
          </w:p>
          <w:tbl>
            <w:tblPr>
              <w:tblStyle w:val="28"/>
              <w:tblW w:w="497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15"/>
              <w:gridCol w:w="503"/>
              <w:gridCol w:w="2328"/>
              <w:gridCol w:w="2326"/>
              <w:gridCol w:w="390"/>
            </w:tblGrid>
            <w:tr w14:paraId="364FF5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0" w:type="pct"/>
                  <w:tcBorders>
                    <w:tl2br w:val="nil"/>
                    <w:tr2bl w:val="nil"/>
                  </w:tcBorders>
                  <w:vAlign w:val="center"/>
                </w:tcPr>
                <w:p w14:paraId="2CF700FD">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管控单元名称</w:t>
                  </w:r>
                </w:p>
              </w:tc>
              <w:tc>
                <w:tcPr>
                  <w:tcW w:w="2224" w:type="pct"/>
                  <w:gridSpan w:val="2"/>
                  <w:tcBorders>
                    <w:tl2br w:val="nil"/>
                    <w:tr2bl w:val="nil"/>
                  </w:tcBorders>
                  <w:vAlign w:val="center"/>
                </w:tcPr>
                <w:p w14:paraId="14CEF4FA">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管控要求</w:t>
                  </w:r>
                </w:p>
              </w:tc>
              <w:tc>
                <w:tcPr>
                  <w:tcW w:w="1828" w:type="pct"/>
                  <w:tcBorders>
                    <w:tl2br w:val="nil"/>
                    <w:tr2bl w:val="nil"/>
                  </w:tcBorders>
                  <w:vAlign w:val="center"/>
                </w:tcPr>
                <w:p w14:paraId="3E6E3189">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项目情况分析</w:t>
                  </w:r>
                </w:p>
              </w:tc>
              <w:tc>
                <w:tcPr>
                  <w:tcW w:w="306" w:type="pct"/>
                  <w:tcBorders>
                    <w:tl2br w:val="nil"/>
                    <w:tr2bl w:val="nil"/>
                  </w:tcBorders>
                  <w:vAlign w:val="center"/>
                </w:tcPr>
                <w:p w14:paraId="3D3FB757">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结论</w:t>
                  </w:r>
                </w:p>
              </w:tc>
            </w:tr>
            <w:tr w14:paraId="0BA4EF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7" w:hRule="atLeast"/>
                <w:jc w:val="center"/>
              </w:trPr>
              <w:tc>
                <w:tcPr>
                  <w:tcW w:w="640" w:type="pct"/>
                  <w:vMerge w:val="restart"/>
                  <w:tcBorders>
                    <w:tl2br w:val="nil"/>
                    <w:tr2bl w:val="nil"/>
                  </w:tcBorders>
                  <w:vAlign w:val="center"/>
                </w:tcPr>
                <w:p w14:paraId="46AD0A9A">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ZH65282820001－和硕县大气布局敏感区－重点管控单元</w:t>
                  </w:r>
                </w:p>
              </w:tc>
              <w:tc>
                <w:tcPr>
                  <w:tcW w:w="395" w:type="pct"/>
                  <w:tcBorders>
                    <w:tl2br w:val="nil"/>
                    <w:tr2bl w:val="nil"/>
                  </w:tcBorders>
                  <w:vAlign w:val="center"/>
                </w:tcPr>
                <w:p w14:paraId="466E2961">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空间布局约束</w:t>
                  </w:r>
                </w:p>
              </w:tc>
              <w:tc>
                <w:tcPr>
                  <w:tcW w:w="1829" w:type="pct"/>
                  <w:tcBorders>
                    <w:tl2br w:val="nil"/>
                    <w:tr2bl w:val="nil"/>
                  </w:tcBorders>
                  <w:vAlign w:val="center"/>
                </w:tcPr>
                <w:p w14:paraId="461B54DC">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1.严格建设项目节能环保准入，涉及大气污染物排放的，执行国家大气污染物排放限值，待地方大气污染物排放标准出台后一并执行。 </w:t>
                  </w:r>
                </w:p>
                <w:p w14:paraId="6F064701">
                  <w:pPr>
                    <w:pStyle w:val="65"/>
                    <w:numPr>
                      <w:ilvl w:val="0"/>
                      <w:numId w:val="0"/>
                    </w:numPr>
                    <w:spacing w:line="320" w:lineRule="exact"/>
                    <w:ind w:left="0" w:lef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2.禁止引进国家和自治区明令禁止或淘汰的产业及工艺、园区规划的项目；引进符合国家产业政策和清洁生产要求的、采用先进生产工艺和设备的、自动化程度高的、具有可靠先进的污染治理技术的生产项目。</w:t>
                  </w:r>
                </w:p>
              </w:tc>
              <w:tc>
                <w:tcPr>
                  <w:tcW w:w="1828" w:type="pct"/>
                  <w:tcBorders>
                    <w:tl2br w:val="nil"/>
                    <w:tr2bl w:val="nil"/>
                  </w:tcBorders>
                  <w:vAlign w:val="center"/>
                </w:tcPr>
                <w:p w14:paraId="3A8AC58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1、本项目为砼结构构件生产项目，属于石膏、水泥制品及类似制品制造，不涉及二类工业项目。符合新疆维吾尔自治区准入清单要求，生产执行《水泥工业大气污染物排放标准》（GB4915-2013）限值，严格控制颗粒物排放。</w:t>
                  </w:r>
                </w:p>
                <w:p w14:paraId="7A23EDB9">
                  <w:pPr>
                    <w:pStyle w:val="65"/>
                    <w:numPr>
                      <w:ilvl w:val="0"/>
                      <w:numId w:val="0"/>
                    </w:numPr>
                    <w:spacing w:line="320" w:lineRule="exact"/>
                    <w:ind w:left="0" w:lef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2、砼结构预制件制造不属于《市场准入负面清单（2022年版）》《新疆28个国家重点生态功能区县（市）产业准入负面清单（试行）》，生产设备不在淘汰指导目录中；生产过程在全密闭厂房进行、原料库房及辅助工序中雾炮降尘机和布袋除尘器属于可靠污染治理技术。</w:t>
                  </w:r>
                </w:p>
              </w:tc>
              <w:tc>
                <w:tcPr>
                  <w:tcW w:w="306" w:type="pct"/>
                  <w:tcBorders>
                    <w:tl2br w:val="nil"/>
                    <w:tr2bl w:val="nil"/>
                  </w:tcBorders>
                  <w:vAlign w:val="center"/>
                </w:tcPr>
                <w:p w14:paraId="190CB7A0">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519F65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243" w:hRule="atLeast"/>
                <w:jc w:val="center"/>
              </w:trPr>
              <w:tc>
                <w:tcPr>
                  <w:tcW w:w="640" w:type="pct"/>
                  <w:vMerge w:val="continue"/>
                  <w:tcBorders>
                    <w:tl2br w:val="nil"/>
                    <w:tr2bl w:val="nil"/>
                  </w:tcBorders>
                  <w:vAlign w:val="center"/>
                </w:tcPr>
                <w:p w14:paraId="6F96BE96">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95" w:type="pct"/>
                  <w:tcBorders>
                    <w:tl2br w:val="nil"/>
                    <w:tr2bl w:val="nil"/>
                  </w:tcBorders>
                  <w:vAlign w:val="center"/>
                </w:tcPr>
                <w:p w14:paraId="03A45488">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污染物排放管控</w:t>
                  </w:r>
                </w:p>
              </w:tc>
              <w:tc>
                <w:tcPr>
                  <w:tcW w:w="1829" w:type="pct"/>
                  <w:tcBorders>
                    <w:tl2br w:val="nil"/>
                    <w:tr2bl w:val="nil"/>
                  </w:tcBorders>
                  <w:vAlign w:val="center"/>
                </w:tcPr>
                <w:p w14:paraId="19638128">
                  <w:pPr>
                    <w:pStyle w:val="65"/>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 xml:space="preserve">1.执行环境空气质量二级标准。 </w:t>
                  </w:r>
                </w:p>
                <w:p w14:paraId="57F6041C">
                  <w:pPr>
                    <w:pStyle w:val="65"/>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严格实施污染物总量控制和排污许可证制度，严格落实大气主要污染物排放总量控制，实现区域污染物减排目标。加强环境监管工作，严格执行建设项目环境保护“三同时”制度，所有新建项目必须实现污染物达标排放才能允许生产，从源头上控制污染物的排放。</w:t>
                  </w:r>
                </w:p>
                <w:p w14:paraId="2526922A">
                  <w:pPr>
                    <w:pStyle w:val="65"/>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3.协同控制温室气体排放。按照国家统一要求，逐步开展对温室气体排放源的监测和监管。</w:t>
                  </w:r>
                </w:p>
              </w:tc>
              <w:tc>
                <w:tcPr>
                  <w:tcW w:w="1828" w:type="pct"/>
                  <w:tcBorders>
                    <w:tl2br w:val="nil"/>
                    <w:tr2bl w:val="nil"/>
                  </w:tcBorders>
                  <w:vAlign w:val="center"/>
                </w:tcPr>
                <w:p w14:paraId="6555212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1、项目所在地执行《环境空气质量标准》（GB3095-2012）二级标准。</w:t>
                  </w:r>
                </w:p>
                <w:p w14:paraId="33357FA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2、根据环评预测项目主要污染物可达标排放，密闭生产车间和堆场、篷布、降尘已从源头上控制颗粒物产生；建设完成开展验收监测工作达标后方可投入生产。</w:t>
                  </w:r>
                </w:p>
                <w:p w14:paraId="4577A60B">
                  <w:pPr>
                    <w:pStyle w:val="65"/>
                    <w:numPr>
                      <w:ilvl w:val="0"/>
                      <w:numId w:val="0"/>
                    </w:numPr>
                    <w:spacing w:line="320" w:lineRule="exact"/>
                    <w:ind w:left="0" w:lef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3、本项目不涉及温室气体排放。</w:t>
                  </w:r>
                </w:p>
              </w:tc>
              <w:tc>
                <w:tcPr>
                  <w:tcW w:w="306" w:type="pct"/>
                  <w:tcBorders>
                    <w:tl2br w:val="nil"/>
                    <w:tr2bl w:val="nil"/>
                  </w:tcBorders>
                  <w:vAlign w:val="center"/>
                </w:tcPr>
                <w:p w14:paraId="11DCE42B">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084C03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26" w:hRule="atLeast"/>
                <w:jc w:val="center"/>
              </w:trPr>
              <w:tc>
                <w:tcPr>
                  <w:tcW w:w="640" w:type="pct"/>
                  <w:vMerge w:val="continue"/>
                  <w:tcBorders>
                    <w:tl2br w:val="nil"/>
                    <w:tr2bl w:val="nil"/>
                  </w:tcBorders>
                  <w:vAlign w:val="center"/>
                </w:tcPr>
                <w:p w14:paraId="74404A01">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95" w:type="pct"/>
                  <w:tcBorders>
                    <w:tl2br w:val="nil"/>
                    <w:tr2bl w:val="nil"/>
                  </w:tcBorders>
                  <w:vAlign w:val="center"/>
                </w:tcPr>
                <w:p w14:paraId="6C7D7661">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环境风险防控</w:t>
                  </w:r>
                </w:p>
              </w:tc>
              <w:tc>
                <w:tcPr>
                  <w:tcW w:w="1829" w:type="pct"/>
                  <w:tcBorders>
                    <w:tl2br w:val="nil"/>
                    <w:tr2bl w:val="nil"/>
                  </w:tcBorders>
                  <w:vAlign w:val="center"/>
                </w:tcPr>
                <w:p w14:paraId="2875AEA6">
                  <w:pPr>
                    <w:pStyle w:val="65"/>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合理规划居住区与工业功能区，在居住区和工业区、工业企业之间设置防护绿化隔离带。</w:t>
                  </w:r>
                </w:p>
              </w:tc>
              <w:tc>
                <w:tcPr>
                  <w:tcW w:w="1828" w:type="pct"/>
                  <w:tcBorders>
                    <w:tl2br w:val="nil"/>
                    <w:tr2bl w:val="nil"/>
                  </w:tcBorders>
                  <w:vAlign w:val="center"/>
                </w:tcPr>
                <w:p w14:paraId="3FBC0862">
                  <w:pPr>
                    <w:pStyle w:val="65"/>
                    <w:numPr>
                      <w:ilvl w:val="0"/>
                      <w:numId w:val="0"/>
                    </w:numPr>
                    <w:spacing w:line="320" w:lineRule="exact"/>
                    <w:ind w:left="0" w:lef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项目在北侧荒地和南侧居民区设置了绿化隔离区。</w:t>
                  </w:r>
                </w:p>
              </w:tc>
              <w:tc>
                <w:tcPr>
                  <w:tcW w:w="306" w:type="pct"/>
                  <w:tcBorders>
                    <w:tl2br w:val="nil"/>
                    <w:tr2bl w:val="nil"/>
                  </w:tcBorders>
                  <w:vAlign w:val="center"/>
                </w:tcPr>
                <w:p w14:paraId="1813D921">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0BCABC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49" w:hRule="atLeast"/>
                <w:jc w:val="center"/>
              </w:trPr>
              <w:tc>
                <w:tcPr>
                  <w:tcW w:w="640" w:type="pct"/>
                  <w:vMerge w:val="continue"/>
                  <w:tcBorders>
                    <w:tl2br w:val="nil"/>
                    <w:tr2bl w:val="nil"/>
                  </w:tcBorders>
                  <w:vAlign w:val="center"/>
                </w:tcPr>
                <w:p w14:paraId="1620C890">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95" w:type="pct"/>
                  <w:tcBorders>
                    <w:tl2br w:val="nil"/>
                    <w:tr2bl w:val="nil"/>
                  </w:tcBorders>
                  <w:vAlign w:val="center"/>
                </w:tcPr>
                <w:p w14:paraId="7DF2F5B7">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资源利用效率</w:t>
                  </w:r>
                </w:p>
              </w:tc>
              <w:tc>
                <w:tcPr>
                  <w:tcW w:w="1829" w:type="pct"/>
                  <w:tcBorders>
                    <w:tl2br w:val="nil"/>
                    <w:tr2bl w:val="nil"/>
                  </w:tcBorders>
                  <w:vAlign w:val="center"/>
                </w:tcPr>
                <w:p w14:paraId="5F394AE5">
                  <w:pPr>
                    <w:pStyle w:val="65"/>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大力发展循环经济，推广高效绿色适用技术，降低污染物排放强度。</w:t>
                  </w:r>
                </w:p>
              </w:tc>
              <w:tc>
                <w:tcPr>
                  <w:tcW w:w="1828" w:type="pct"/>
                  <w:tcBorders>
                    <w:tl2br w:val="nil"/>
                    <w:tr2bl w:val="nil"/>
                  </w:tcBorders>
                  <w:vAlign w:val="center"/>
                </w:tcPr>
                <w:p w14:paraId="702F6C4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1、本项目为砼结构构件生产项目，属于石膏、水泥制品及类似制品制造业，项目生产过程中用水量较少，生产废水沉淀后回用，生活污水经防渗收集池收集后定期拉运至和硕污水处理厂处理。</w:t>
                  </w:r>
                </w:p>
                <w:p w14:paraId="3D5E507D">
                  <w:pPr>
                    <w:pStyle w:val="65"/>
                    <w:numPr>
                      <w:ilvl w:val="0"/>
                      <w:numId w:val="0"/>
                    </w:numPr>
                    <w:spacing w:line="320" w:lineRule="exact"/>
                    <w:ind w:left="0" w:lef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2、不涉及燃煤总量控制等重污染能源，生产营运使用电采暖。</w:t>
                  </w:r>
                </w:p>
              </w:tc>
              <w:tc>
                <w:tcPr>
                  <w:tcW w:w="306" w:type="pct"/>
                  <w:tcBorders>
                    <w:tl2br w:val="nil"/>
                    <w:tr2bl w:val="nil"/>
                  </w:tcBorders>
                  <w:vAlign w:val="center"/>
                </w:tcPr>
                <w:p w14:paraId="39BB213F">
                  <w:pPr>
                    <w:pStyle w:val="65"/>
                    <w:numPr>
                      <w:ilvl w:val="0"/>
                      <w:numId w:val="0"/>
                    </w:numPr>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bl>
          <w:p w14:paraId="1E6B2369">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新宋体" w:cs="Times New Roman"/>
                <w:color w:val="000000" w:themeColor="text1"/>
                <w14:textFill>
                  <w14:solidFill>
                    <w14:schemeClr w14:val="tx1"/>
                  </w14:solidFill>
                </w14:textFill>
              </w:rPr>
            </w:pPr>
            <w:r>
              <w:rPr>
                <w:rFonts w:hint="default" w:ascii="Times New Roman" w:hAnsi="Times New Roman" w:eastAsia="新宋体" w:cs="Times New Roman"/>
                <w:color w:val="000000" w:themeColor="text1"/>
                <w:sz w:val="24"/>
                <w14:textFill>
                  <w14:solidFill>
                    <w14:schemeClr w14:val="tx1"/>
                  </w14:solidFill>
                </w14:textFill>
              </w:rPr>
              <w:t>综上所述，</w:t>
            </w:r>
            <w:r>
              <w:rPr>
                <w:rFonts w:hint="default" w:ascii="Times New Roman" w:hAnsi="Times New Roman" w:eastAsia="新宋体" w:cs="Times New Roman"/>
                <w:color w:val="000000" w:themeColor="text1"/>
                <w:sz w:val="24"/>
                <w:lang w:val="en-US" w:eastAsia="zh-CN"/>
                <w14:textFill>
                  <w14:solidFill>
                    <w14:schemeClr w14:val="tx1"/>
                  </w14:solidFill>
                </w14:textFill>
              </w:rPr>
              <w:t>本项目符合《巴音郭楞蒙古自治州生态环境准入清单》（2023年）要求。</w:t>
            </w:r>
          </w:p>
          <w:p w14:paraId="2CA4EBB8">
            <w:pPr>
              <w:pStyle w:val="59"/>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新宋体" w:cs="Times New Roman"/>
                <w:color w:val="000000" w:themeColor="text1"/>
                <w14:textFill>
                  <w14:solidFill>
                    <w14:schemeClr w14:val="tx1"/>
                  </w14:solidFill>
                </w14:textFill>
              </w:rPr>
            </w:pPr>
          </w:p>
        </w:tc>
      </w:tr>
    </w:tbl>
    <w:p w14:paraId="57D1C0ED">
      <w:pPr>
        <w:rPr>
          <w:rFonts w:hint="default" w:ascii="Times New Roman" w:hAnsi="Times New Roman" w:eastAsia="新宋体" w:cs="Times New Roman"/>
          <w:b/>
          <w:bCs/>
          <w:snapToGrid w:val="0"/>
          <w:color w:val="000000" w:themeColor="text1"/>
          <w:sz w:val="24"/>
          <w:szCs w:val="20"/>
          <w14:textFill>
            <w14:solidFill>
              <w14:schemeClr w14:val="tx1"/>
            </w14:solidFill>
          </w14:textFill>
        </w:rPr>
      </w:pPr>
      <w:r>
        <w:rPr>
          <w:rFonts w:hint="default" w:ascii="Times New Roman" w:hAnsi="Times New Roman" w:eastAsia="新宋体" w:cs="Times New Roman"/>
          <w:b/>
          <w:bCs/>
          <w:snapToGrid w:val="0"/>
          <w:color w:val="000000" w:themeColor="text1"/>
          <w:sz w:val="24"/>
          <w:szCs w:val="20"/>
          <w14:textFill>
            <w14:solidFill>
              <w14:schemeClr w14:val="tx1"/>
            </w14:solidFill>
          </w14:textFill>
        </w:rPr>
        <w:br w:type="page"/>
      </w:r>
    </w:p>
    <w:p w14:paraId="7F85B4C4">
      <w:pPr>
        <w:pStyle w:val="24"/>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jc w:val="center"/>
        <w:textAlignment w:val="auto"/>
        <w:outlineLvl w:val="0"/>
        <w:rPr>
          <w:rFonts w:hint="default" w:ascii="Times New Roman" w:hAnsi="Times New Roman" w:eastAsia="新宋体" w:cs="Times New Roman"/>
          <w:b w:val="0"/>
          <w:bCs w:val="0"/>
          <w:snapToGrid w:val="0"/>
          <w:color w:val="000000"/>
          <w:sz w:val="30"/>
          <w:szCs w:val="30"/>
        </w:rPr>
      </w:pPr>
      <w:r>
        <w:rPr>
          <w:rFonts w:hint="default" w:ascii="Times New Roman" w:hAnsi="Times New Roman" w:eastAsia="新宋体" w:cs="Times New Roman"/>
          <w:b w:val="0"/>
          <w:bCs w:val="0"/>
          <w:snapToGrid w:val="0"/>
          <w:color w:val="000000"/>
          <w:sz w:val="30"/>
          <w:szCs w:val="30"/>
        </w:rPr>
        <w:t>二、建设项目工程分析</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5"/>
        <w:gridCol w:w="7667"/>
      </w:tblGrid>
      <w:tr w14:paraId="6D6F7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Align w:val="center"/>
          </w:tcPr>
          <w:p w14:paraId="5A759ED1">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ind w:firstLine="0" w:firstLineChars="0"/>
              <w:jc w:val="center"/>
              <w:textAlignment w:val="auto"/>
              <w:rPr>
                <w:rFonts w:hint="default" w:ascii="Times New Roman" w:hAnsi="Times New Roman" w:eastAsia="新宋体" w:cs="Times New Roman"/>
                <w:color w:val="000000"/>
                <w:sz w:val="24"/>
                <w:szCs w:val="24"/>
                <w:lang w:val="en-US" w:eastAsia="zh-CN"/>
              </w:rPr>
            </w:pPr>
            <w:r>
              <w:rPr>
                <w:rFonts w:hint="default" w:ascii="Times New Roman" w:hAnsi="Times New Roman" w:eastAsia="新宋体" w:cs="Times New Roman"/>
                <w:color w:val="000000"/>
                <w:sz w:val="24"/>
                <w:szCs w:val="24"/>
                <w:lang w:val="en-US" w:eastAsia="zh-CN"/>
              </w:rPr>
              <w:t>建设内容</w:t>
            </w:r>
          </w:p>
          <w:p w14:paraId="241F2B7D">
            <w:pPr>
              <w:pStyle w:val="24"/>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jc w:val="center"/>
              <w:textAlignment w:val="auto"/>
              <w:outlineLvl w:val="0"/>
              <w:rPr>
                <w:rFonts w:hint="default" w:ascii="Times New Roman" w:hAnsi="Times New Roman" w:eastAsia="新宋体" w:cs="Times New Roman"/>
                <w:b w:val="0"/>
                <w:bCs w:val="0"/>
                <w:snapToGrid w:val="0"/>
                <w:color w:val="000000"/>
                <w:sz w:val="24"/>
                <w:szCs w:val="24"/>
                <w:vertAlign w:val="baseline"/>
              </w:rPr>
            </w:pPr>
          </w:p>
        </w:tc>
        <w:tc>
          <w:tcPr>
            <w:tcW w:w="7613" w:type="dxa"/>
          </w:tcPr>
          <w:p w14:paraId="7E914709">
            <w:pPr>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jc w:val="both"/>
              <w:textAlignment w:val="auto"/>
              <w:rPr>
                <w:rFonts w:hint="default" w:ascii="Times New Roman" w:hAnsi="Times New Roman" w:eastAsia="新宋体" w:cs="Times New Roman"/>
                <w:color w:val="000000" w:themeColor="text1"/>
                <w:lang w:val="en-US" w:eastAsia="zh-CN"/>
                <w14:textFill>
                  <w14:solidFill>
                    <w14:schemeClr w14:val="tx1"/>
                  </w14:solidFill>
                </w14:textFill>
              </w:rPr>
            </w:pPr>
            <w:r>
              <w:rPr>
                <w:rFonts w:hint="default" w:ascii="Times New Roman" w:hAnsi="Times New Roman" w:eastAsia="新宋体" w:cs="Times New Roman"/>
                <w:color w:val="000000" w:themeColor="text1"/>
                <w:lang w:eastAsia="zh-CN"/>
                <w14:textFill>
                  <w14:solidFill>
                    <w14:schemeClr w14:val="tx1"/>
                  </w14:solidFill>
                </w14:textFill>
              </w:rPr>
              <w:t>和硕县建司预制厂</w:t>
            </w:r>
            <w:r>
              <w:rPr>
                <w:rFonts w:hint="default" w:ascii="Times New Roman" w:hAnsi="Times New Roman" w:eastAsia="新宋体" w:cs="Times New Roman"/>
                <w:color w:val="000000" w:themeColor="text1"/>
                <w:lang w:val="en-US" w:eastAsia="zh-CN"/>
                <w14:textFill>
                  <w14:solidFill>
                    <w14:schemeClr w14:val="tx1"/>
                  </w14:solidFill>
                </w14:textFill>
              </w:rPr>
              <w:t>成立于2004年7月，位于新疆维吾尔自治区巴音郭楞蒙古自治州和硕县水磨街，经营范围：砼结构构件制造、自产自销。</w:t>
            </w:r>
          </w:p>
          <w:p w14:paraId="1F52B7D0">
            <w:pPr>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jc w:val="both"/>
              <w:textAlignment w:val="auto"/>
              <w:rPr>
                <w:rFonts w:hint="default" w:ascii="Times New Roman" w:hAnsi="Times New Roman" w:eastAsia="新宋体" w:cs="Times New Roman"/>
                <w:color w:val="000000" w:themeColor="text1"/>
                <w:lang w:val="en-US" w:eastAsia="zh-CN"/>
                <w14:textFill>
                  <w14:solidFill>
                    <w14:schemeClr w14:val="tx1"/>
                  </w14:solidFill>
                </w14:textFill>
              </w:rPr>
            </w:pPr>
            <w:r>
              <w:rPr>
                <w:rFonts w:hint="default" w:ascii="Times New Roman" w:hAnsi="Times New Roman" w:eastAsia="新宋体" w:cs="Times New Roman"/>
                <w:color w:val="000000" w:themeColor="text1"/>
                <w:lang w:val="en-US" w:eastAsia="zh-CN"/>
                <w14:textFill>
                  <w14:solidFill>
                    <w14:schemeClr w14:val="tx1"/>
                  </w14:solidFill>
                </w14:textFill>
              </w:rPr>
              <w:t>根据和硕县</w:t>
            </w:r>
            <w:r>
              <w:rPr>
                <w:rFonts w:hint="eastAsia" w:eastAsia="新宋体" w:cs="Times New Roman"/>
                <w:color w:val="000000" w:themeColor="text1"/>
                <w:lang w:val="en-US" w:eastAsia="zh-CN"/>
                <w14:textFill>
                  <w14:solidFill>
                    <w14:schemeClr w14:val="tx1"/>
                  </w14:solidFill>
                </w14:textFill>
              </w:rPr>
              <w:t>水泥预制构件</w:t>
            </w:r>
            <w:r>
              <w:rPr>
                <w:rFonts w:hint="default" w:ascii="Times New Roman" w:hAnsi="Times New Roman" w:eastAsia="新宋体" w:cs="Times New Roman"/>
                <w:color w:val="000000" w:themeColor="text1"/>
                <w:lang w:val="en-US" w:eastAsia="zh-CN"/>
                <w14:textFill>
                  <w14:solidFill>
                    <w14:schemeClr w14:val="tx1"/>
                  </w14:solidFill>
                </w14:textFill>
              </w:rPr>
              <w:t>市场形势及企业发展需要，</w:t>
            </w:r>
            <w:r>
              <w:rPr>
                <w:rFonts w:hint="default" w:ascii="Times New Roman" w:hAnsi="Times New Roman" w:eastAsia="新宋体" w:cs="Times New Roman"/>
                <w:color w:val="000000" w:themeColor="text1"/>
                <w:lang w:eastAsia="zh-CN"/>
                <w14:textFill>
                  <w14:solidFill>
                    <w14:schemeClr w14:val="tx1"/>
                  </w14:solidFill>
                </w14:textFill>
              </w:rPr>
              <w:t>和硕县建司预制厂</w:t>
            </w:r>
            <w:r>
              <w:rPr>
                <w:rFonts w:hint="default" w:ascii="Times New Roman" w:hAnsi="Times New Roman" w:eastAsia="新宋体" w:cs="Times New Roman"/>
                <w:color w:val="000000" w:themeColor="text1"/>
                <w:lang w:val="en-US" w:eastAsia="zh-CN"/>
                <w14:textFill>
                  <w14:solidFill>
                    <w14:schemeClr w14:val="tx1"/>
                  </w14:solidFill>
                </w14:textFill>
              </w:rPr>
              <w:t>建设1条生产线</w:t>
            </w:r>
            <w:r>
              <w:rPr>
                <w:rFonts w:hint="eastAsia" w:ascii="Times New Roman" w:hAnsi="Times New Roman" w:eastAsia="新宋体" w:cs="Times New Roman"/>
                <w:color w:val="000000" w:themeColor="text1"/>
                <w:lang w:val="en-US" w:eastAsia="zh-CN"/>
                <w14:textFill>
                  <w14:solidFill>
                    <w14:schemeClr w14:val="tx1"/>
                  </w14:solidFill>
                </w14:textFill>
              </w:rPr>
              <w:t>生产</w:t>
            </w:r>
            <w:r>
              <w:rPr>
                <w:rFonts w:hint="default" w:ascii="Times New Roman" w:hAnsi="Times New Roman" w:eastAsia="新宋体" w:cs="Times New Roman"/>
                <w:color w:val="000000" w:themeColor="text1"/>
                <w:lang w:val="en-US" w:eastAsia="zh-CN"/>
                <w14:textFill>
                  <w14:solidFill>
                    <w14:schemeClr w14:val="tx1"/>
                  </w14:solidFill>
                </w14:textFill>
              </w:rPr>
              <w:t>路沿石年产2万块、彩砖年产2万块、水泥柱1千块、空心板70块</w:t>
            </w:r>
            <w:r>
              <w:rPr>
                <w:rFonts w:hint="default" w:ascii="Times New Roman" w:hAnsi="Times New Roman" w:eastAsia="新宋体" w:cs="Times New Roman"/>
                <w:color w:val="000000" w:themeColor="text1"/>
                <w:lang w:val="en-US"/>
                <w14:textFill>
                  <w14:solidFill>
                    <w14:schemeClr w14:val="tx1"/>
                  </w14:solidFill>
                </w14:textFill>
              </w:rPr>
              <w:t>。</w:t>
            </w:r>
            <w:r>
              <w:rPr>
                <w:rFonts w:hint="default" w:ascii="Times New Roman" w:hAnsi="Times New Roman" w:eastAsia="新宋体" w:cs="Times New Roman"/>
                <w:color w:val="000000" w:themeColor="text1"/>
                <w:lang w:val="en-US" w:eastAsia="zh-CN"/>
                <w14:textFill>
                  <w14:solidFill>
                    <w14:schemeClr w14:val="tx1"/>
                  </w14:solidFill>
                </w14:textFill>
              </w:rPr>
              <w:t>本项目于2010年开始</w:t>
            </w:r>
            <w:r>
              <w:rPr>
                <w:rFonts w:hint="eastAsia" w:eastAsia="新宋体" w:cs="Times New Roman"/>
                <w:color w:val="000000" w:themeColor="text1"/>
                <w:lang w:val="en-US" w:eastAsia="zh-CN"/>
                <w14:textFill>
                  <w14:solidFill>
                    <w14:schemeClr w14:val="tx1"/>
                  </w14:solidFill>
                </w14:textFill>
              </w:rPr>
              <w:t>生产运营</w:t>
            </w:r>
            <w:r>
              <w:rPr>
                <w:rFonts w:hint="default" w:ascii="Times New Roman" w:hAnsi="Times New Roman" w:eastAsia="新宋体" w:cs="Times New Roman"/>
                <w:color w:val="000000" w:themeColor="text1"/>
                <w:lang w:val="en-US" w:eastAsia="zh-CN"/>
                <w14:textFill>
                  <w14:solidFill>
                    <w14:schemeClr w14:val="tx1"/>
                  </w14:solidFill>
                </w14:textFill>
              </w:rPr>
              <w:t>，存在“未批先建”行为，</w:t>
            </w:r>
            <w:r>
              <w:rPr>
                <w:rFonts w:hint="eastAsia" w:eastAsia="新宋体" w:cs="Times New Roman"/>
                <w:color w:val="000000" w:themeColor="text1"/>
                <w:lang w:val="en-US" w:eastAsia="zh-CN"/>
                <w14:textFill>
                  <w14:solidFill>
                    <w14:schemeClr w14:val="tx1"/>
                  </w14:solidFill>
                </w14:textFill>
              </w:rPr>
              <w:t>依据环政法函〔2018〕31号文件中关于“未批先建”违法行为第二十九条的规定：违法行为在二年内未被发现的不再给予行政处罚</w:t>
            </w:r>
            <w:r>
              <w:rPr>
                <w:rFonts w:hint="default" w:ascii="Times New Roman" w:hAnsi="Times New Roman" w:eastAsia="新宋体" w:cs="Times New Roman"/>
                <w:color w:val="000000" w:themeColor="text1"/>
                <w:lang w:val="en-US" w:eastAsia="zh-CN"/>
                <w14:textFill>
                  <w14:solidFill>
                    <w14:schemeClr w14:val="tx1"/>
                  </w14:solidFill>
                </w14:textFill>
              </w:rPr>
              <w:t>，</w:t>
            </w:r>
            <w:r>
              <w:rPr>
                <w:rFonts w:hint="eastAsia" w:eastAsia="新宋体" w:cs="Times New Roman"/>
                <w:color w:val="000000" w:themeColor="text1"/>
                <w:lang w:val="en-US" w:eastAsia="zh-CN"/>
                <w14:textFill>
                  <w14:solidFill>
                    <w14:schemeClr w14:val="tx1"/>
                  </w14:solidFill>
                </w14:textFill>
              </w:rPr>
              <w:t>建设单位应加强环境管理，禁止再出现类似违法行为，</w:t>
            </w:r>
            <w:r>
              <w:rPr>
                <w:rFonts w:hint="default" w:ascii="Times New Roman" w:hAnsi="Times New Roman" w:eastAsia="新宋体" w:cs="Times New Roman"/>
                <w:color w:val="000000" w:themeColor="text1"/>
                <w:lang w:val="en-US" w:eastAsia="zh-CN"/>
                <w14:textFill>
                  <w14:solidFill>
                    <w14:schemeClr w14:val="tx1"/>
                  </w14:solidFill>
                </w14:textFill>
              </w:rPr>
              <w:t>现已停工并补办环评手续。</w:t>
            </w:r>
          </w:p>
          <w:p w14:paraId="6D7A24E5">
            <w:pPr>
              <w:keepNext w:val="0"/>
              <w:keepLines w:val="0"/>
              <w:pageBreakBefore w:val="0"/>
              <w:widowControl/>
              <w:numPr>
                <w:ilvl w:val="3"/>
                <w:numId w:val="0"/>
              </w:numPr>
              <w:kinsoku/>
              <w:wordWrap/>
              <w:overflowPunct/>
              <w:topLinePunct w:val="0"/>
              <w:bidi w:val="0"/>
              <w:ind w:leftChars="200"/>
              <w:rPr>
                <w:rFonts w:hint="default" w:ascii="Times New Roman" w:hAnsi="Times New Roman" w:eastAsia="新宋体" w:cs="Times New Roman"/>
                <w:b/>
                <w:bCs/>
                <w:color w:val="000000" w:themeColor="text1"/>
                <w:lang w:val="en-US" w:eastAsia="zh-CN"/>
                <w14:textFill>
                  <w14:solidFill>
                    <w14:schemeClr w14:val="tx1"/>
                  </w14:solidFill>
                </w14:textFill>
              </w:rPr>
            </w:pPr>
            <w:r>
              <w:rPr>
                <w:rFonts w:hint="default" w:ascii="Times New Roman" w:hAnsi="Times New Roman" w:eastAsia="新宋体" w:cs="Times New Roman"/>
                <w:b/>
                <w:bCs/>
                <w:color w:val="000000" w:themeColor="text1"/>
                <w:lang w:val="en-US" w:eastAsia="zh-CN"/>
                <w14:textFill>
                  <w14:solidFill>
                    <w14:schemeClr w14:val="tx1"/>
                  </w14:solidFill>
                </w14:textFill>
              </w:rPr>
              <w:t>1、建设内容及规模</w:t>
            </w:r>
          </w:p>
          <w:p w14:paraId="66CA3F0C">
            <w:pPr>
              <w:keepNext w:val="0"/>
              <w:keepLines w:val="0"/>
              <w:pageBreakBefore w:val="0"/>
              <w:widowControl/>
              <w:kinsoku/>
              <w:wordWrap/>
              <w:overflowPunct/>
              <w:topLinePunct w:val="0"/>
              <w:bidi w:val="0"/>
              <w:adjustRightInd/>
              <w:snapToGrid/>
              <w:spacing w:line="360" w:lineRule="auto"/>
              <w:ind w:left="0" w:leftChars="0" w:firstLine="480"/>
              <w:jc w:val="both"/>
              <w:textAlignment w:val="auto"/>
              <w:rPr>
                <w:rFonts w:hint="default" w:ascii="Times New Roman" w:hAnsi="Times New Roman" w:eastAsia="新宋体" w:cs="Times New Roman"/>
                <w:color w:val="000000" w:themeColor="text1"/>
                <w14:textFill>
                  <w14:solidFill>
                    <w14:schemeClr w14:val="tx1"/>
                  </w14:solidFill>
                </w14:textFill>
              </w:rPr>
            </w:pPr>
            <w:r>
              <w:rPr>
                <w:rFonts w:hint="default" w:ascii="Times New Roman" w:hAnsi="Times New Roman" w:eastAsia="新宋体" w:cs="Times New Roman"/>
                <w:color w:val="000000" w:themeColor="text1"/>
                <w14:textFill>
                  <w14:solidFill>
                    <w14:schemeClr w14:val="tx1"/>
                  </w14:solidFill>
                </w14:textFill>
              </w:rPr>
              <w:t>（1）地理位置及周边关系</w:t>
            </w:r>
          </w:p>
          <w:p w14:paraId="66358D15">
            <w:pPr>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jc w:val="both"/>
              <w:textAlignment w:val="auto"/>
              <w:rPr>
                <w:rFonts w:hint="default" w:ascii="Times New Roman" w:hAnsi="Times New Roman" w:eastAsia="新宋体" w:cs="Times New Roman"/>
                <w:color w:val="000000" w:themeColor="text1"/>
                <w14:textFill>
                  <w14:solidFill>
                    <w14:schemeClr w14:val="tx1"/>
                  </w14:solidFill>
                </w14:textFill>
              </w:rPr>
            </w:pPr>
            <w:r>
              <w:rPr>
                <w:rFonts w:hint="default" w:ascii="Times New Roman" w:hAnsi="Times New Roman" w:eastAsia="新宋体" w:cs="Times New Roman"/>
                <w:color w:val="000000" w:themeColor="text1"/>
                <w14:textFill>
                  <w14:solidFill>
                    <w14:schemeClr w14:val="tx1"/>
                  </w14:solidFill>
                </w14:textFill>
              </w:rPr>
              <w:t>本项目位于新疆巴州</w:t>
            </w:r>
            <w:r>
              <w:rPr>
                <w:rFonts w:hint="default" w:ascii="Times New Roman" w:hAnsi="Times New Roman" w:eastAsia="新宋体" w:cs="Times New Roman"/>
                <w:color w:val="000000" w:themeColor="text1"/>
                <w:lang w:val="en-US" w:eastAsia="zh-CN"/>
                <w14:textFill>
                  <w14:solidFill>
                    <w14:schemeClr w14:val="tx1"/>
                  </w14:solidFill>
                </w14:textFill>
              </w:rPr>
              <w:t>和硕县水磨街13号</w:t>
            </w:r>
            <w:r>
              <w:rPr>
                <w:rFonts w:hint="default" w:ascii="Times New Roman" w:hAnsi="Times New Roman" w:eastAsia="新宋体" w:cs="Times New Roman"/>
                <w:color w:val="000000" w:themeColor="text1"/>
                <w:lang w:eastAsia="zh-CN"/>
                <w14:textFill>
                  <w14:solidFill>
                    <w14:schemeClr w14:val="tx1"/>
                  </w14:solidFill>
                </w14:textFill>
              </w:rPr>
              <w:t>，</w:t>
            </w:r>
            <w:r>
              <w:rPr>
                <w:rFonts w:hint="default" w:ascii="Times New Roman" w:hAnsi="Times New Roman" w:eastAsia="新宋体" w:cs="Times New Roman"/>
                <w:color w:val="000000" w:themeColor="text1"/>
                <w:lang w:val="zh-CN"/>
                <w14:textFill>
                  <w14:solidFill>
                    <w14:schemeClr w14:val="tx1"/>
                  </w14:solidFill>
                </w14:textFill>
              </w:rPr>
              <w:t>厂区地理位置坐标为：</w:t>
            </w:r>
            <w:r>
              <w:rPr>
                <w:rFonts w:hint="default" w:ascii="Times New Roman" w:hAnsi="Times New Roman" w:eastAsia="新宋体" w:cs="Times New Roman"/>
                <w:color w:val="000000" w:themeColor="text1"/>
                <w:lang w:val="en-US" w:eastAsia="zh-CN"/>
                <w14:textFill>
                  <w14:solidFill>
                    <w14:schemeClr w14:val="tx1"/>
                  </w14:solidFill>
                </w14:textFill>
              </w:rPr>
              <w:t>E86°51′52.151″，N42°17′33.754″</w:t>
            </w:r>
            <w:r>
              <w:rPr>
                <w:rFonts w:hint="default" w:ascii="Times New Roman" w:hAnsi="Times New Roman" w:eastAsia="新宋体" w:cs="Times New Roman"/>
                <w:color w:val="000000" w:themeColor="text1"/>
                <w14:textFill>
                  <w14:solidFill>
                    <w14:schemeClr w14:val="tx1"/>
                  </w14:solidFill>
                </w14:textFill>
              </w:rPr>
              <w:t>。地理</w:t>
            </w:r>
            <w:r>
              <w:rPr>
                <w:rFonts w:hint="default" w:ascii="Times New Roman" w:hAnsi="Times New Roman" w:eastAsia="新宋体" w:cs="Times New Roman"/>
                <w:color w:val="000000" w:themeColor="text1"/>
                <w:lang w:val="zh-CN"/>
                <w14:textFill>
                  <w14:solidFill>
                    <w14:schemeClr w14:val="tx1"/>
                  </w14:solidFill>
                </w14:textFill>
              </w:rPr>
              <w:t>位置见附图</w:t>
            </w:r>
            <w:r>
              <w:rPr>
                <w:rFonts w:hint="default" w:ascii="Times New Roman" w:hAnsi="Times New Roman" w:eastAsia="新宋体" w:cs="Times New Roman"/>
                <w:color w:val="000000" w:themeColor="text1"/>
                <w:lang w:val="en-US"/>
                <w14:textFill>
                  <w14:solidFill>
                    <w14:schemeClr w14:val="tx1"/>
                  </w14:solidFill>
                </w14:textFill>
              </w:rPr>
              <w:t>1</w:t>
            </w:r>
            <w:r>
              <w:rPr>
                <w:rFonts w:hint="default" w:ascii="Times New Roman" w:hAnsi="Times New Roman" w:eastAsia="新宋体" w:cs="Times New Roman"/>
                <w:color w:val="000000" w:themeColor="text1"/>
                <w:lang w:val="zh-CN"/>
                <w14:textFill>
                  <w14:solidFill>
                    <w14:schemeClr w14:val="tx1"/>
                  </w14:solidFill>
                </w14:textFill>
              </w:rPr>
              <w:t>。本项目</w:t>
            </w:r>
            <w:r>
              <w:rPr>
                <w:rFonts w:hint="default" w:ascii="Times New Roman" w:hAnsi="Times New Roman" w:eastAsia="新宋体" w:cs="Times New Roman"/>
                <w:color w:val="000000" w:themeColor="text1"/>
                <w:lang w:val="en-US" w:eastAsia="zh-CN"/>
                <w14:textFill>
                  <w14:solidFill>
                    <w14:schemeClr w14:val="tx1"/>
                  </w14:solidFill>
                </w14:textFill>
              </w:rPr>
              <w:t>厂区北侧</w:t>
            </w:r>
            <w:r>
              <w:rPr>
                <w:rFonts w:hint="eastAsia" w:eastAsia="新宋体" w:cs="Times New Roman"/>
                <w:color w:val="000000" w:themeColor="text1"/>
                <w:lang w:val="en-US" w:eastAsia="zh-CN"/>
                <w14:textFill>
                  <w14:solidFill>
                    <w14:schemeClr w14:val="tx1"/>
                  </w14:solidFill>
                </w14:textFill>
              </w:rPr>
              <w:t>为未利用空地，</w:t>
            </w:r>
            <w:r>
              <w:rPr>
                <w:rFonts w:hint="default" w:ascii="Times New Roman" w:hAnsi="Times New Roman" w:eastAsia="新宋体" w:cs="Times New Roman"/>
                <w:color w:val="000000" w:themeColor="text1"/>
                <w:lang w:val="en-US" w:eastAsia="zh-CN"/>
                <w14:textFill>
                  <w14:solidFill>
                    <w14:schemeClr w14:val="tx1"/>
                  </w14:solidFill>
                </w14:textFill>
              </w:rPr>
              <w:t>西侧</w:t>
            </w:r>
            <w:r>
              <w:rPr>
                <w:rFonts w:hint="eastAsia" w:eastAsia="新宋体" w:cs="Times New Roman"/>
                <w:color w:val="000000" w:themeColor="text1"/>
                <w:lang w:val="en-US" w:eastAsia="zh-CN"/>
                <w14:textFill>
                  <w14:solidFill>
                    <w14:schemeClr w14:val="tx1"/>
                  </w14:solidFill>
                </w14:textFill>
              </w:rPr>
              <w:t>相邻和硕万顺商贸</w:t>
            </w:r>
            <w:r>
              <w:rPr>
                <w:rFonts w:hint="default" w:ascii="Times New Roman" w:hAnsi="Times New Roman" w:eastAsia="新宋体" w:cs="Times New Roman"/>
                <w:color w:val="000000" w:themeColor="text1"/>
                <w:lang w:val="en-US" w:eastAsia="zh-CN"/>
                <w14:textFill>
                  <w14:solidFill>
                    <w14:schemeClr w14:val="tx1"/>
                  </w14:solidFill>
                </w14:textFill>
              </w:rPr>
              <w:t>，东侧</w:t>
            </w:r>
            <w:r>
              <w:rPr>
                <w:rFonts w:hint="eastAsia" w:eastAsia="新宋体" w:cs="Times New Roman"/>
                <w:color w:val="000000" w:themeColor="text1"/>
                <w:lang w:val="en-US" w:eastAsia="zh-CN"/>
                <w14:textFill>
                  <w14:solidFill>
                    <w14:schemeClr w14:val="tx1"/>
                  </w14:solidFill>
                </w14:textFill>
              </w:rPr>
              <w:t>相邻水泥预制件</w:t>
            </w:r>
            <w:r>
              <w:rPr>
                <w:rFonts w:hint="default" w:ascii="Times New Roman" w:hAnsi="Times New Roman" w:eastAsia="新宋体" w:cs="Times New Roman"/>
                <w:color w:val="000000" w:themeColor="text1"/>
                <w:lang w:val="en-US" w:eastAsia="zh-CN"/>
                <w14:textFill>
                  <w14:solidFill>
                    <w14:schemeClr w14:val="tx1"/>
                  </w14:solidFill>
                </w14:textFill>
              </w:rPr>
              <w:t>生产厂家，南侧</w:t>
            </w:r>
            <w:r>
              <w:rPr>
                <w:rFonts w:hint="eastAsia" w:eastAsia="新宋体" w:cs="Times New Roman"/>
                <w:color w:val="000000" w:themeColor="text1"/>
                <w:lang w:val="en-US" w:eastAsia="zh-CN"/>
                <w14:textFill>
                  <w14:solidFill>
                    <w14:schemeClr w14:val="tx1"/>
                  </w14:solidFill>
                </w14:textFill>
              </w:rPr>
              <w:t>相隔临街修车铺75m为水磨街</w:t>
            </w:r>
            <w:r>
              <w:rPr>
                <w:rFonts w:hint="default" w:ascii="Times New Roman" w:hAnsi="Times New Roman" w:eastAsia="新宋体" w:cs="Times New Roman"/>
                <w:color w:val="000000" w:themeColor="text1"/>
                <w:lang w:val="en-US"/>
                <w14:textFill>
                  <w14:solidFill>
                    <w14:schemeClr w14:val="tx1"/>
                  </w14:solidFill>
                </w14:textFill>
              </w:rPr>
              <w:t>（</w:t>
            </w:r>
            <w:r>
              <w:rPr>
                <w:rFonts w:hint="default" w:ascii="Times New Roman" w:hAnsi="Times New Roman" w:eastAsia="新宋体" w:cs="Times New Roman"/>
                <w:color w:val="000000" w:themeColor="text1"/>
                <w14:textFill>
                  <w14:solidFill>
                    <w14:schemeClr w14:val="tx1"/>
                  </w14:solidFill>
                </w14:textFill>
              </w:rPr>
              <w:t>周边关系图见附图</w:t>
            </w:r>
            <w:r>
              <w:rPr>
                <w:rFonts w:hint="default" w:ascii="Times New Roman" w:hAnsi="Times New Roman" w:eastAsia="新宋体" w:cs="Times New Roman"/>
                <w:color w:val="000000" w:themeColor="text1"/>
                <w:lang w:val="en-US" w:eastAsia="zh-CN"/>
                <w14:textFill>
                  <w14:solidFill>
                    <w14:schemeClr w14:val="tx1"/>
                  </w14:solidFill>
                </w14:textFill>
              </w:rPr>
              <w:t>2</w:t>
            </w:r>
            <w:r>
              <w:rPr>
                <w:rFonts w:hint="default" w:ascii="Times New Roman" w:hAnsi="Times New Roman" w:eastAsia="新宋体" w:cs="Times New Roman"/>
                <w:color w:val="000000" w:themeColor="text1"/>
                <w:lang w:val="en-US"/>
                <w14:textFill>
                  <w14:solidFill>
                    <w14:schemeClr w14:val="tx1"/>
                  </w14:solidFill>
                </w14:textFill>
              </w:rPr>
              <w:t>）</w:t>
            </w:r>
            <w:r>
              <w:rPr>
                <w:rFonts w:hint="default" w:ascii="Times New Roman" w:hAnsi="Times New Roman" w:eastAsia="新宋体" w:cs="Times New Roman"/>
                <w:color w:val="000000" w:themeColor="text1"/>
                <w:lang w:val="en-US" w:eastAsia="zh-CN"/>
                <w14:textFill>
                  <w14:solidFill>
                    <w14:schemeClr w14:val="tx1"/>
                  </w14:solidFill>
                </w14:textFill>
              </w:rPr>
              <w:t>。</w:t>
            </w:r>
          </w:p>
          <w:p w14:paraId="1B676E7D">
            <w:pPr>
              <w:keepNext w:val="0"/>
              <w:keepLines w:val="0"/>
              <w:pageBreakBefore w:val="0"/>
              <w:widowControl/>
              <w:kinsoku/>
              <w:wordWrap/>
              <w:overflowPunct/>
              <w:topLinePunct w:val="0"/>
              <w:bidi w:val="0"/>
              <w:adjustRightInd/>
              <w:snapToGrid/>
              <w:spacing w:line="360" w:lineRule="auto"/>
              <w:ind w:left="0" w:leftChars="0" w:firstLine="480" w:firstLineChars="200"/>
              <w:jc w:val="both"/>
              <w:textAlignment w:val="auto"/>
              <w:rPr>
                <w:rFonts w:hint="default" w:ascii="Times New Roman" w:hAnsi="Times New Roman" w:eastAsia="新宋体" w:cs="Times New Roman"/>
                <w:color w:val="000000" w:themeColor="text1"/>
                <w14:textFill>
                  <w14:solidFill>
                    <w14:schemeClr w14:val="tx1"/>
                  </w14:solidFill>
                </w14:textFill>
              </w:rPr>
            </w:pPr>
            <w:r>
              <w:rPr>
                <w:rFonts w:hint="default" w:ascii="Times New Roman" w:hAnsi="Times New Roman" w:eastAsia="新宋体" w:cs="Times New Roman"/>
                <w:color w:val="000000" w:themeColor="text1"/>
                <w14:textFill>
                  <w14:solidFill>
                    <w14:schemeClr w14:val="tx1"/>
                  </w14:solidFill>
                </w14:textFill>
              </w:rPr>
              <w:t>（2）建设规模及内容</w:t>
            </w:r>
          </w:p>
          <w:p w14:paraId="03065865">
            <w:pPr>
              <w:keepNext w:val="0"/>
              <w:keepLines w:val="0"/>
              <w:pageBreakBefore w:val="0"/>
              <w:widowControl/>
              <w:kinsoku/>
              <w:wordWrap/>
              <w:overflowPunct/>
              <w:topLinePunct w:val="0"/>
              <w:bidi w:val="0"/>
              <w:adjustRightInd/>
              <w:snapToGrid/>
              <w:spacing w:line="360" w:lineRule="auto"/>
              <w:ind w:left="0" w:leftChars="0" w:firstLine="480" w:firstLineChars="200"/>
              <w:jc w:val="both"/>
              <w:textAlignment w:val="auto"/>
              <w:rPr>
                <w:rFonts w:hint="default" w:ascii="Times New Roman" w:hAnsi="Times New Roman" w:eastAsia="新宋体" w:cs="Times New Roman"/>
                <w:color w:val="000000" w:themeColor="text1"/>
                <w:lang w:val="en-US"/>
                <w14:textFill>
                  <w14:solidFill>
                    <w14:schemeClr w14:val="tx1"/>
                  </w14:solidFill>
                </w14:textFill>
              </w:rPr>
            </w:pPr>
            <w:r>
              <w:rPr>
                <w:rFonts w:hint="eastAsia" w:eastAsia="新宋体" w:cs="Times New Roman"/>
                <w:color w:val="000000" w:themeColor="text1"/>
                <w:lang w:val="en-US" w:eastAsia="zh-CN"/>
                <w14:textFill>
                  <w14:solidFill>
                    <w14:schemeClr w14:val="tx1"/>
                  </w14:solidFill>
                </w14:textFill>
              </w:rPr>
              <w:t>本项目性质为新建，</w:t>
            </w:r>
            <w:r>
              <w:rPr>
                <w:rFonts w:hint="default" w:ascii="Times New Roman" w:hAnsi="Times New Roman" w:eastAsia="新宋体" w:cs="Times New Roman"/>
                <w:color w:val="000000" w:themeColor="text1"/>
                <w:lang w:val="en-US"/>
                <w14:textFill>
                  <w14:solidFill>
                    <w14:schemeClr w14:val="tx1"/>
                  </w14:solidFill>
                </w14:textFill>
              </w:rPr>
              <w:t>占地面积为</w:t>
            </w:r>
            <w:r>
              <w:rPr>
                <w:rFonts w:hint="default" w:ascii="Times New Roman" w:hAnsi="Times New Roman" w:eastAsia="新宋体" w:cs="Times New Roman"/>
                <w:color w:val="000000" w:themeColor="text1"/>
                <w:lang w:val="en-US" w:eastAsia="zh-CN"/>
                <w14:textFill>
                  <w14:solidFill>
                    <w14:schemeClr w14:val="tx1"/>
                  </w14:solidFill>
                </w14:textFill>
              </w:rPr>
              <w:t>29077.12</w:t>
            </w:r>
            <w:r>
              <w:rPr>
                <w:rFonts w:hint="default" w:ascii="Times New Roman" w:hAnsi="Times New Roman" w:eastAsia="新宋体" w:cs="Times New Roman"/>
                <w:color w:val="000000" w:themeColor="text1"/>
                <w:lang w:val="en-US"/>
                <w14:textFill>
                  <w14:solidFill>
                    <w14:schemeClr w14:val="tx1"/>
                  </w14:solidFill>
                </w14:textFill>
              </w:rPr>
              <w:t>m</w:t>
            </w:r>
            <w:r>
              <w:rPr>
                <w:rFonts w:hint="default" w:ascii="Times New Roman" w:hAnsi="Times New Roman" w:eastAsia="新宋体" w:cs="Times New Roman"/>
                <w:color w:val="000000" w:themeColor="text1"/>
                <w:vertAlign w:val="superscript"/>
                <w:lang w:val="en-US"/>
                <w14:textFill>
                  <w14:solidFill>
                    <w14:schemeClr w14:val="tx1"/>
                  </w14:solidFill>
                </w14:textFill>
              </w:rPr>
              <w:t>2</w:t>
            </w:r>
            <w:r>
              <w:rPr>
                <w:rFonts w:hint="default" w:ascii="Times New Roman" w:hAnsi="Times New Roman" w:eastAsia="新宋体" w:cs="Times New Roman"/>
                <w:color w:val="000000" w:themeColor="text1"/>
                <w:lang w:val="en-US" w:eastAsia="zh-CN"/>
                <w14:textFill>
                  <w14:solidFill>
                    <w14:schemeClr w14:val="tx1"/>
                  </w14:solidFill>
                </w14:textFill>
              </w:rPr>
              <w:t>，</w:t>
            </w:r>
            <w:r>
              <w:rPr>
                <w:rFonts w:hint="default" w:ascii="Times New Roman" w:hAnsi="Times New Roman" w:eastAsia="新宋体" w:cs="Times New Roman"/>
                <w:color w:val="000000" w:themeColor="text1"/>
                <w:lang w:val="en-US"/>
                <w14:textFill>
                  <w14:solidFill>
                    <w14:schemeClr w14:val="tx1"/>
                  </w14:solidFill>
                </w14:textFill>
              </w:rPr>
              <w:t>主要</w:t>
            </w:r>
            <w:r>
              <w:rPr>
                <w:rFonts w:hint="eastAsia" w:eastAsia="新宋体" w:cs="Times New Roman"/>
                <w:color w:val="000000" w:themeColor="text1"/>
                <w:lang w:val="en-US" w:eastAsia="zh-CN"/>
                <w14:textFill>
                  <w14:solidFill>
                    <w14:schemeClr w14:val="tx1"/>
                  </w14:solidFill>
                </w14:textFill>
              </w:rPr>
              <w:t>建设内容包括新建一座</w:t>
            </w:r>
            <w:r>
              <w:rPr>
                <w:rFonts w:hint="default" w:ascii="Times New Roman" w:hAnsi="Times New Roman" w:eastAsia="新宋体" w:cs="Times New Roman"/>
                <w:color w:val="000000" w:themeColor="text1"/>
                <w:lang w:val="en-US" w:eastAsia="zh-CN"/>
                <w14:textFill>
                  <w14:solidFill>
                    <w14:schemeClr w14:val="tx1"/>
                  </w14:solidFill>
                </w14:textFill>
              </w:rPr>
              <w:t>生产车间、</w:t>
            </w:r>
            <w:r>
              <w:rPr>
                <w:rFonts w:hint="eastAsia" w:eastAsia="新宋体" w:cs="Times New Roman"/>
                <w:color w:val="000000" w:themeColor="text1"/>
                <w:lang w:val="en-US" w:eastAsia="zh-CN"/>
                <w14:textFill>
                  <w14:solidFill>
                    <w14:schemeClr w14:val="tx1"/>
                  </w14:solidFill>
                </w14:textFill>
              </w:rPr>
              <w:t>一座</w:t>
            </w:r>
            <w:r>
              <w:rPr>
                <w:rFonts w:hint="default" w:ascii="Times New Roman" w:hAnsi="Times New Roman" w:eastAsia="新宋体" w:cs="Times New Roman"/>
                <w:color w:val="000000" w:themeColor="text1"/>
                <w:lang w:val="en-US" w:eastAsia="zh-CN"/>
                <w14:textFill>
                  <w14:solidFill>
                    <w14:schemeClr w14:val="tx1"/>
                  </w14:solidFill>
                </w14:textFill>
              </w:rPr>
              <w:t>原料</w:t>
            </w:r>
            <w:r>
              <w:rPr>
                <w:rFonts w:hint="eastAsia" w:eastAsia="新宋体" w:cs="Times New Roman"/>
                <w:color w:val="000000" w:themeColor="text1"/>
                <w:lang w:val="en-US" w:eastAsia="zh-CN"/>
                <w14:textFill>
                  <w14:solidFill>
                    <w14:schemeClr w14:val="tx1"/>
                  </w14:solidFill>
                </w14:textFill>
              </w:rPr>
              <w:t>库房、一座危废暂存间，均为全密闭结构附属沉淀池一般硬化等。</w:t>
            </w:r>
            <w:r>
              <w:rPr>
                <w:rFonts w:hint="default" w:ascii="Times New Roman" w:hAnsi="Times New Roman" w:eastAsia="新宋体" w:cs="Times New Roman"/>
                <w:color w:val="000000" w:themeColor="text1"/>
                <w:lang w:val="en-US" w:eastAsia="zh-CN"/>
                <w14:textFill>
                  <w14:solidFill>
                    <w14:schemeClr w14:val="tx1"/>
                  </w14:solidFill>
                </w14:textFill>
              </w:rPr>
              <w:t>本项目</w:t>
            </w:r>
            <w:r>
              <w:rPr>
                <w:rFonts w:hint="default" w:ascii="Times New Roman" w:hAnsi="Times New Roman" w:eastAsia="新宋体" w:cs="Times New Roman"/>
                <w:color w:val="000000" w:themeColor="text1"/>
                <w:lang w:val="en-US"/>
                <w14:textFill>
                  <w14:solidFill>
                    <w14:schemeClr w14:val="tx1"/>
                  </w14:solidFill>
                </w14:textFill>
              </w:rPr>
              <w:t>建成后年</w:t>
            </w:r>
            <w:r>
              <w:rPr>
                <w:rFonts w:hint="default" w:ascii="Times New Roman" w:hAnsi="Times New Roman" w:eastAsia="新宋体" w:cs="Times New Roman"/>
                <w:color w:val="000000" w:themeColor="text1"/>
                <w:lang w:val="en-US" w:eastAsia="zh-CN"/>
                <w14:textFill>
                  <w14:solidFill>
                    <w14:schemeClr w14:val="tx1"/>
                  </w14:solidFill>
                </w14:textFill>
              </w:rPr>
              <w:t>生产路沿石年产2万块、彩砖年产2万块、水泥柱1千块、空心板70块</w:t>
            </w:r>
            <w:r>
              <w:rPr>
                <w:rFonts w:hint="default" w:ascii="Times New Roman" w:hAnsi="Times New Roman" w:eastAsia="新宋体" w:cs="Times New Roman"/>
                <w:color w:val="000000" w:themeColor="text1"/>
                <w:lang w:val="en-US"/>
                <w14:textFill>
                  <w14:solidFill>
                    <w14:schemeClr w14:val="tx1"/>
                  </w14:solidFill>
                </w14:textFill>
              </w:rPr>
              <w:t>。</w:t>
            </w:r>
          </w:p>
          <w:p w14:paraId="7F6AACEC">
            <w:pPr>
              <w:keepNext w:val="0"/>
              <w:keepLines w:val="0"/>
              <w:pageBreakBefore w:val="0"/>
              <w:widowControl/>
              <w:kinsoku/>
              <w:wordWrap/>
              <w:overflowPunct/>
              <w:topLinePunct w:val="0"/>
              <w:bidi w:val="0"/>
              <w:adjustRightInd/>
              <w:snapToGrid/>
              <w:spacing w:line="360" w:lineRule="auto"/>
              <w:ind w:left="0" w:leftChars="0" w:firstLine="480" w:firstLineChars="200"/>
              <w:jc w:val="both"/>
              <w:textAlignment w:val="auto"/>
              <w:rPr>
                <w:rFonts w:hint="default" w:ascii="Times New Roman" w:hAnsi="Times New Roman" w:eastAsia="新宋体" w:cs="Times New Roman"/>
                <w:color w:val="000000" w:themeColor="text1"/>
                <w14:textFill>
                  <w14:solidFill>
                    <w14:schemeClr w14:val="tx1"/>
                  </w14:solidFill>
                </w14:textFill>
              </w:rPr>
            </w:pPr>
            <w:r>
              <w:rPr>
                <w:rFonts w:hint="default" w:ascii="Times New Roman" w:hAnsi="Times New Roman" w:eastAsia="新宋体" w:cs="Times New Roman"/>
                <w:color w:val="000000" w:themeColor="text1"/>
                <w:lang w:val="en-US"/>
                <w14:textFill>
                  <w14:solidFill>
                    <w14:schemeClr w14:val="tx1"/>
                  </w14:solidFill>
                </w14:textFill>
              </w:rPr>
              <w:t>建设后</w:t>
            </w:r>
            <w:r>
              <w:rPr>
                <w:rFonts w:hint="default" w:ascii="Times New Roman" w:hAnsi="Times New Roman" w:eastAsia="新宋体" w:cs="Times New Roman"/>
                <w:color w:val="000000" w:themeColor="text1"/>
                <w14:textFill>
                  <w14:solidFill>
                    <w14:schemeClr w14:val="tx1"/>
                  </w14:solidFill>
                </w14:textFill>
              </w:rPr>
              <w:t>项目组成一览表见下表</w:t>
            </w:r>
            <w:r>
              <w:rPr>
                <w:rFonts w:hint="default" w:ascii="Times New Roman" w:hAnsi="Times New Roman" w:eastAsia="新宋体" w:cs="Times New Roman"/>
                <w:color w:val="000000" w:themeColor="text1"/>
                <w:lang w:val="en-US" w:eastAsia="zh-CN"/>
                <w14:textFill>
                  <w14:solidFill>
                    <w14:schemeClr w14:val="tx1"/>
                  </w14:solidFill>
                </w14:textFill>
              </w:rPr>
              <w:t>2-1</w:t>
            </w:r>
            <w:r>
              <w:rPr>
                <w:rFonts w:hint="default" w:ascii="Times New Roman" w:hAnsi="Times New Roman" w:eastAsia="新宋体" w:cs="Times New Roman"/>
                <w:color w:val="000000" w:themeColor="text1"/>
                <w14:textFill>
                  <w14:solidFill>
                    <w14:schemeClr w14:val="tx1"/>
                  </w14:solidFill>
                </w14:textFill>
              </w:rPr>
              <w:t>。</w:t>
            </w:r>
          </w:p>
          <w:p w14:paraId="1124C585">
            <w:pPr>
              <w:pStyle w:val="2"/>
              <w:keepNext w:val="0"/>
              <w:keepLines w:val="0"/>
              <w:pageBreakBefore w:val="0"/>
              <w:widowControl/>
              <w:kinsoku/>
              <w:wordWrap/>
              <w:overflowPunct/>
              <w:topLinePunct w:val="0"/>
              <w:autoSpaceDE w:val="0"/>
              <w:autoSpaceDN w:val="0"/>
              <w:bidi w:val="0"/>
              <w:adjustRightInd/>
              <w:snapToGrid/>
              <w:spacing w:after="0" w:line="240" w:lineRule="auto"/>
              <w:ind w:left="0" w:leftChars="0"/>
              <w:jc w:val="center"/>
              <w:textAlignment w:val="auto"/>
              <w:rPr>
                <w:rFonts w:hint="default" w:ascii="Times New Roman" w:hAnsi="Times New Roman" w:eastAsia="新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b/>
                <w:bCs/>
                <w:color w:val="000000" w:themeColor="text1"/>
                <w:sz w:val="21"/>
                <w:szCs w:val="21"/>
                <w:lang w:val="en-US" w:eastAsia="zh-CN"/>
                <w14:textFill>
                  <w14:solidFill>
                    <w14:schemeClr w14:val="tx1"/>
                  </w14:solidFill>
                </w14:textFill>
              </w:rPr>
              <w:t>表2-1</w:t>
            </w:r>
            <w:r>
              <w:rPr>
                <w:rFonts w:hint="default" w:ascii="Times New Roman" w:hAnsi="Times New Roman" w:eastAsia="新宋体" w:cs="Times New Roman"/>
                <w:b/>
                <w:bCs/>
                <w:color w:val="000000" w:themeColor="text1"/>
                <w:sz w:val="21"/>
                <w:szCs w:val="21"/>
                <w14:textFill>
                  <w14:solidFill>
                    <w14:schemeClr w14:val="tx1"/>
                  </w14:solidFill>
                </w14:textFill>
              </w:rPr>
              <w:t>建设内容一览表</w:t>
            </w:r>
          </w:p>
          <w:tbl>
            <w:tblPr>
              <w:tblStyle w:val="28"/>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4"/>
              <w:gridCol w:w="1237"/>
              <w:gridCol w:w="1633"/>
              <w:gridCol w:w="2865"/>
              <w:gridCol w:w="1262"/>
            </w:tblGrid>
            <w:tr w14:paraId="26569E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98" w:type="pct"/>
                  <w:tcBorders>
                    <w:tl2br w:val="nil"/>
                    <w:tr2bl w:val="nil"/>
                  </w:tcBorders>
                  <w:noWrap w:val="0"/>
                  <w:vAlign w:val="center"/>
                </w:tcPr>
                <w:p w14:paraId="6B47036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14:textFill>
                        <w14:solidFill>
                          <w14:schemeClr w14:val="tx1"/>
                        </w14:solidFill>
                      </w14:textFill>
                    </w:rPr>
                  </w:pPr>
                  <w:r>
                    <w:rPr>
                      <w:rFonts w:hint="default" w:ascii="Times New Roman" w:hAnsi="Times New Roman" w:eastAsia="新宋体" w:cs="Times New Roman"/>
                      <w:color w:val="000000" w:themeColor="text1"/>
                      <w:sz w:val="21"/>
                      <w:szCs w:val="21"/>
                      <w:lang w:val="en-US"/>
                      <w14:textFill>
                        <w14:solidFill>
                          <w14:schemeClr w14:val="tx1"/>
                        </w14:solidFill>
                      </w14:textFill>
                    </w:rPr>
                    <w:t>项目</w:t>
                  </w:r>
                </w:p>
              </w:tc>
              <w:tc>
                <w:tcPr>
                  <w:tcW w:w="831" w:type="pct"/>
                  <w:tcBorders>
                    <w:tl2br w:val="nil"/>
                    <w:tr2bl w:val="nil"/>
                  </w:tcBorders>
                  <w:noWrap w:val="0"/>
                  <w:vAlign w:val="center"/>
                </w:tcPr>
                <w:p w14:paraId="5BB56CD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14:textFill>
                        <w14:solidFill>
                          <w14:schemeClr w14:val="tx1"/>
                        </w14:solidFill>
                      </w14:textFill>
                    </w:rPr>
                  </w:pPr>
                  <w:r>
                    <w:rPr>
                      <w:rFonts w:hint="default" w:ascii="Times New Roman" w:hAnsi="Times New Roman" w:eastAsia="新宋体" w:cs="Times New Roman"/>
                      <w:color w:val="000000" w:themeColor="text1"/>
                      <w:sz w:val="21"/>
                      <w:szCs w:val="21"/>
                      <w:lang w:val="en-US"/>
                      <w14:textFill>
                        <w14:solidFill>
                          <w14:schemeClr w14:val="tx1"/>
                        </w14:solidFill>
                      </w14:textFill>
                    </w:rPr>
                    <w:t>建设内容</w:t>
                  </w:r>
                </w:p>
              </w:tc>
              <w:tc>
                <w:tcPr>
                  <w:tcW w:w="3022" w:type="pct"/>
                  <w:gridSpan w:val="2"/>
                  <w:tcBorders>
                    <w:tl2br w:val="nil"/>
                    <w:tr2bl w:val="nil"/>
                  </w:tcBorders>
                  <w:noWrap w:val="0"/>
                  <w:vAlign w:val="center"/>
                </w:tcPr>
                <w:p w14:paraId="40DC3AE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14:textFill>
                        <w14:solidFill>
                          <w14:schemeClr w14:val="tx1"/>
                        </w14:solidFill>
                      </w14:textFill>
                    </w:rPr>
                  </w:pPr>
                  <w:r>
                    <w:rPr>
                      <w:rFonts w:hint="default" w:ascii="Times New Roman" w:hAnsi="Times New Roman" w:eastAsia="新宋体" w:cs="Times New Roman"/>
                      <w:color w:val="000000" w:themeColor="text1"/>
                      <w:sz w:val="21"/>
                      <w:szCs w:val="21"/>
                      <w:lang w:val="en-US"/>
                      <w14:textFill>
                        <w14:solidFill>
                          <w14:schemeClr w14:val="tx1"/>
                        </w14:solidFill>
                      </w14:textFill>
                    </w:rPr>
                    <w:t>指标</w:t>
                  </w:r>
                </w:p>
              </w:tc>
              <w:tc>
                <w:tcPr>
                  <w:tcW w:w="848" w:type="pct"/>
                  <w:tcBorders>
                    <w:tl2br w:val="nil"/>
                    <w:tr2bl w:val="nil"/>
                  </w:tcBorders>
                  <w:noWrap w:val="0"/>
                  <w:vAlign w:val="center"/>
                </w:tcPr>
                <w:p w14:paraId="1E935D8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14:textFill>
                        <w14:solidFill>
                          <w14:schemeClr w14:val="tx1"/>
                        </w14:solidFill>
                      </w14:textFill>
                    </w:rPr>
                  </w:pPr>
                  <w:r>
                    <w:rPr>
                      <w:rFonts w:hint="default" w:ascii="Times New Roman" w:hAnsi="Times New Roman" w:eastAsia="新宋体" w:cs="Times New Roman"/>
                      <w:color w:val="000000" w:themeColor="text1"/>
                      <w:sz w:val="21"/>
                      <w:szCs w:val="21"/>
                      <w:lang w:val="en-US"/>
                      <w14:textFill>
                        <w14:solidFill>
                          <w14:schemeClr w14:val="tx1"/>
                        </w14:solidFill>
                      </w14:textFill>
                    </w:rPr>
                    <w:t>备注</w:t>
                  </w:r>
                </w:p>
              </w:tc>
            </w:tr>
            <w:tr w14:paraId="39E0B2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98" w:type="pct"/>
                  <w:tcBorders>
                    <w:tl2br w:val="nil"/>
                    <w:tr2bl w:val="nil"/>
                  </w:tcBorders>
                  <w:noWrap w:val="0"/>
                  <w:vAlign w:val="center"/>
                </w:tcPr>
                <w:p w14:paraId="1DF2CEE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14:textFill>
                        <w14:solidFill>
                          <w14:schemeClr w14:val="tx1"/>
                        </w14:solidFill>
                      </w14:textFill>
                    </w:rPr>
                  </w:pPr>
                  <w:r>
                    <w:rPr>
                      <w:rFonts w:hint="default" w:ascii="Times New Roman" w:hAnsi="Times New Roman" w:eastAsia="新宋体" w:cs="Times New Roman"/>
                      <w:color w:val="000000" w:themeColor="text1"/>
                      <w:sz w:val="21"/>
                      <w:szCs w:val="21"/>
                      <w:lang w:val="en-US"/>
                      <w14:textFill>
                        <w14:solidFill>
                          <w14:schemeClr w14:val="tx1"/>
                        </w14:solidFill>
                      </w14:textFill>
                    </w:rPr>
                    <w:t>主体</w:t>
                  </w:r>
                </w:p>
                <w:p w14:paraId="559AC39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14:textFill>
                        <w14:solidFill>
                          <w14:schemeClr w14:val="tx1"/>
                        </w14:solidFill>
                      </w14:textFill>
                    </w:rPr>
                  </w:pPr>
                  <w:r>
                    <w:rPr>
                      <w:rFonts w:hint="default" w:ascii="Times New Roman" w:hAnsi="Times New Roman" w:eastAsia="新宋体" w:cs="Times New Roman"/>
                      <w:color w:val="000000" w:themeColor="text1"/>
                      <w:sz w:val="21"/>
                      <w:szCs w:val="21"/>
                      <w:lang w:val="en-US"/>
                      <w14:textFill>
                        <w14:solidFill>
                          <w14:schemeClr w14:val="tx1"/>
                        </w14:solidFill>
                      </w14:textFill>
                    </w:rPr>
                    <w:t>工程</w:t>
                  </w:r>
                </w:p>
              </w:tc>
              <w:tc>
                <w:tcPr>
                  <w:tcW w:w="831" w:type="pct"/>
                  <w:tcBorders>
                    <w:bottom w:val="single" w:color="auto" w:sz="4" w:space="0"/>
                  </w:tcBorders>
                  <w:noWrap w:val="0"/>
                  <w:vAlign w:val="center"/>
                </w:tcPr>
                <w:p w14:paraId="00164C6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生产车间</w:t>
                  </w:r>
                </w:p>
              </w:tc>
              <w:tc>
                <w:tcPr>
                  <w:tcW w:w="3022" w:type="pct"/>
                  <w:gridSpan w:val="2"/>
                  <w:tcBorders>
                    <w:bottom w:val="single" w:color="auto" w:sz="4" w:space="0"/>
                  </w:tcBorders>
                  <w:noWrap w:val="0"/>
                  <w:vAlign w:val="center"/>
                </w:tcPr>
                <w:p w14:paraId="79B04FF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地上1F，彩钢板结构，建筑面积4290m</w:t>
                  </w:r>
                  <w:r>
                    <w:rPr>
                      <w:rFonts w:hint="default" w:ascii="Times New Roman" w:hAnsi="Times New Roman" w:eastAsia="新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。内含</w:t>
                  </w:r>
                  <w:r>
                    <w:rPr>
                      <w:rFonts w:hint="eastAsia" w:eastAsia="新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条生产线，年产路沿石年产2万块、彩砖年产2万块、水泥柱1千块、空心板70块</w:t>
                  </w:r>
                  <w:r>
                    <w:rPr>
                      <w:rFonts w:hint="eastAsia" w:eastAsia="新宋体" w:cs="Times New Roman"/>
                      <w:color w:val="000000" w:themeColor="text1"/>
                      <w:sz w:val="21"/>
                      <w:szCs w:val="21"/>
                      <w:lang w:val="en-US" w:eastAsia="zh-CN"/>
                      <w14:textFill>
                        <w14:solidFill>
                          <w14:schemeClr w14:val="tx1"/>
                        </w14:solidFill>
                      </w14:textFill>
                    </w:rPr>
                    <w:t>（折算约1.5万t/a）。</w:t>
                  </w:r>
                </w:p>
              </w:tc>
              <w:tc>
                <w:tcPr>
                  <w:tcW w:w="848" w:type="pct"/>
                  <w:tcBorders>
                    <w:bottom w:val="single" w:color="auto" w:sz="4" w:space="0"/>
                  </w:tcBorders>
                  <w:noWrap w:val="0"/>
                  <w:vAlign w:val="center"/>
                </w:tcPr>
                <w:p w14:paraId="08C0FC9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新建</w:t>
                  </w:r>
                </w:p>
              </w:tc>
            </w:tr>
            <w:tr w14:paraId="5B2290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298" w:type="pct"/>
                  <w:vMerge w:val="restart"/>
                  <w:tcBorders>
                    <w:tl2br w:val="nil"/>
                    <w:tr2bl w:val="nil"/>
                  </w:tcBorders>
                  <w:noWrap w:val="0"/>
                  <w:vAlign w:val="center"/>
                </w:tcPr>
                <w:p w14:paraId="5650FEF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储运工程</w:t>
                  </w:r>
                </w:p>
              </w:tc>
              <w:tc>
                <w:tcPr>
                  <w:tcW w:w="831" w:type="pct"/>
                  <w:tcBorders>
                    <w:bottom w:val="single" w:color="000000" w:sz="4" w:space="0"/>
                    <w:tl2br w:val="nil"/>
                    <w:tr2bl w:val="nil"/>
                  </w:tcBorders>
                  <w:noWrap w:val="0"/>
                  <w:vAlign w:val="center"/>
                </w:tcPr>
                <w:p w14:paraId="18B5252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露天堆场</w:t>
                  </w:r>
                </w:p>
              </w:tc>
              <w:tc>
                <w:tcPr>
                  <w:tcW w:w="3022" w:type="pct"/>
                  <w:gridSpan w:val="2"/>
                  <w:tcBorders>
                    <w:bottom w:val="single" w:color="000000" w:sz="4" w:space="0"/>
                    <w:tl2br w:val="nil"/>
                    <w:tr2bl w:val="nil"/>
                  </w:tcBorders>
                  <w:noWrap w:val="0"/>
                  <w:vAlign w:val="center"/>
                </w:tcPr>
                <w:p w14:paraId="0A14A24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露天堆放区，占地面积200m</w:t>
                  </w:r>
                  <w:r>
                    <w:rPr>
                      <w:rFonts w:hint="default" w:ascii="Times New Roman" w:hAnsi="Times New Roman" w:eastAsia="新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，用于堆放石子，表面</w:t>
                  </w:r>
                  <w:r>
                    <w:rPr>
                      <w:rFonts w:hint="eastAsia" w:eastAsia="新宋体" w:cs="Times New Roman"/>
                      <w:color w:val="000000" w:themeColor="text1"/>
                      <w:sz w:val="21"/>
                      <w:szCs w:val="21"/>
                      <w:lang w:val="en-US" w:eastAsia="zh-CN"/>
                      <w14:textFill>
                        <w14:solidFill>
                          <w14:schemeClr w14:val="tx1"/>
                        </w14:solidFill>
                      </w14:textFill>
                    </w:rPr>
                    <w:t>苫盖防尘密目网，定期表面洒水抑尘。</w:t>
                  </w:r>
                </w:p>
              </w:tc>
              <w:tc>
                <w:tcPr>
                  <w:tcW w:w="848" w:type="pct"/>
                  <w:tcBorders>
                    <w:bottom w:val="single" w:color="000000" w:sz="4" w:space="0"/>
                    <w:tl2br w:val="nil"/>
                    <w:tr2bl w:val="nil"/>
                  </w:tcBorders>
                  <w:noWrap w:val="0"/>
                  <w:vAlign w:val="center"/>
                </w:tcPr>
                <w:p w14:paraId="6677870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已做水泥硬化；原项目用于堆放水泥、沙子，</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依托现有</w:t>
                  </w:r>
                </w:p>
              </w:tc>
            </w:tr>
            <w:tr w14:paraId="3BFD24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298" w:type="pct"/>
                  <w:vMerge w:val="continue"/>
                  <w:tcBorders>
                    <w:tl2br w:val="nil"/>
                    <w:tr2bl w:val="nil"/>
                  </w:tcBorders>
                  <w:noWrap w:val="0"/>
                  <w:vAlign w:val="center"/>
                </w:tcPr>
                <w:p w14:paraId="14DB7F8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c>
                <w:tcPr>
                  <w:tcW w:w="831" w:type="pct"/>
                  <w:tcBorders>
                    <w:bottom w:val="single" w:color="000000" w:sz="4" w:space="0"/>
                    <w:tl2br w:val="nil"/>
                    <w:tr2bl w:val="nil"/>
                  </w:tcBorders>
                  <w:shd w:val="clear"/>
                  <w:noWrap w:val="0"/>
                  <w:vAlign w:val="center"/>
                </w:tcPr>
                <w:p w14:paraId="22E0D0B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原料堆场（全封闭）</w:t>
                  </w:r>
                </w:p>
              </w:tc>
              <w:tc>
                <w:tcPr>
                  <w:tcW w:w="3022" w:type="pct"/>
                  <w:gridSpan w:val="2"/>
                  <w:tcBorders>
                    <w:bottom w:val="single" w:color="000000" w:sz="4" w:space="0"/>
                    <w:tl2br w:val="nil"/>
                    <w:tr2bl w:val="nil"/>
                  </w:tcBorders>
                  <w:shd w:val="clear"/>
                  <w:noWrap w:val="0"/>
                  <w:vAlign w:val="center"/>
                </w:tcPr>
                <w:p w14:paraId="74D8944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地上1F，彩钢砖混结构，全封闭结构南侧预留车辆进出口，建筑面积382m</w:t>
                  </w:r>
                  <w:r>
                    <w:rPr>
                      <w:rFonts w:hint="default" w:ascii="Times New Roman" w:hAnsi="Times New Roman" w:eastAsia="新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。用于堆放水泥、沙子和涂料等</w:t>
                  </w:r>
                  <w:r>
                    <w:rPr>
                      <w:rFonts w:hint="eastAsia" w:eastAsia="新宋体" w:cs="Times New Roman"/>
                      <w:color w:val="000000" w:themeColor="text1"/>
                      <w:sz w:val="21"/>
                      <w:szCs w:val="21"/>
                      <w:lang w:val="en-US" w:eastAsia="zh-CN"/>
                      <w14:textFill>
                        <w14:solidFill>
                          <w14:schemeClr w14:val="tx1"/>
                        </w14:solidFill>
                      </w14:textFill>
                    </w:rPr>
                    <w:t>；分区堆放沙子、成品袋装水泥，表面遮盖苫布，雾炮洒水降尘</w:t>
                  </w:r>
                </w:p>
              </w:tc>
              <w:tc>
                <w:tcPr>
                  <w:tcW w:w="848" w:type="pct"/>
                  <w:tcBorders>
                    <w:bottom w:val="single" w:color="000000" w:sz="4" w:space="0"/>
                    <w:tl2br w:val="nil"/>
                    <w:tr2bl w:val="nil"/>
                  </w:tcBorders>
                  <w:shd w:val="clear"/>
                  <w:noWrap w:val="0"/>
                  <w:vAlign w:val="center"/>
                </w:tcPr>
                <w:p w14:paraId="0EE9BC8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新建</w:t>
                  </w:r>
                </w:p>
              </w:tc>
            </w:tr>
            <w:tr w14:paraId="32E4D0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298" w:type="pct"/>
                  <w:vMerge w:val="continue"/>
                  <w:tcBorders>
                    <w:tl2br w:val="nil"/>
                    <w:tr2bl w:val="nil"/>
                  </w:tcBorders>
                  <w:noWrap w:val="0"/>
                  <w:vAlign w:val="center"/>
                </w:tcPr>
                <w:p w14:paraId="6595DAD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14:textFill>
                        <w14:solidFill>
                          <w14:schemeClr w14:val="tx1"/>
                        </w14:solidFill>
                      </w14:textFill>
                    </w:rPr>
                  </w:pPr>
                </w:p>
              </w:tc>
              <w:tc>
                <w:tcPr>
                  <w:tcW w:w="831" w:type="pct"/>
                  <w:tcBorders>
                    <w:bottom w:val="single" w:color="000000" w:sz="4" w:space="0"/>
                    <w:tl2br w:val="nil"/>
                    <w:tr2bl w:val="nil"/>
                  </w:tcBorders>
                  <w:noWrap w:val="0"/>
                  <w:vAlign w:val="center"/>
                </w:tcPr>
                <w:p w14:paraId="4B2BEB0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露天养护区</w:t>
                  </w:r>
                </w:p>
              </w:tc>
              <w:tc>
                <w:tcPr>
                  <w:tcW w:w="3022" w:type="pct"/>
                  <w:gridSpan w:val="2"/>
                  <w:tcBorders>
                    <w:bottom w:val="single" w:color="000000" w:sz="4" w:space="0"/>
                    <w:tl2br w:val="nil"/>
                    <w:tr2bl w:val="nil"/>
                  </w:tcBorders>
                  <w:noWrap w:val="0"/>
                  <w:vAlign w:val="center"/>
                </w:tcPr>
                <w:p w14:paraId="34C14B7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露天水泥预制件养护区，包括水泥柱、空心板养护区2600m</w:t>
                  </w:r>
                  <w:r>
                    <w:rPr>
                      <w:rFonts w:hint="default" w:ascii="Times New Roman" w:hAnsi="Times New Roman" w:eastAsia="新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，彩砖、路沿石养护区1700m</w:t>
                  </w:r>
                  <w:r>
                    <w:rPr>
                      <w:rFonts w:hint="default" w:ascii="Times New Roman" w:hAnsi="Times New Roman" w:eastAsia="新宋体" w:cs="Times New Roman"/>
                      <w:color w:val="000000" w:themeColor="text1"/>
                      <w:sz w:val="21"/>
                      <w:szCs w:val="21"/>
                      <w:vertAlign w:val="superscript"/>
                      <w:lang w:val="en-US" w:eastAsia="zh-CN"/>
                      <w14:textFill>
                        <w14:solidFill>
                          <w14:schemeClr w14:val="tx1"/>
                        </w14:solidFill>
                      </w14:textFill>
                    </w:rPr>
                    <w:t>2</w:t>
                  </w:r>
                </w:p>
              </w:tc>
              <w:tc>
                <w:tcPr>
                  <w:tcW w:w="848" w:type="pct"/>
                  <w:tcBorders>
                    <w:bottom w:val="single" w:color="000000" w:sz="4" w:space="0"/>
                    <w:tl2br w:val="nil"/>
                    <w:tr2bl w:val="nil"/>
                  </w:tcBorders>
                  <w:noWrap w:val="0"/>
                  <w:vAlign w:val="center"/>
                </w:tcPr>
                <w:p w14:paraId="6250935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已做水泥硬化；原项目用于养护水泥预制块，</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依托现有</w:t>
                  </w:r>
                </w:p>
              </w:tc>
            </w:tr>
            <w:tr w14:paraId="219645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298" w:type="pct"/>
                  <w:vMerge w:val="restart"/>
                  <w:tcBorders>
                    <w:tl2br w:val="nil"/>
                    <w:tr2bl w:val="nil"/>
                  </w:tcBorders>
                  <w:noWrap w:val="0"/>
                  <w:vAlign w:val="center"/>
                </w:tcPr>
                <w:p w14:paraId="6F6F0D2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14:textFill>
                        <w14:solidFill>
                          <w14:schemeClr w14:val="tx1"/>
                        </w14:solidFill>
                      </w14:textFill>
                    </w:rPr>
                  </w:pPr>
                  <w:r>
                    <w:rPr>
                      <w:rFonts w:hint="default" w:ascii="Times New Roman" w:hAnsi="Times New Roman" w:eastAsia="新宋体" w:cs="Times New Roman"/>
                      <w:color w:val="000000" w:themeColor="text1"/>
                      <w:sz w:val="21"/>
                      <w:szCs w:val="21"/>
                      <w:lang w:val="en-US"/>
                      <w14:textFill>
                        <w14:solidFill>
                          <w14:schemeClr w14:val="tx1"/>
                        </w14:solidFill>
                      </w14:textFill>
                    </w:rPr>
                    <w:t>辅助</w:t>
                  </w:r>
                </w:p>
                <w:p w14:paraId="43B2439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14:textFill>
                        <w14:solidFill>
                          <w14:schemeClr w14:val="tx1"/>
                        </w14:solidFill>
                      </w14:textFill>
                    </w:rPr>
                    <w:t>工程</w:t>
                  </w:r>
                </w:p>
              </w:tc>
              <w:tc>
                <w:tcPr>
                  <w:tcW w:w="831" w:type="pct"/>
                  <w:tcBorders>
                    <w:tl2br w:val="nil"/>
                    <w:tr2bl w:val="nil"/>
                  </w:tcBorders>
                  <w:noWrap w:val="0"/>
                  <w:vAlign w:val="center"/>
                </w:tcPr>
                <w:p w14:paraId="3AA2509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生活、办公区</w:t>
                  </w:r>
                </w:p>
              </w:tc>
              <w:tc>
                <w:tcPr>
                  <w:tcW w:w="3022" w:type="pct"/>
                  <w:gridSpan w:val="2"/>
                  <w:tcBorders>
                    <w:tl2br w:val="nil"/>
                    <w:tr2bl w:val="nil"/>
                  </w:tcBorders>
                  <w:noWrap w:val="0"/>
                  <w:vAlign w:val="center"/>
                </w:tcPr>
                <w:p w14:paraId="4902EF8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地上1F，砖混结构，</w:t>
                  </w:r>
                  <w:r>
                    <w:rPr>
                      <w:rFonts w:hint="eastAsia" w:eastAsia="新宋体" w:cs="Times New Roman"/>
                      <w:color w:val="000000" w:themeColor="text1"/>
                      <w:sz w:val="21"/>
                      <w:szCs w:val="21"/>
                      <w:lang w:val="en-US" w:eastAsia="zh-CN"/>
                      <w14:textFill>
                        <w14:solidFill>
                          <w14:schemeClr w14:val="tx1"/>
                        </w14:solidFill>
                      </w14:textFill>
                    </w:rPr>
                    <w:t>生活区分布在南、东北侧，</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总建筑面积</w:t>
                  </w:r>
                  <w:r>
                    <w:rPr>
                      <w:rFonts w:hint="eastAsia" w:eastAsia="新宋体" w:cs="Times New Roman"/>
                      <w:color w:val="000000" w:themeColor="text1"/>
                      <w:sz w:val="21"/>
                      <w:szCs w:val="21"/>
                      <w:lang w:val="en-US" w:eastAsia="zh-CN"/>
                      <w14:textFill>
                        <w14:solidFill>
                          <w14:schemeClr w14:val="tx1"/>
                        </w14:solidFill>
                      </w14:textFill>
                    </w:rPr>
                    <w:t>2130</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新宋体" w:cs="Times New Roman"/>
                      <w:color w:val="000000" w:themeColor="text1"/>
                      <w:sz w:val="21"/>
                      <w:szCs w:val="21"/>
                      <w:vertAlign w:val="superscript"/>
                      <w:lang w:val="en-US" w:eastAsia="zh-CN"/>
                      <w14:textFill>
                        <w14:solidFill>
                          <w14:schemeClr w14:val="tx1"/>
                        </w14:solidFill>
                      </w14:textFill>
                    </w:rPr>
                    <w:t>2</w:t>
                  </w:r>
                  <w:r>
                    <w:rPr>
                      <w:rFonts w:hint="eastAsia" w:eastAsia="新宋体" w:cs="Times New Roman"/>
                      <w:color w:val="000000" w:themeColor="text1"/>
                      <w:sz w:val="21"/>
                      <w:szCs w:val="21"/>
                      <w:vertAlign w:val="baseline"/>
                      <w:lang w:val="en-US" w:eastAsia="zh-CN"/>
                      <w14:textFill>
                        <w14:solidFill>
                          <w14:schemeClr w14:val="tx1"/>
                        </w14:solidFill>
                      </w14:textFill>
                    </w:rPr>
                    <w:t>，办公区分布在东侧车辆进出口处，</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建筑面积</w:t>
                  </w:r>
                  <w:r>
                    <w:rPr>
                      <w:rFonts w:hint="eastAsia" w:eastAsia="新宋体" w:cs="Times New Roman"/>
                      <w:color w:val="000000" w:themeColor="text1"/>
                      <w:sz w:val="21"/>
                      <w:szCs w:val="21"/>
                      <w:lang w:val="en-US" w:eastAsia="zh-CN"/>
                      <w14:textFill>
                        <w14:solidFill>
                          <w14:schemeClr w14:val="tx1"/>
                        </w14:solidFill>
                      </w14:textFill>
                    </w:rPr>
                    <w:t>140</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新宋体" w:cs="Times New Roman"/>
                      <w:color w:val="000000" w:themeColor="text1"/>
                      <w:sz w:val="21"/>
                      <w:szCs w:val="21"/>
                      <w:vertAlign w:val="superscript"/>
                      <w:lang w:val="en-US" w:eastAsia="zh-CN"/>
                      <w14:textFill>
                        <w14:solidFill>
                          <w14:schemeClr w14:val="tx1"/>
                        </w14:solidFill>
                      </w14:textFill>
                    </w:rPr>
                    <w:t>2</w:t>
                  </w:r>
                </w:p>
              </w:tc>
              <w:tc>
                <w:tcPr>
                  <w:tcW w:w="848" w:type="pct"/>
                  <w:tcBorders>
                    <w:tl2br w:val="nil"/>
                    <w:tr2bl w:val="nil"/>
                  </w:tcBorders>
                  <w:noWrap w:val="0"/>
                  <w:vAlign w:val="center"/>
                </w:tcPr>
                <w:p w14:paraId="0164501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原项目分区布置，</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依托现有</w:t>
                  </w:r>
                </w:p>
              </w:tc>
            </w:tr>
            <w:tr w14:paraId="21973C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298" w:type="pct"/>
                  <w:vMerge w:val="continue"/>
                  <w:tcBorders>
                    <w:tl2br w:val="nil"/>
                    <w:tr2bl w:val="nil"/>
                  </w:tcBorders>
                  <w:noWrap w:val="0"/>
                  <w:vAlign w:val="center"/>
                </w:tcPr>
                <w:p w14:paraId="2A13E1E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c>
                <w:tcPr>
                  <w:tcW w:w="831" w:type="pct"/>
                  <w:tcBorders>
                    <w:tl2br w:val="nil"/>
                    <w:tr2bl w:val="nil"/>
                  </w:tcBorders>
                  <w:noWrap w:val="0"/>
                  <w:vAlign w:val="center"/>
                </w:tcPr>
                <w:p w14:paraId="6955432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危废暂存间</w:t>
                  </w:r>
                </w:p>
              </w:tc>
              <w:tc>
                <w:tcPr>
                  <w:tcW w:w="3022" w:type="pct"/>
                  <w:gridSpan w:val="2"/>
                  <w:tcBorders>
                    <w:tl2br w:val="nil"/>
                    <w:tr2bl w:val="nil"/>
                  </w:tcBorders>
                  <w:noWrap w:val="0"/>
                  <w:vAlign w:val="center"/>
                </w:tcPr>
                <w:p w14:paraId="1E61A52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原料库房</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西侧</w:t>
                  </w:r>
                  <w:r>
                    <w:rPr>
                      <w:rFonts w:hint="eastAsia" w:eastAsia="新宋体" w:cs="Times New Roman"/>
                      <w:color w:val="000000" w:themeColor="text1"/>
                      <w:sz w:val="21"/>
                      <w:szCs w:val="21"/>
                      <w:lang w:val="en-US" w:eastAsia="zh-CN"/>
                      <w14:textFill>
                        <w14:solidFill>
                          <w14:schemeClr w14:val="tx1"/>
                        </w14:solidFill>
                      </w14:textFill>
                    </w:rPr>
                    <w:t>新建</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一</w:t>
                  </w:r>
                  <w:r>
                    <w:rPr>
                      <w:rFonts w:hint="eastAsia" w:eastAsia="新宋体" w:cs="Times New Roman"/>
                      <w:color w:val="000000" w:themeColor="text1"/>
                      <w:sz w:val="21"/>
                      <w:szCs w:val="21"/>
                      <w:lang w:val="en-US" w:eastAsia="zh-CN"/>
                      <w14:textFill>
                        <w14:solidFill>
                          <w14:schemeClr w14:val="tx1"/>
                        </w14:solidFill>
                      </w14:textFill>
                    </w:rPr>
                    <w:t>座</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8m</w:t>
                  </w:r>
                  <w:r>
                    <w:rPr>
                      <w:rFonts w:hint="default" w:ascii="Times New Roman" w:hAnsi="Times New Roman" w:eastAsia="新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危废暂存间并做重点防渗处理</w:t>
                  </w:r>
                </w:p>
              </w:tc>
              <w:tc>
                <w:tcPr>
                  <w:tcW w:w="848" w:type="pct"/>
                  <w:tcBorders>
                    <w:tl2br w:val="nil"/>
                    <w:tr2bl w:val="nil"/>
                  </w:tcBorders>
                  <w:noWrap w:val="0"/>
                  <w:vAlign w:val="center"/>
                </w:tcPr>
                <w:p w14:paraId="64796CA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新建</w:t>
                  </w:r>
                </w:p>
              </w:tc>
            </w:tr>
            <w:tr w14:paraId="61B53B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98" w:type="pct"/>
                  <w:vMerge w:val="restart"/>
                  <w:tcBorders>
                    <w:tl2br w:val="nil"/>
                    <w:tr2bl w:val="nil"/>
                  </w:tcBorders>
                  <w:noWrap w:val="0"/>
                  <w:vAlign w:val="center"/>
                </w:tcPr>
                <w:p w14:paraId="72245D9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公用工程</w:t>
                  </w:r>
                </w:p>
              </w:tc>
              <w:tc>
                <w:tcPr>
                  <w:tcW w:w="831" w:type="pct"/>
                  <w:tcBorders>
                    <w:tl2br w:val="nil"/>
                    <w:tr2bl w:val="nil"/>
                  </w:tcBorders>
                  <w:noWrap w:val="0"/>
                  <w:vAlign w:val="center"/>
                </w:tcPr>
                <w:p w14:paraId="7412476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14:textFill>
                        <w14:solidFill>
                          <w14:schemeClr w14:val="tx1"/>
                        </w14:solidFill>
                      </w14:textFill>
                    </w:rPr>
                  </w:pPr>
                  <w:r>
                    <w:rPr>
                      <w:rFonts w:hint="default" w:ascii="Times New Roman" w:hAnsi="Times New Roman" w:eastAsia="新宋体" w:cs="Times New Roman"/>
                      <w:color w:val="000000" w:themeColor="text1"/>
                      <w:sz w:val="21"/>
                      <w:szCs w:val="21"/>
                      <w:lang w:val="en-US"/>
                      <w14:textFill>
                        <w14:solidFill>
                          <w14:schemeClr w14:val="tx1"/>
                        </w14:solidFill>
                      </w14:textFill>
                    </w:rPr>
                    <w:t>供水</w:t>
                  </w:r>
                </w:p>
              </w:tc>
              <w:tc>
                <w:tcPr>
                  <w:tcW w:w="3022" w:type="pct"/>
                  <w:gridSpan w:val="2"/>
                  <w:tcBorders>
                    <w:tl2br w:val="nil"/>
                    <w:tr2bl w:val="nil"/>
                  </w:tcBorders>
                  <w:noWrap w:val="0"/>
                  <w:vAlign w:val="center"/>
                </w:tcPr>
                <w:p w14:paraId="2A76631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生产生活用水</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由和硕县清水河区供水管网供给</w:t>
                  </w:r>
                </w:p>
              </w:tc>
              <w:tc>
                <w:tcPr>
                  <w:tcW w:w="848" w:type="pct"/>
                  <w:tcBorders>
                    <w:tl2br w:val="nil"/>
                    <w:tr2bl w:val="nil"/>
                  </w:tcBorders>
                  <w:noWrap w:val="0"/>
                  <w:vAlign w:val="center"/>
                </w:tcPr>
                <w:p w14:paraId="505C9B8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p>
              </w:tc>
            </w:tr>
            <w:tr w14:paraId="573965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298" w:type="pct"/>
                  <w:vMerge w:val="continue"/>
                  <w:tcBorders>
                    <w:tl2br w:val="nil"/>
                    <w:tr2bl w:val="nil"/>
                  </w:tcBorders>
                  <w:noWrap w:val="0"/>
                  <w:vAlign w:val="center"/>
                </w:tcPr>
                <w:p w14:paraId="2B9AF84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14:textFill>
                        <w14:solidFill>
                          <w14:schemeClr w14:val="tx1"/>
                        </w14:solidFill>
                      </w14:textFill>
                    </w:rPr>
                  </w:pPr>
                </w:p>
              </w:tc>
              <w:tc>
                <w:tcPr>
                  <w:tcW w:w="831" w:type="pct"/>
                  <w:tcBorders>
                    <w:tl2br w:val="nil"/>
                    <w:tr2bl w:val="nil"/>
                  </w:tcBorders>
                  <w:noWrap w:val="0"/>
                  <w:vAlign w:val="center"/>
                </w:tcPr>
                <w:p w14:paraId="5515EFE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14:textFill>
                        <w14:solidFill>
                          <w14:schemeClr w14:val="tx1"/>
                        </w14:solidFill>
                      </w14:textFill>
                    </w:rPr>
                  </w:pPr>
                  <w:r>
                    <w:rPr>
                      <w:rFonts w:hint="default" w:ascii="Times New Roman" w:hAnsi="Times New Roman" w:eastAsia="新宋体" w:cs="Times New Roman"/>
                      <w:color w:val="000000" w:themeColor="text1"/>
                      <w:sz w:val="21"/>
                      <w:szCs w:val="21"/>
                      <w:lang w:val="en-US"/>
                      <w14:textFill>
                        <w14:solidFill>
                          <w14:schemeClr w14:val="tx1"/>
                        </w14:solidFill>
                      </w14:textFill>
                    </w:rPr>
                    <w:t>供电</w:t>
                  </w:r>
                </w:p>
              </w:tc>
              <w:tc>
                <w:tcPr>
                  <w:tcW w:w="3022" w:type="pct"/>
                  <w:gridSpan w:val="2"/>
                  <w:tcBorders>
                    <w:tl2br w:val="nil"/>
                    <w:tr2bl w:val="nil"/>
                  </w:tcBorders>
                  <w:noWrap w:val="0"/>
                  <w:vAlign w:val="center"/>
                </w:tcPr>
                <w:p w14:paraId="7268F5E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由厂区北侧10KV供电线路接入</w:t>
                  </w:r>
                </w:p>
              </w:tc>
              <w:tc>
                <w:tcPr>
                  <w:tcW w:w="848" w:type="pct"/>
                  <w:tcBorders>
                    <w:tl2br w:val="nil"/>
                    <w:tr2bl w:val="nil"/>
                  </w:tcBorders>
                  <w:noWrap w:val="0"/>
                  <w:vAlign w:val="center"/>
                </w:tcPr>
                <w:p w14:paraId="493EB16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p>
              </w:tc>
            </w:tr>
            <w:tr w14:paraId="21AB31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 w:type="pct"/>
                  <w:vMerge w:val="continue"/>
                  <w:tcBorders>
                    <w:tl2br w:val="nil"/>
                    <w:tr2bl w:val="nil"/>
                  </w:tcBorders>
                  <w:noWrap w:val="0"/>
                  <w:vAlign w:val="center"/>
                </w:tcPr>
                <w:p w14:paraId="218078A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14:textFill>
                        <w14:solidFill>
                          <w14:schemeClr w14:val="tx1"/>
                        </w14:solidFill>
                      </w14:textFill>
                    </w:rPr>
                  </w:pPr>
                </w:p>
              </w:tc>
              <w:tc>
                <w:tcPr>
                  <w:tcW w:w="831" w:type="pct"/>
                  <w:tcBorders>
                    <w:tl2br w:val="nil"/>
                    <w:tr2bl w:val="nil"/>
                  </w:tcBorders>
                  <w:noWrap w:val="0"/>
                  <w:vAlign w:val="center"/>
                </w:tcPr>
                <w:p w14:paraId="33133FB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供热</w:t>
                  </w:r>
                </w:p>
              </w:tc>
              <w:tc>
                <w:tcPr>
                  <w:tcW w:w="3022" w:type="pct"/>
                  <w:gridSpan w:val="2"/>
                  <w:tcBorders>
                    <w:tl2br w:val="nil"/>
                    <w:tr2bl w:val="nil"/>
                  </w:tcBorders>
                  <w:noWrap w:val="0"/>
                  <w:vAlign w:val="center"/>
                </w:tcPr>
                <w:p w14:paraId="29F90D6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生产不用热且均为自然养护，冬季值班采暖采用电供暖</w:t>
                  </w:r>
                </w:p>
              </w:tc>
              <w:tc>
                <w:tcPr>
                  <w:tcW w:w="848" w:type="pct"/>
                  <w:tcBorders>
                    <w:tl2br w:val="nil"/>
                    <w:tr2bl w:val="nil"/>
                  </w:tcBorders>
                  <w:noWrap w:val="0"/>
                  <w:vAlign w:val="center"/>
                </w:tcPr>
                <w:p w14:paraId="1B3DDB9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p>
              </w:tc>
            </w:tr>
            <w:tr w14:paraId="69CAEC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298" w:type="pct"/>
                  <w:vMerge w:val="continue"/>
                  <w:tcBorders>
                    <w:tl2br w:val="nil"/>
                    <w:tr2bl w:val="nil"/>
                  </w:tcBorders>
                  <w:noWrap w:val="0"/>
                  <w:vAlign w:val="center"/>
                </w:tcPr>
                <w:p w14:paraId="2642C5D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14:textFill>
                        <w14:solidFill>
                          <w14:schemeClr w14:val="tx1"/>
                        </w14:solidFill>
                      </w14:textFill>
                    </w:rPr>
                  </w:pPr>
                </w:p>
              </w:tc>
              <w:tc>
                <w:tcPr>
                  <w:tcW w:w="831" w:type="pct"/>
                  <w:tcBorders>
                    <w:tl2br w:val="nil"/>
                    <w:tr2bl w:val="nil"/>
                  </w:tcBorders>
                  <w:noWrap w:val="0"/>
                  <w:vAlign w:val="center"/>
                </w:tcPr>
                <w:p w14:paraId="65695FD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14:textFill>
                        <w14:solidFill>
                          <w14:schemeClr w14:val="tx1"/>
                        </w14:solidFill>
                      </w14:textFill>
                    </w:rPr>
                  </w:pPr>
                  <w:r>
                    <w:rPr>
                      <w:rFonts w:hint="default" w:ascii="Times New Roman" w:hAnsi="Times New Roman" w:eastAsia="新宋体" w:cs="Times New Roman"/>
                      <w:color w:val="000000" w:themeColor="text1"/>
                      <w:sz w:val="21"/>
                      <w:szCs w:val="21"/>
                      <w:lang w:val="en-US"/>
                      <w14:textFill>
                        <w14:solidFill>
                          <w14:schemeClr w14:val="tx1"/>
                        </w14:solidFill>
                      </w14:textFill>
                    </w:rPr>
                    <w:t>排水</w:t>
                  </w:r>
                </w:p>
              </w:tc>
              <w:tc>
                <w:tcPr>
                  <w:tcW w:w="3022" w:type="pct"/>
                  <w:gridSpan w:val="2"/>
                  <w:tcBorders>
                    <w:tl2br w:val="nil"/>
                    <w:tr2bl w:val="nil"/>
                  </w:tcBorders>
                  <w:noWrap w:val="0"/>
                  <w:vAlign w:val="center"/>
                </w:tcPr>
                <w:p w14:paraId="1433954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生活污水排入</w:t>
                  </w:r>
                  <w:r>
                    <w:rPr>
                      <w:rFonts w:hint="eastAsia" w:eastAsia="新宋体" w:cs="Times New Roman"/>
                      <w:color w:val="000000" w:themeColor="text1"/>
                      <w:sz w:val="21"/>
                      <w:szCs w:val="21"/>
                      <w:lang w:val="en-US" w:eastAsia="zh-CN"/>
                      <w14:textFill>
                        <w14:solidFill>
                          <w14:schemeClr w14:val="tx1"/>
                        </w14:solidFill>
                      </w14:textFill>
                    </w:rPr>
                    <w:t>防渗收集池</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，委托</w:t>
                  </w:r>
                  <w:r>
                    <w:rPr>
                      <w:rFonts w:hint="eastAsia" w:eastAsia="新宋体" w:cs="Times New Roman"/>
                      <w:color w:val="000000" w:themeColor="text1"/>
                      <w:sz w:val="21"/>
                      <w:szCs w:val="21"/>
                      <w:lang w:val="en-US" w:eastAsia="zh-CN"/>
                      <w14:textFill>
                        <w14:solidFill>
                          <w14:schemeClr w14:val="tx1"/>
                        </w14:solidFill>
                      </w14:textFill>
                    </w:rPr>
                    <w:t>拉运至和硕县污水处理厂处置</w:t>
                  </w:r>
                </w:p>
              </w:tc>
              <w:tc>
                <w:tcPr>
                  <w:tcW w:w="848" w:type="pct"/>
                  <w:tcBorders>
                    <w:tl2br w:val="nil"/>
                    <w:tr2bl w:val="nil"/>
                  </w:tcBorders>
                  <w:noWrap w:val="0"/>
                  <w:vAlign w:val="center"/>
                </w:tcPr>
                <w:p w14:paraId="02B4BB6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收集池</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容积8m</w:t>
                  </w:r>
                  <w:r>
                    <w:rPr>
                      <w:rFonts w:hint="default" w:ascii="Times New Roman" w:hAnsi="Times New Roman" w:eastAsia="新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t>，依托现有</w:t>
                  </w:r>
                </w:p>
              </w:tc>
            </w:tr>
            <w:tr w14:paraId="78E0F1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98" w:type="pct"/>
                  <w:vMerge w:val="restart"/>
                  <w:tcBorders>
                    <w:tl2br w:val="nil"/>
                    <w:tr2bl w:val="nil"/>
                  </w:tcBorders>
                  <w:noWrap w:val="0"/>
                  <w:vAlign w:val="center"/>
                </w:tcPr>
                <w:p w14:paraId="3C4DB67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环保工程</w:t>
                  </w:r>
                </w:p>
              </w:tc>
              <w:tc>
                <w:tcPr>
                  <w:tcW w:w="831" w:type="pct"/>
                  <w:vMerge w:val="restart"/>
                  <w:tcBorders>
                    <w:tl2br w:val="nil"/>
                    <w:tr2bl w:val="nil"/>
                  </w:tcBorders>
                  <w:noWrap w:val="0"/>
                  <w:vAlign w:val="center"/>
                </w:tcPr>
                <w:p w14:paraId="290222C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大气污染防治措施</w:t>
                  </w:r>
                </w:p>
              </w:tc>
              <w:tc>
                <w:tcPr>
                  <w:tcW w:w="3870" w:type="pct"/>
                  <w:gridSpan w:val="3"/>
                  <w:tcBorders>
                    <w:tl2br w:val="nil"/>
                    <w:tr2bl w:val="nil"/>
                  </w:tcBorders>
                  <w:noWrap w:val="0"/>
                  <w:vAlign w:val="center"/>
                </w:tcPr>
                <w:p w14:paraId="72B60F2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厂区南侧道路出口一侧设置1处洗车平台，冲洗轮胎后上路；场外运输过程遮盖篷布，控制车速，控制装料高度和装载量</w:t>
                  </w:r>
                </w:p>
              </w:tc>
            </w:tr>
            <w:tr w14:paraId="6F30A4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98" w:type="pct"/>
                  <w:vMerge w:val="continue"/>
                  <w:tcBorders>
                    <w:tl2br w:val="nil"/>
                    <w:tr2bl w:val="nil"/>
                  </w:tcBorders>
                  <w:noWrap w:val="0"/>
                  <w:vAlign w:val="center"/>
                </w:tcPr>
                <w:p w14:paraId="5436020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c>
                <w:tcPr>
                  <w:tcW w:w="831" w:type="pct"/>
                  <w:vMerge w:val="continue"/>
                  <w:tcBorders>
                    <w:tl2br w:val="nil"/>
                    <w:tr2bl w:val="nil"/>
                  </w:tcBorders>
                  <w:noWrap w:val="0"/>
                  <w:vAlign w:val="center"/>
                </w:tcPr>
                <w:p w14:paraId="297DDDA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c>
                <w:tcPr>
                  <w:tcW w:w="3870" w:type="pct"/>
                  <w:gridSpan w:val="3"/>
                  <w:tcBorders>
                    <w:tl2br w:val="nil"/>
                    <w:tr2bl w:val="nil"/>
                  </w:tcBorders>
                  <w:noWrap w:val="0"/>
                  <w:vAlign w:val="center"/>
                </w:tcPr>
                <w:p w14:paraId="6DB9B3B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袋装水泥、原料装卸过程挖掘机与汽车尽量在同一水平面上，减少落差，要求装卸时对装卸点</w:t>
                  </w:r>
                  <w:r>
                    <w:rPr>
                      <w:rFonts w:hint="eastAsia" w:eastAsia="新宋体" w:cs="Times New Roman"/>
                      <w:color w:val="000000" w:themeColor="text1"/>
                      <w:sz w:val="21"/>
                      <w:szCs w:val="21"/>
                      <w:lang w:val="en-US" w:eastAsia="zh-CN"/>
                      <w14:textFill>
                        <w14:solidFill>
                          <w14:schemeClr w14:val="tx1"/>
                        </w14:solidFill>
                      </w14:textFill>
                    </w:rPr>
                    <w:t>雾炮</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抑尘</w:t>
                  </w:r>
                  <w:r>
                    <w:rPr>
                      <w:rFonts w:hint="eastAsia" w:eastAsia="新宋体" w:cs="Times New Roman"/>
                      <w:color w:val="000000" w:themeColor="text1"/>
                      <w:sz w:val="21"/>
                      <w:szCs w:val="21"/>
                      <w:lang w:val="en-US" w:eastAsia="zh-CN"/>
                      <w14:textFill>
                        <w14:solidFill>
                          <w14:schemeClr w14:val="tx1"/>
                        </w14:solidFill>
                      </w14:textFill>
                    </w:rPr>
                    <w:t>；石子装卸过程车辆安装一台落差降尘罩</w:t>
                  </w:r>
                </w:p>
              </w:tc>
            </w:tr>
            <w:tr w14:paraId="270E74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98" w:type="pct"/>
                  <w:vMerge w:val="continue"/>
                  <w:tcBorders>
                    <w:tl2br w:val="nil"/>
                    <w:tr2bl w:val="nil"/>
                  </w:tcBorders>
                  <w:noWrap w:val="0"/>
                  <w:vAlign w:val="center"/>
                </w:tcPr>
                <w:p w14:paraId="3676F78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c>
                <w:tcPr>
                  <w:tcW w:w="831" w:type="pct"/>
                  <w:vMerge w:val="continue"/>
                  <w:tcBorders>
                    <w:tl2br w:val="nil"/>
                    <w:tr2bl w:val="nil"/>
                  </w:tcBorders>
                  <w:noWrap w:val="0"/>
                  <w:vAlign w:val="center"/>
                </w:tcPr>
                <w:p w14:paraId="139AD99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c>
                <w:tcPr>
                  <w:tcW w:w="3870" w:type="pct"/>
                  <w:gridSpan w:val="3"/>
                  <w:tcBorders>
                    <w:tl2br w:val="nil"/>
                    <w:tr2bl w:val="nil"/>
                  </w:tcBorders>
                  <w:noWrap w:val="0"/>
                  <w:vAlign w:val="center"/>
                </w:tcPr>
                <w:p w14:paraId="719F814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原料堆场采取全封闭厂房，</w:t>
                  </w:r>
                  <w:r>
                    <w:rPr>
                      <w:rFonts w:hint="eastAsia" w:eastAsia="新宋体" w:cs="Times New Roman"/>
                      <w:color w:val="000000" w:themeColor="text1"/>
                      <w:sz w:val="21"/>
                      <w:szCs w:val="21"/>
                      <w:lang w:val="en-US" w:eastAsia="zh-CN"/>
                      <w14:textFill>
                        <w14:solidFill>
                          <w14:schemeClr w14:val="tx1"/>
                        </w14:solidFill>
                      </w14:textFill>
                    </w:rPr>
                    <w:t>沙子、水泥分区堆存，雾炮洒水降尘，</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并在预留出口处洒水降尘</w:t>
                  </w:r>
                  <w:r>
                    <w:rPr>
                      <w:rFonts w:hint="eastAsia" w:eastAsia="新宋体" w:cs="Times New Roman"/>
                      <w:color w:val="000000" w:themeColor="text1"/>
                      <w:sz w:val="21"/>
                      <w:szCs w:val="21"/>
                      <w:lang w:val="en-US" w:eastAsia="zh-CN"/>
                      <w14:textFill>
                        <w14:solidFill>
                          <w14:schemeClr w14:val="tx1"/>
                        </w14:solidFill>
                      </w14:textFill>
                    </w:rPr>
                    <w:t>；石子堆场苫布100%苫盖密目抑尘布，定期洒水降尘</w:t>
                  </w:r>
                </w:p>
              </w:tc>
            </w:tr>
            <w:tr w14:paraId="2BFBBA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98" w:type="pct"/>
                  <w:vMerge w:val="continue"/>
                  <w:tcBorders>
                    <w:tl2br w:val="nil"/>
                    <w:tr2bl w:val="nil"/>
                  </w:tcBorders>
                  <w:noWrap w:val="0"/>
                  <w:vAlign w:val="center"/>
                </w:tcPr>
                <w:p w14:paraId="2FA2689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c>
                <w:tcPr>
                  <w:tcW w:w="831" w:type="pct"/>
                  <w:vMerge w:val="continue"/>
                  <w:tcBorders>
                    <w:tl2br w:val="nil"/>
                    <w:tr2bl w:val="nil"/>
                  </w:tcBorders>
                  <w:noWrap w:val="0"/>
                  <w:vAlign w:val="center"/>
                </w:tcPr>
                <w:p w14:paraId="65AE763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c>
                <w:tcPr>
                  <w:tcW w:w="3870" w:type="pct"/>
                  <w:gridSpan w:val="3"/>
                  <w:tcBorders>
                    <w:tl2br w:val="nil"/>
                    <w:tr2bl w:val="nil"/>
                  </w:tcBorders>
                  <w:noWrap w:val="0"/>
                  <w:vAlign w:val="center"/>
                </w:tcPr>
                <w:p w14:paraId="7C06CE9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投料设备上方设置</w:t>
                  </w:r>
                  <w:r>
                    <w:rPr>
                      <w:rFonts w:hint="eastAsia" w:eastAsia="新宋体" w:cs="Times New Roman"/>
                      <w:color w:val="000000" w:themeColor="text1"/>
                      <w:sz w:val="21"/>
                      <w:szCs w:val="21"/>
                      <w:lang w:val="en-US" w:eastAsia="zh-CN"/>
                      <w14:textFill>
                        <w14:solidFill>
                          <w14:schemeClr w14:val="tx1"/>
                        </w14:solidFill>
                      </w14:textFill>
                    </w:rPr>
                    <w:t>软帘包裹</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集气罩，收集后经布袋除尘器，处理后由15m高排气筒排放</w:t>
                  </w:r>
                </w:p>
              </w:tc>
            </w:tr>
            <w:tr w14:paraId="788FB3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98" w:type="pct"/>
                  <w:vMerge w:val="continue"/>
                  <w:tcBorders>
                    <w:tl2br w:val="nil"/>
                    <w:tr2bl w:val="nil"/>
                  </w:tcBorders>
                  <w:noWrap w:val="0"/>
                  <w:vAlign w:val="center"/>
                </w:tcPr>
                <w:p w14:paraId="15D19BD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c>
                <w:tcPr>
                  <w:tcW w:w="831" w:type="pct"/>
                  <w:vMerge w:val="continue"/>
                  <w:tcBorders>
                    <w:tl2br w:val="nil"/>
                    <w:tr2bl w:val="nil"/>
                  </w:tcBorders>
                  <w:noWrap w:val="0"/>
                  <w:vAlign w:val="center"/>
                </w:tcPr>
                <w:p w14:paraId="3FA40FD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c>
                <w:tcPr>
                  <w:tcW w:w="3870" w:type="pct"/>
                  <w:gridSpan w:val="3"/>
                  <w:tcBorders>
                    <w:tl2br w:val="nil"/>
                    <w:tr2bl w:val="nil"/>
                  </w:tcBorders>
                  <w:noWrap w:val="0"/>
                  <w:vAlign w:val="center"/>
                </w:tcPr>
                <w:p w14:paraId="48B73DA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搅拌机搅拌过程中密闭且在搅拌机上方设置</w:t>
                  </w:r>
                  <w:r>
                    <w:rPr>
                      <w:rFonts w:hint="eastAsia" w:eastAsia="新宋体" w:cs="Times New Roman"/>
                      <w:color w:val="000000" w:themeColor="text1"/>
                      <w:sz w:val="21"/>
                      <w:szCs w:val="21"/>
                      <w:lang w:val="en-US" w:eastAsia="zh-CN"/>
                      <w14:textFill>
                        <w14:solidFill>
                          <w14:schemeClr w14:val="tx1"/>
                        </w14:solidFill>
                      </w14:textFill>
                    </w:rPr>
                    <w:t>封闭式</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集气罩，收集后经布袋除尘器，处理后由15m高排气筒排放</w:t>
                  </w:r>
                </w:p>
              </w:tc>
            </w:tr>
            <w:tr w14:paraId="6A5E97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298" w:type="pct"/>
                  <w:vMerge w:val="continue"/>
                  <w:tcBorders>
                    <w:tl2br w:val="nil"/>
                    <w:tr2bl w:val="nil"/>
                  </w:tcBorders>
                  <w:noWrap w:val="0"/>
                  <w:vAlign w:val="center"/>
                </w:tcPr>
                <w:p w14:paraId="2E0AF4A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14:textFill>
                        <w14:solidFill>
                          <w14:schemeClr w14:val="tx1"/>
                        </w14:solidFill>
                      </w14:textFill>
                    </w:rPr>
                  </w:pPr>
                </w:p>
              </w:tc>
              <w:tc>
                <w:tcPr>
                  <w:tcW w:w="831" w:type="pct"/>
                  <w:vMerge w:val="restart"/>
                  <w:tcBorders>
                    <w:tl2br w:val="nil"/>
                    <w:tr2bl w:val="nil"/>
                  </w:tcBorders>
                  <w:noWrap w:val="0"/>
                  <w:vAlign w:val="center"/>
                </w:tcPr>
                <w:p w14:paraId="712669E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废水污染防治措施</w:t>
                  </w:r>
                </w:p>
              </w:tc>
              <w:tc>
                <w:tcPr>
                  <w:tcW w:w="3870" w:type="pct"/>
                  <w:gridSpan w:val="3"/>
                  <w:tcBorders>
                    <w:tl2br w:val="nil"/>
                    <w:tr2bl w:val="nil"/>
                  </w:tcBorders>
                  <w:noWrap w:val="0"/>
                  <w:vAlign w:val="center"/>
                </w:tcPr>
                <w:p w14:paraId="0752A65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出口洗车平台洗车设置1座0.8m</w:t>
                  </w:r>
                  <w:r>
                    <w:rPr>
                      <w:rFonts w:hint="default" w:ascii="Times New Roman" w:hAnsi="Times New Roman" w:eastAsia="新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防渗沉淀池，废水沉淀后上清液用于养护空心砖、水泥柱</w:t>
                  </w:r>
                </w:p>
              </w:tc>
            </w:tr>
            <w:tr w14:paraId="74B610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298" w:type="pct"/>
                  <w:vMerge w:val="continue"/>
                  <w:tcBorders>
                    <w:tl2br w:val="nil"/>
                    <w:tr2bl w:val="nil"/>
                  </w:tcBorders>
                  <w:noWrap w:val="0"/>
                  <w:vAlign w:val="center"/>
                </w:tcPr>
                <w:p w14:paraId="3E1649F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14:textFill>
                        <w14:solidFill>
                          <w14:schemeClr w14:val="tx1"/>
                        </w14:solidFill>
                      </w14:textFill>
                    </w:rPr>
                  </w:pPr>
                </w:p>
              </w:tc>
              <w:tc>
                <w:tcPr>
                  <w:tcW w:w="831" w:type="pct"/>
                  <w:vMerge w:val="continue"/>
                  <w:tcBorders>
                    <w:tl2br w:val="nil"/>
                    <w:tr2bl w:val="nil"/>
                  </w:tcBorders>
                  <w:noWrap w:val="0"/>
                  <w:vAlign w:val="center"/>
                </w:tcPr>
                <w:p w14:paraId="0F4A38C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c>
                <w:tcPr>
                  <w:tcW w:w="3870" w:type="pct"/>
                  <w:gridSpan w:val="3"/>
                  <w:tcBorders>
                    <w:tl2br w:val="nil"/>
                    <w:tr2bl w:val="nil"/>
                  </w:tcBorders>
                  <w:noWrap w:val="0"/>
                  <w:vAlign w:val="center"/>
                </w:tcPr>
                <w:p w14:paraId="7EE28A8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生产过程用水全部进入产品，不外排；养护用水在产品表面自然蒸发；厂房内喷淋、雾炮降尘水自然蒸发</w:t>
                  </w:r>
                </w:p>
              </w:tc>
            </w:tr>
            <w:tr w14:paraId="11AD8E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298" w:type="pct"/>
                  <w:vMerge w:val="continue"/>
                  <w:tcBorders>
                    <w:tl2br w:val="nil"/>
                    <w:tr2bl w:val="nil"/>
                  </w:tcBorders>
                  <w:noWrap w:val="0"/>
                  <w:vAlign w:val="center"/>
                </w:tcPr>
                <w:p w14:paraId="5D5471A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14:textFill>
                        <w14:solidFill>
                          <w14:schemeClr w14:val="tx1"/>
                        </w14:solidFill>
                      </w14:textFill>
                    </w:rPr>
                  </w:pPr>
                </w:p>
              </w:tc>
              <w:tc>
                <w:tcPr>
                  <w:tcW w:w="831" w:type="pct"/>
                  <w:vMerge w:val="continue"/>
                  <w:tcBorders>
                    <w:tl2br w:val="nil"/>
                    <w:tr2bl w:val="nil"/>
                  </w:tcBorders>
                  <w:noWrap w:val="0"/>
                  <w:vAlign w:val="center"/>
                </w:tcPr>
                <w:p w14:paraId="7677219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c>
                <w:tcPr>
                  <w:tcW w:w="3870" w:type="pct"/>
                  <w:gridSpan w:val="3"/>
                  <w:tcBorders>
                    <w:tl2br w:val="nil"/>
                    <w:tr2bl w:val="nil"/>
                  </w:tcBorders>
                  <w:noWrap w:val="0"/>
                  <w:vAlign w:val="center"/>
                </w:tcPr>
                <w:p w14:paraId="49A4650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生活污水排入厂区西北侧</w:t>
                  </w:r>
                  <w:r>
                    <w:rPr>
                      <w:rFonts w:hint="eastAsia" w:eastAsia="新宋体" w:cs="Times New Roman"/>
                      <w:color w:val="000000" w:themeColor="text1"/>
                      <w:sz w:val="21"/>
                      <w:szCs w:val="21"/>
                      <w:lang w:val="en-US" w:eastAsia="zh-CN"/>
                      <w14:textFill>
                        <w14:solidFill>
                          <w14:schemeClr w14:val="tx1"/>
                        </w14:solidFill>
                      </w14:textFill>
                    </w:rPr>
                    <w:t>防渗收集池</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，定期委托外单位拉运至和硕县污水处理厂处置</w:t>
                  </w:r>
                </w:p>
              </w:tc>
            </w:tr>
            <w:tr w14:paraId="15F652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298" w:type="pct"/>
                  <w:vMerge w:val="continue"/>
                  <w:tcBorders>
                    <w:tl2br w:val="nil"/>
                    <w:tr2bl w:val="nil"/>
                  </w:tcBorders>
                  <w:noWrap w:val="0"/>
                  <w:vAlign w:val="center"/>
                </w:tcPr>
                <w:p w14:paraId="7D584AC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14:textFill>
                        <w14:solidFill>
                          <w14:schemeClr w14:val="tx1"/>
                        </w14:solidFill>
                      </w14:textFill>
                    </w:rPr>
                  </w:pPr>
                </w:p>
              </w:tc>
              <w:tc>
                <w:tcPr>
                  <w:tcW w:w="831" w:type="pct"/>
                  <w:tcBorders>
                    <w:tl2br w:val="nil"/>
                    <w:tr2bl w:val="nil"/>
                  </w:tcBorders>
                  <w:noWrap w:val="0"/>
                  <w:vAlign w:val="center"/>
                </w:tcPr>
                <w:p w14:paraId="114151A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噪声污染防治措施</w:t>
                  </w:r>
                </w:p>
              </w:tc>
              <w:tc>
                <w:tcPr>
                  <w:tcW w:w="3870" w:type="pct"/>
                  <w:gridSpan w:val="3"/>
                  <w:tcBorders>
                    <w:tl2br w:val="nil"/>
                    <w:tr2bl w:val="nil"/>
                  </w:tcBorders>
                  <w:noWrap w:val="0"/>
                  <w:vAlign w:val="center"/>
                </w:tcPr>
                <w:p w14:paraId="4AAA6CC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合理布置高噪声声源，基础减震，厂房隔声，加强场内绿化</w:t>
                  </w:r>
                </w:p>
              </w:tc>
            </w:tr>
            <w:tr w14:paraId="7F2C25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298" w:type="pct"/>
                  <w:vMerge w:val="continue"/>
                  <w:tcBorders>
                    <w:tl2br w:val="nil"/>
                    <w:tr2bl w:val="nil"/>
                  </w:tcBorders>
                  <w:noWrap w:val="0"/>
                  <w:vAlign w:val="center"/>
                </w:tcPr>
                <w:p w14:paraId="3D8CE39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14:textFill>
                        <w14:solidFill>
                          <w14:schemeClr w14:val="tx1"/>
                        </w14:solidFill>
                      </w14:textFill>
                    </w:rPr>
                  </w:pPr>
                </w:p>
              </w:tc>
              <w:tc>
                <w:tcPr>
                  <w:tcW w:w="831" w:type="pct"/>
                  <w:vMerge w:val="restart"/>
                  <w:tcBorders>
                    <w:tl2br w:val="nil"/>
                    <w:tr2bl w:val="nil"/>
                  </w:tcBorders>
                  <w:noWrap w:val="0"/>
                  <w:vAlign w:val="center"/>
                </w:tcPr>
                <w:p w14:paraId="32466C6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固体废物污染防治措施</w:t>
                  </w:r>
                </w:p>
              </w:tc>
              <w:tc>
                <w:tcPr>
                  <w:tcW w:w="1097" w:type="pct"/>
                  <w:tcBorders>
                    <w:tl2br w:val="nil"/>
                    <w:tr2bl w:val="nil"/>
                  </w:tcBorders>
                  <w:noWrap w:val="0"/>
                  <w:vAlign w:val="center"/>
                </w:tcPr>
                <w:p w14:paraId="30D3150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布袋除尘灰</w:t>
                  </w:r>
                </w:p>
              </w:tc>
              <w:tc>
                <w:tcPr>
                  <w:tcW w:w="2773" w:type="pct"/>
                  <w:gridSpan w:val="2"/>
                  <w:tcBorders>
                    <w:tl2br w:val="nil"/>
                    <w:tr2bl w:val="nil"/>
                  </w:tcBorders>
                  <w:noWrap w:val="0"/>
                  <w:vAlign w:val="center"/>
                </w:tcPr>
                <w:p w14:paraId="70E0E4D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投料、物料输送、搅拌工序粉尘经布袋除尘器收集，属于一般工业固体废物，回用于生产线不合格产品，回用于生产线</w:t>
                  </w:r>
                </w:p>
              </w:tc>
            </w:tr>
            <w:tr w14:paraId="213255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298" w:type="pct"/>
                  <w:vMerge w:val="continue"/>
                  <w:tcBorders>
                    <w:tl2br w:val="nil"/>
                    <w:tr2bl w:val="nil"/>
                  </w:tcBorders>
                  <w:noWrap w:val="0"/>
                  <w:vAlign w:val="center"/>
                </w:tcPr>
                <w:p w14:paraId="2C6917D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14:textFill>
                        <w14:solidFill>
                          <w14:schemeClr w14:val="tx1"/>
                        </w14:solidFill>
                      </w14:textFill>
                    </w:rPr>
                  </w:pPr>
                </w:p>
              </w:tc>
              <w:tc>
                <w:tcPr>
                  <w:tcW w:w="831" w:type="pct"/>
                  <w:vMerge w:val="continue"/>
                  <w:tcBorders>
                    <w:tl2br w:val="nil"/>
                    <w:tr2bl w:val="nil"/>
                  </w:tcBorders>
                  <w:noWrap w:val="0"/>
                  <w:vAlign w:val="center"/>
                </w:tcPr>
                <w:p w14:paraId="5A7735A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c>
                <w:tcPr>
                  <w:tcW w:w="1097" w:type="pct"/>
                  <w:tcBorders>
                    <w:tl2br w:val="nil"/>
                    <w:tr2bl w:val="nil"/>
                  </w:tcBorders>
                  <w:noWrap w:val="0"/>
                  <w:vAlign w:val="center"/>
                </w:tcPr>
                <w:p w14:paraId="4310D1B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废包装袋</w:t>
                  </w:r>
                </w:p>
              </w:tc>
              <w:tc>
                <w:tcPr>
                  <w:tcW w:w="2773" w:type="pct"/>
                  <w:gridSpan w:val="2"/>
                  <w:tcBorders>
                    <w:tl2br w:val="nil"/>
                    <w:tr2bl w:val="nil"/>
                  </w:tcBorders>
                  <w:noWrap w:val="0"/>
                  <w:vAlign w:val="center"/>
                </w:tcPr>
                <w:p w14:paraId="492D0E4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水泥、氧化铁颜料等固体材料使用过程中废包装袋，为一般工业固体废物，经集中收集后出售给资源回收利用公司处置</w:t>
                  </w:r>
                </w:p>
              </w:tc>
            </w:tr>
            <w:tr w14:paraId="46097B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298" w:type="pct"/>
                  <w:vMerge w:val="continue"/>
                  <w:tcBorders>
                    <w:tl2br w:val="nil"/>
                    <w:tr2bl w:val="nil"/>
                  </w:tcBorders>
                  <w:noWrap w:val="0"/>
                  <w:vAlign w:val="center"/>
                </w:tcPr>
                <w:p w14:paraId="5363906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14:textFill>
                        <w14:solidFill>
                          <w14:schemeClr w14:val="tx1"/>
                        </w14:solidFill>
                      </w14:textFill>
                    </w:rPr>
                  </w:pPr>
                </w:p>
              </w:tc>
              <w:tc>
                <w:tcPr>
                  <w:tcW w:w="831" w:type="pct"/>
                  <w:vMerge w:val="continue"/>
                  <w:tcBorders>
                    <w:tl2br w:val="nil"/>
                    <w:tr2bl w:val="nil"/>
                  </w:tcBorders>
                  <w:noWrap w:val="0"/>
                  <w:vAlign w:val="center"/>
                </w:tcPr>
                <w:p w14:paraId="6C6318C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c>
                <w:tcPr>
                  <w:tcW w:w="1097" w:type="pct"/>
                  <w:tcBorders>
                    <w:tl2br w:val="nil"/>
                    <w:tr2bl w:val="nil"/>
                  </w:tcBorders>
                  <w:noWrap w:val="0"/>
                  <w:vAlign w:val="center"/>
                </w:tcPr>
                <w:p w14:paraId="2E2ECD3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废包装桶</w:t>
                  </w:r>
                </w:p>
              </w:tc>
              <w:tc>
                <w:tcPr>
                  <w:tcW w:w="2773" w:type="pct"/>
                  <w:gridSpan w:val="2"/>
                  <w:tcBorders>
                    <w:tl2br w:val="nil"/>
                    <w:tr2bl w:val="nil"/>
                  </w:tcBorders>
                  <w:noWrap w:val="0"/>
                  <w:vAlign w:val="center"/>
                </w:tcPr>
                <w:p w14:paraId="4A8CFCF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脱模剂采用棉籽油，使用过程中废包装桶，为一般工业固体废物，经集中收集后出售给资源回收利用公司处置</w:t>
                  </w:r>
                </w:p>
              </w:tc>
            </w:tr>
            <w:tr w14:paraId="5D5677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298" w:type="pct"/>
                  <w:vMerge w:val="continue"/>
                  <w:tcBorders>
                    <w:tl2br w:val="nil"/>
                    <w:tr2bl w:val="nil"/>
                  </w:tcBorders>
                  <w:noWrap w:val="0"/>
                  <w:vAlign w:val="center"/>
                </w:tcPr>
                <w:p w14:paraId="340BCD0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14:textFill>
                        <w14:solidFill>
                          <w14:schemeClr w14:val="tx1"/>
                        </w14:solidFill>
                      </w14:textFill>
                    </w:rPr>
                  </w:pPr>
                </w:p>
              </w:tc>
              <w:tc>
                <w:tcPr>
                  <w:tcW w:w="831" w:type="pct"/>
                  <w:vMerge w:val="continue"/>
                  <w:tcBorders>
                    <w:tl2br w:val="nil"/>
                    <w:tr2bl w:val="nil"/>
                  </w:tcBorders>
                  <w:noWrap w:val="0"/>
                  <w:vAlign w:val="center"/>
                </w:tcPr>
                <w:p w14:paraId="2A47739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c>
                <w:tcPr>
                  <w:tcW w:w="1097" w:type="pct"/>
                  <w:tcBorders>
                    <w:tl2br w:val="nil"/>
                    <w:tr2bl w:val="nil"/>
                  </w:tcBorders>
                  <w:noWrap w:val="0"/>
                  <w:vAlign w:val="center"/>
                </w:tcPr>
                <w:p w14:paraId="17A5CA8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废润滑油/废油桶</w:t>
                  </w:r>
                </w:p>
              </w:tc>
              <w:tc>
                <w:tcPr>
                  <w:tcW w:w="2773" w:type="pct"/>
                  <w:gridSpan w:val="2"/>
                  <w:tcBorders>
                    <w:tl2br w:val="nil"/>
                    <w:tr2bl w:val="nil"/>
                  </w:tcBorders>
                  <w:noWrap w:val="0"/>
                  <w:vAlign w:val="center"/>
                </w:tcPr>
                <w:p w14:paraId="3028CA8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收集后暂存于企业危废间（8m</w:t>
                  </w:r>
                  <w:r>
                    <w:rPr>
                      <w:rFonts w:hint="default" w:ascii="Times New Roman" w:hAnsi="Times New Roman" w:eastAsia="新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），定期委托有资质的单位进行清运处置</w:t>
                  </w:r>
                </w:p>
              </w:tc>
            </w:tr>
            <w:tr w14:paraId="42319F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298" w:type="pct"/>
                  <w:vMerge w:val="continue"/>
                  <w:tcBorders>
                    <w:tl2br w:val="nil"/>
                    <w:tr2bl w:val="nil"/>
                  </w:tcBorders>
                  <w:noWrap w:val="0"/>
                  <w:vAlign w:val="center"/>
                </w:tcPr>
                <w:p w14:paraId="68FBF3A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14:textFill>
                        <w14:solidFill>
                          <w14:schemeClr w14:val="tx1"/>
                        </w14:solidFill>
                      </w14:textFill>
                    </w:rPr>
                  </w:pPr>
                </w:p>
              </w:tc>
              <w:tc>
                <w:tcPr>
                  <w:tcW w:w="831" w:type="pct"/>
                  <w:vMerge w:val="continue"/>
                  <w:tcBorders>
                    <w:tl2br w:val="nil"/>
                    <w:tr2bl w:val="nil"/>
                  </w:tcBorders>
                  <w:noWrap w:val="0"/>
                  <w:vAlign w:val="center"/>
                </w:tcPr>
                <w:p w14:paraId="5CA746E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14:textFill>
                        <w14:solidFill>
                          <w14:schemeClr w14:val="tx1"/>
                        </w14:solidFill>
                      </w14:textFill>
                    </w:rPr>
                  </w:pPr>
                </w:p>
              </w:tc>
              <w:tc>
                <w:tcPr>
                  <w:tcW w:w="1097" w:type="pct"/>
                  <w:tcBorders>
                    <w:tl2br w:val="nil"/>
                    <w:tr2bl w:val="nil"/>
                  </w:tcBorders>
                  <w:noWrap w:val="0"/>
                  <w:vAlign w:val="center"/>
                </w:tcPr>
                <w:p w14:paraId="5002F01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生活垃圾</w:t>
                  </w:r>
                </w:p>
              </w:tc>
              <w:tc>
                <w:tcPr>
                  <w:tcW w:w="2773" w:type="pct"/>
                  <w:gridSpan w:val="2"/>
                  <w:tcBorders>
                    <w:tl2br w:val="nil"/>
                    <w:tr2bl w:val="nil"/>
                  </w:tcBorders>
                  <w:noWrap w:val="0"/>
                  <w:vAlign w:val="center"/>
                </w:tcPr>
                <w:p w14:paraId="1847E9E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厂区南侧垃圾船集中收集，依托和硕县环卫部门处置</w:t>
                  </w:r>
                </w:p>
              </w:tc>
            </w:tr>
            <w:tr w14:paraId="3A20E5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298" w:type="pct"/>
                  <w:vMerge w:val="continue"/>
                  <w:tcBorders>
                    <w:tl2br w:val="nil"/>
                    <w:tr2bl w:val="nil"/>
                  </w:tcBorders>
                  <w:noWrap w:val="0"/>
                  <w:vAlign w:val="center"/>
                </w:tcPr>
                <w:p w14:paraId="6AF785F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14:textFill>
                        <w14:solidFill>
                          <w14:schemeClr w14:val="tx1"/>
                        </w14:solidFill>
                      </w14:textFill>
                    </w:rPr>
                  </w:pPr>
                </w:p>
              </w:tc>
              <w:tc>
                <w:tcPr>
                  <w:tcW w:w="831" w:type="pct"/>
                  <w:tcBorders>
                    <w:tl2br w:val="nil"/>
                    <w:tr2bl w:val="nil"/>
                  </w:tcBorders>
                  <w:noWrap w:val="0"/>
                  <w:vAlign w:val="center"/>
                </w:tcPr>
                <w:p w14:paraId="3782A1B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生态</w:t>
                  </w:r>
                </w:p>
              </w:tc>
              <w:tc>
                <w:tcPr>
                  <w:tcW w:w="1097" w:type="pct"/>
                  <w:tcBorders>
                    <w:tl2br w:val="nil"/>
                    <w:tr2bl w:val="nil"/>
                  </w:tcBorders>
                  <w:noWrap w:val="0"/>
                  <w:vAlign w:val="center"/>
                </w:tcPr>
                <w:p w14:paraId="2272CBA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绿化</w:t>
                  </w:r>
                </w:p>
              </w:tc>
              <w:tc>
                <w:tcPr>
                  <w:tcW w:w="2773" w:type="pct"/>
                  <w:gridSpan w:val="2"/>
                  <w:tcBorders>
                    <w:tl2br w:val="nil"/>
                    <w:tr2bl w:val="nil"/>
                  </w:tcBorders>
                  <w:noWrap w:val="0"/>
                  <w:vAlign w:val="center"/>
                </w:tcPr>
                <w:p w14:paraId="473CF81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场内分区</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绿化面积230m</w:t>
                  </w:r>
                  <w:r>
                    <w:rPr>
                      <w:rFonts w:hint="default" w:ascii="Times New Roman" w:hAnsi="Times New Roman" w:eastAsia="新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，绿化率0.8%</w:t>
                  </w:r>
                </w:p>
              </w:tc>
            </w:tr>
          </w:tbl>
          <w:p w14:paraId="5C860450">
            <w:pPr>
              <w:keepNext w:val="0"/>
              <w:keepLines w:val="0"/>
              <w:pageBreakBefore w:val="0"/>
              <w:widowControl/>
              <w:kinsoku/>
              <w:wordWrap/>
              <w:overflowPunct/>
              <w:topLinePunct w:val="0"/>
              <w:bidi w:val="0"/>
              <w:rPr>
                <w:rFonts w:hint="default" w:ascii="Times New Roman" w:hAnsi="Times New Roman" w:eastAsia="新宋体" w:cs="Times New Roman"/>
                <w:b/>
                <w:bCs/>
                <w:color w:val="000000" w:themeColor="text1"/>
                <w:lang w:val="en-US" w:eastAsia="zh-CN"/>
                <w14:textFill>
                  <w14:solidFill>
                    <w14:schemeClr w14:val="tx1"/>
                  </w14:solidFill>
                </w14:textFill>
              </w:rPr>
            </w:pPr>
            <w:r>
              <w:rPr>
                <w:rFonts w:hint="default" w:ascii="Times New Roman" w:hAnsi="Times New Roman" w:eastAsia="新宋体" w:cs="Times New Roman"/>
                <w:b/>
                <w:bCs/>
                <w:color w:val="000000" w:themeColor="text1"/>
                <w:lang w:val="en-US" w:eastAsia="zh-CN"/>
                <w14:textFill>
                  <w14:solidFill>
                    <w14:schemeClr w14:val="tx1"/>
                  </w14:solidFill>
                </w14:textFill>
              </w:rPr>
              <w:t>2、产品方案</w:t>
            </w:r>
          </w:p>
          <w:p w14:paraId="199D9DC1">
            <w:pPr>
              <w:keepNext w:val="0"/>
              <w:keepLines w:val="0"/>
              <w:pageBreakBefore w:val="0"/>
              <w:widowControl/>
              <w:kinsoku/>
              <w:wordWrap/>
              <w:overflowPunct/>
              <w:topLinePunct w:val="0"/>
              <w:bidi w:val="0"/>
              <w:adjustRightInd/>
              <w:snapToGrid/>
              <w:spacing w:line="360" w:lineRule="auto"/>
              <w:ind w:left="0" w:leftChars="0" w:firstLine="480"/>
              <w:jc w:val="both"/>
              <w:textAlignment w:val="auto"/>
              <w:rPr>
                <w:rFonts w:hint="default" w:ascii="Times New Roman" w:hAnsi="Times New Roman" w:eastAsia="新宋体" w:cs="Times New Roman"/>
                <w:color w:val="000000" w:themeColor="text1"/>
                <w:lang w:val="en-US" w:eastAsia="zh-CN"/>
                <w14:textFill>
                  <w14:solidFill>
                    <w14:schemeClr w14:val="tx1"/>
                  </w14:solidFill>
                </w14:textFill>
              </w:rPr>
            </w:pPr>
            <w:r>
              <w:rPr>
                <w:rFonts w:hint="default" w:ascii="Times New Roman" w:hAnsi="Times New Roman" w:eastAsia="新宋体" w:cs="Times New Roman"/>
                <w:color w:val="000000" w:themeColor="text1"/>
                <w:lang w:val="en-US" w:eastAsia="zh-CN"/>
                <w14:textFill>
                  <w14:solidFill>
                    <w14:schemeClr w14:val="tx1"/>
                  </w14:solidFill>
                </w14:textFill>
              </w:rPr>
              <w:t>产品名称：水泥预制件（路缘石、彩砖、水泥柱、空心砖等）。</w:t>
            </w:r>
          </w:p>
          <w:p w14:paraId="19963AE8">
            <w:pPr>
              <w:pStyle w:val="84"/>
              <w:keepNext w:val="0"/>
              <w:keepLines w:val="0"/>
              <w:pageBreakBefore w:val="0"/>
              <w:widowControl/>
              <w:kinsoku/>
              <w:wordWrap/>
              <w:overflowPunct/>
              <w:topLinePunct w:val="0"/>
              <w:bidi w:val="0"/>
              <w:spacing w:before="36" w:line="220" w:lineRule="auto"/>
              <w:ind w:left="0" w:leftChars="0" w:firstLine="0" w:firstLineChars="0"/>
              <w:jc w:val="center"/>
              <w:rPr>
                <w:rFonts w:hint="default" w:ascii="Times New Roman" w:hAnsi="Times New Roman" w:eastAsia="新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新宋体" w:cs="Times New Roman"/>
                <w:b/>
                <w:bCs/>
                <w:color w:val="000000" w:themeColor="text1"/>
                <w:kern w:val="2"/>
                <w:sz w:val="21"/>
                <w:szCs w:val="21"/>
                <w:lang w:val="en-US" w:eastAsia="zh-CN" w:bidi="ar-SA"/>
                <w14:textFill>
                  <w14:solidFill>
                    <w14:schemeClr w14:val="tx1"/>
                  </w14:solidFill>
                </w14:textFill>
              </w:rPr>
              <w:t>表2-2预制件产品参数一览表</w:t>
            </w:r>
          </w:p>
          <w:tbl>
            <w:tblPr>
              <w:tblStyle w:val="83"/>
              <w:tblW w:w="4998"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392"/>
              <w:gridCol w:w="1630"/>
              <w:gridCol w:w="2177"/>
              <w:gridCol w:w="1323"/>
              <w:gridCol w:w="1926"/>
            </w:tblGrid>
            <w:tr w14:paraId="0FF52BB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334" w:hRule="atLeast"/>
                <w:jc w:val="center"/>
              </w:trPr>
              <w:tc>
                <w:tcPr>
                  <w:tcW w:w="1357" w:type="pct"/>
                  <w:gridSpan w:val="2"/>
                  <w:tcBorders>
                    <w:tl2br w:val="nil"/>
                    <w:tr2bl w:val="nil"/>
                  </w:tcBorders>
                  <w:vAlign w:val="center"/>
                </w:tcPr>
                <w:p w14:paraId="4B0B069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产品名称</w:t>
                  </w:r>
                </w:p>
              </w:tc>
              <w:tc>
                <w:tcPr>
                  <w:tcW w:w="1461" w:type="pct"/>
                  <w:tcBorders>
                    <w:tl2br w:val="nil"/>
                    <w:tr2bl w:val="nil"/>
                  </w:tcBorders>
                  <w:vAlign w:val="center"/>
                </w:tcPr>
                <w:p w14:paraId="564EAA3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规格</w:t>
                  </w:r>
                </w:p>
              </w:tc>
              <w:tc>
                <w:tcPr>
                  <w:tcW w:w="888" w:type="pct"/>
                  <w:tcBorders>
                    <w:tl2br w:val="nil"/>
                    <w:tr2bl w:val="nil"/>
                  </w:tcBorders>
                  <w:vAlign w:val="center"/>
                </w:tcPr>
                <w:p w14:paraId="0C017B7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产量</w:t>
                  </w:r>
                </w:p>
              </w:tc>
              <w:tc>
                <w:tcPr>
                  <w:tcW w:w="1292" w:type="pct"/>
                  <w:tcBorders>
                    <w:tl2br w:val="nil"/>
                    <w:tr2bl w:val="nil"/>
                  </w:tcBorders>
                  <w:vAlign w:val="center"/>
                </w:tcPr>
                <w:p w14:paraId="416232F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备注</w:t>
                  </w:r>
                </w:p>
              </w:tc>
            </w:tr>
            <w:tr w14:paraId="4BA25C9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2" w:hRule="atLeast"/>
                <w:jc w:val="center"/>
              </w:trPr>
              <w:tc>
                <w:tcPr>
                  <w:tcW w:w="263" w:type="pct"/>
                  <w:vMerge w:val="restart"/>
                  <w:tcBorders>
                    <w:tl2br w:val="nil"/>
                    <w:tr2bl w:val="nil"/>
                  </w:tcBorders>
                  <w:vAlign w:val="center"/>
                </w:tcPr>
                <w:p w14:paraId="6136BA7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水泥预制件</w:t>
                  </w:r>
                </w:p>
              </w:tc>
              <w:tc>
                <w:tcPr>
                  <w:tcW w:w="1094" w:type="pct"/>
                  <w:tcBorders>
                    <w:tl2br w:val="nil"/>
                    <w:tr2bl w:val="nil"/>
                  </w:tcBorders>
                  <w:vAlign w:val="center"/>
                </w:tcPr>
                <w:p w14:paraId="27F5A90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路沿石</w:t>
                  </w:r>
                </w:p>
              </w:tc>
              <w:tc>
                <w:tcPr>
                  <w:tcW w:w="1461" w:type="pct"/>
                  <w:tcBorders>
                    <w:tl2br w:val="nil"/>
                    <w:tr2bl w:val="nil"/>
                  </w:tcBorders>
                  <w:vAlign w:val="center"/>
                </w:tcPr>
                <w:p w14:paraId="024E437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100cm×30cm×12cm/块</w:t>
                  </w:r>
                </w:p>
              </w:tc>
              <w:tc>
                <w:tcPr>
                  <w:tcW w:w="888" w:type="pct"/>
                  <w:tcBorders>
                    <w:tl2br w:val="nil"/>
                    <w:tr2bl w:val="nil"/>
                  </w:tcBorders>
                  <w:vAlign w:val="center"/>
                </w:tcPr>
                <w:p w14:paraId="74FD986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20000</w:t>
                  </w:r>
                </w:p>
              </w:tc>
              <w:tc>
                <w:tcPr>
                  <w:tcW w:w="1292" w:type="pct"/>
                  <w:vMerge w:val="restart"/>
                  <w:tcBorders>
                    <w:tl2br w:val="nil"/>
                    <w:tr2bl w:val="nil"/>
                  </w:tcBorders>
                  <w:vAlign w:val="center"/>
                </w:tcPr>
                <w:p w14:paraId="4B5102E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尺寸规格需和客户商议决定，按照最大尺寸折合约15000t/a</w:t>
                  </w:r>
                </w:p>
              </w:tc>
            </w:tr>
            <w:tr w14:paraId="36F89C6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7" w:hRule="atLeast"/>
                <w:jc w:val="center"/>
              </w:trPr>
              <w:tc>
                <w:tcPr>
                  <w:tcW w:w="263" w:type="pct"/>
                  <w:vMerge w:val="continue"/>
                  <w:tcBorders>
                    <w:tl2br w:val="nil"/>
                    <w:tr2bl w:val="nil"/>
                  </w:tcBorders>
                  <w:vAlign w:val="center"/>
                </w:tcPr>
                <w:p w14:paraId="410CBE9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c>
                <w:tcPr>
                  <w:tcW w:w="1094" w:type="pct"/>
                  <w:tcBorders>
                    <w:tl2br w:val="nil"/>
                    <w:tr2bl w:val="nil"/>
                  </w:tcBorders>
                  <w:vAlign w:val="center"/>
                </w:tcPr>
                <w:p w14:paraId="6350DB1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彩砖</w:t>
                  </w:r>
                </w:p>
              </w:tc>
              <w:tc>
                <w:tcPr>
                  <w:tcW w:w="1461" w:type="pct"/>
                  <w:tcBorders>
                    <w:tl2br w:val="nil"/>
                    <w:tr2bl w:val="nil"/>
                  </w:tcBorders>
                  <w:vAlign w:val="center"/>
                </w:tcPr>
                <w:p w14:paraId="299FB98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块</w:t>
                  </w:r>
                </w:p>
              </w:tc>
              <w:tc>
                <w:tcPr>
                  <w:tcW w:w="888" w:type="pct"/>
                  <w:tcBorders>
                    <w:tl2br w:val="nil"/>
                    <w:tr2bl w:val="nil"/>
                  </w:tcBorders>
                  <w:vAlign w:val="center"/>
                </w:tcPr>
                <w:p w14:paraId="2E00AF2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20000</w:t>
                  </w:r>
                </w:p>
              </w:tc>
              <w:tc>
                <w:tcPr>
                  <w:tcW w:w="1292" w:type="pct"/>
                  <w:vMerge w:val="continue"/>
                  <w:tcBorders>
                    <w:tl2br w:val="nil"/>
                    <w:tr2bl w:val="nil"/>
                  </w:tcBorders>
                  <w:vAlign w:val="center"/>
                </w:tcPr>
                <w:p w14:paraId="4385BC4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r>
            <w:tr w14:paraId="02EBD72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6" w:hRule="atLeast"/>
                <w:jc w:val="center"/>
              </w:trPr>
              <w:tc>
                <w:tcPr>
                  <w:tcW w:w="263" w:type="pct"/>
                  <w:vMerge w:val="continue"/>
                  <w:tcBorders>
                    <w:tl2br w:val="nil"/>
                    <w:tr2bl w:val="nil"/>
                  </w:tcBorders>
                  <w:vAlign w:val="center"/>
                </w:tcPr>
                <w:p w14:paraId="7750A62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c>
                <w:tcPr>
                  <w:tcW w:w="1094" w:type="pct"/>
                  <w:tcBorders>
                    <w:tl2br w:val="nil"/>
                    <w:tr2bl w:val="nil"/>
                  </w:tcBorders>
                  <w:vAlign w:val="center"/>
                </w:tcPr>
                <w:p w14:paraId="15C6DAD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水泥柱</w:t>
                  </w:r>
                </w:p>
              </w:tc>
              <w:tc>
                <w:tcPr>
                  <w:tcW w:w="1461" w:type="pct"/>
                  <w:tcBorders>
                    <w:tl2br w:val="nil"/>
                    <w:tr2bl w:val="nil"/>
                  </w:tcBorders>
                  <w:vAlign w:val="center"/>
                </w:tcPr>
                <w:p w14:paraId="3C55464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块</w:t>
                  </w:r>
                </w:p>
              </w:tc>
              <w:tc>
                <w:tcPr>
                  <w:tcW w:w="888" w:type="pct"/>
                  <w:tcBorders>
                    <w:tl2br w:val="nil"/>
                    <w:tr2bl w:val="nil"/>
                  </w:tcBorders>
                  <w:vAlign w:val="center"/>
                </w:tcPr>
                <w:p w14:paraId="215F4F5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1000</w:t>
                  </w:r>
                </w:p>
              </w:tc>
              <w:tc>
                <w:tcPr>
                  <w:tcW w:w="1292" w:type="pct"/>
                  <w:vMerge w:val="continue"/>
                  <w:tcBorders>
                    <w:tl2br w:val="nil"/>
                    <w:tr2bl w:val="nil"/>
                  </w:tcBorders>
                  <w:vAlign w:val="center"/>
                </w:tcPr>
                <w:p w14:paraId="76C2BAA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r>
            <w:tr w14:paraId="1AE9EDC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6" w:hRule="atLeast"/>
                <w:jc w:val="center"/>
              </w:trPr>
              <w:tc>
                <w:tcPr>
                  <w:tcW w:w="263" w:type="pct"/>
                  <w:vMerge w:val="continue"/>
                  <w:tcBorders>
                    <w:tl2br w:val="nil"/>
                    <w:tr2bl w:val="nil"/>
                  </w:tcBorders>
                  <w:vAlign w:val="center"/>
                </w:tcPr>
                <w:p w14:paraId="4E6AE73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c>
                <w:tcPr>
                  <w:tcW w:w="1094" w:type="pct"/>
                  <w:tcBorders>
                    <w:tl2br w:val="nil"/>
                    <w:tr2bl w:val="nil"/>
                  </w:tcBorders>
                  <w:vAlign w:val="center"/>
                </w:tcPr>
                <w:p w14:paraId="3FAC652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空心板</w:t>
                  </w:r>
                </w:p>
              </w:tc>
              <w:tc>
                <w:tcPr>
                  <w:tcW w:w="1461" w:type="pct"/>
                  <w:tcBorders>
                    <w:tl2br w:val="nil"/>
                    <w:tr2bl w:val="nil"/>
                  </w:tcBorders>
                  <w:vAlign w:val="center"/>
                </w:tcPr>
                <w:p w14:paraId="27B60C9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块</w:t>
                  </w:r>
                </w:p>
              </w:tc>
              <w:tc>
                <w:tcPr>
                  <w:tcW w:w="888" w:type="pct"/>
                  <w:tcBorders>
                    <w:tl2br w:val="nil"/>
                    <w:tr2bl w:val="nil"/>
                  </w:tcBorders>
                  <w:vAlign w:val="center"/>
                </w:tcPr>
                <w:p w14:paraId="3542E801">
                  <w:pPr>
                    <w:keepNext w:val="0"/>
                    <w:keepLines w:val="0"/>
                    <w:pageBreakBefore w:val="0"/>
                    <w:widowControl/>
                    <w:tabs>
                      <w:tab w:val="left" w:pos="478"/>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70</w:t>
                  </w:r>
                </w:p>
              </w:tc>
              <w:tc>
                <w:tcPr>
                  <w:tcW w:w="1292" w:type="pct"/>
                  <w:vMerge w:val="continue"/>
                  <w:tcBorders>
                    <w:tl2br w:val="nil"/>
                    <w:tr2bl w:val="nil"/>
                  </w:tcBorders>
                  <w:vAlign w:val="center"/>
                </w:tcPr>
                <w:p w14:paraId="336FE01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r>
          </w:tbl>
          <w:p w14:paraId="2D96F481">
            <w:pPr>
              <w:keepNext w:val="0"/>
              <w:keepLines w:val="0"/>
              <w:pageBreakBefore w:val="0"/>
              <w:widowControl/>
              <w:kinsoku/>
              <w:wordWrap/>
              <w:overflowPunct/>
              <w:topLinePunct w:val="0"/>
              <w:autoSpaceDE w:val="0"/>
              <w:autoSpaceDN w:val="0"/>
              <w:bidi w:val="0"/>
              <w:adjustRightInd/>
              <w:snapToGrid/>
              <w:spacing w:before="0" w:beforeLines="50" w:line="360" w:lineRule="auto"/>
              <w:ind w:firstLine="482" w:firstLineChars="200"/>
              <w:jc w:val="both"/>
              <w:textAlignment w:val="auto"/>
              <w:rPr>
                <w:rFonts w:hint="default" w:ascii="Times New Roman" w:hAnsi="Times New Roman" w:eastAsia="新宋体" w:cs="Times New Roman"/>
                <w:b/>
                <w:bCs/>
                <w:color w:val="000000" w:themeColor="text1"/>
                <w:lang w:val="en-US" w:eastAsia="zh-CN"/>
                <w14:textFill>
                  <w14:solidFill>
                    <w14:schemeClr w14:val="tx1"/>
                  </w14:solidFill>
                </w14:textFill>
              </w:rPr>
            </w:pPr>
            <w:r>
              <w:rPr>
                <w:rFonts w:hint="default" w:ascii="Times New Roman" w:hAnsi="Times New Roman" w:eastAsia="新宋体" w:cs="Times New Roman"/>
                <w:b/>
                <w:bCs/>
                <w:color w:val="000000" w:themeColor="text1"/>
                <w:lang w:val="en-US" w:eastAsia="zh-CN"/>
                <w14:textFill>
                  <w14:solidFill>
                    <w14:schemeClr w14:val="tx1"/>
                  </w14:solidFill>
                </w14:textFill>
              </w:rPr>
              <w:t>3</w:t>
            </w:r>
            <w:r>
              <w:rPr>
                <w:rFonts w:hint="default" w:ascii="Times New Roman" w:hAnsi="Times New Roman" w:eastAsia="新宋体" w:cs="Times New Roman"/>
                <w:b/>
                <w:bCs/>
                <w:color w:val="000000" w:themeColor="text1"/>
                <w14:textFill>
                  <w14:solidFill>
                    <w14:schemeClr w14:val="tx1"/>
                  </w14:solidFill>
                </w14:textFill>
              </w:rPr>
              <w:t>、</w:t>
            </w:r>
            <w:r>
              <w:rPr>
                <w:rFonts w:hint="default" w:ascii="Times New Roman" w:hAnsi="Times New Roman" w:eastAsia="新宋体" w:cs="Times New Roman"/>
                <w:b/>
                <w:bCs/>
                <w:color w:val="000000" w:themeColor="text1"/>
                <w:lang w:val="en-US" w:eastAsia="zh-CN"/>
                <w14:textFill>
                  <w14:solidFill>
                    <w14:schemeClr w14:val="tx1"/>
                  </w14:solidFill>
                </w14:textFill>
              </w:rPr>
              <w:t>原辅料消耗情况</w:t>
            </w:r>
          </w:p>
          <w:p w14:paraId="2EE29EFD">
            <w:pPr>
              <w:pStyle w:val="84"/>
              <w:keepNext w:val="0"/>
              <w:keepLines w:val="0"/>
              <w:pageBreakBefore w:val="0"/>
              <w:widowControl/>
              <w:kinsoku/>
              <w:wordWrap/>
              <w:overflowPunct/>
              <w:topLinePunct w:val="0"/>
              <w:autoSpaceDE/>
              <w:autoSpaceDN/>
              <w:bidi w:val="0"/>
              <w:adjustRightInd/>
              <w:snapToGrid/>
              <w:spacing w:before="36" w:line="360" w:lineRule="auto"/>
              <w:ind w:left="0" w:leftChars="0" w:firstLine="480" w:firstLineChars="200"/>
              <w:jc w:val="both"/>
              <w:textAlignment w:val="auto"/>
              <w:rPr>
                <w:rFonts w:hint="default" w:ascii="Times New Roman" w:hAnsi="Times New Roman" w:eastAsia="新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新宋体" w:cs="Times New Roman"/>
                <w:color w:val="000000" w:themeColor="text1"/>
                <w:kern w:val="2"/>
                <w:sz w:val="24"/>
                <w:szCs w:val="24"/>
                <w:lang w:val="en-US" w:eastAsia="zh-CN" w:bidi="ar-SA"/>
                <w14:textFill>
                  <w14:solidFill>
                    <w14:schemeClr w14:val="tx1"/>
                  </w14:solidFill>
                </w14:textFill>
              </w:rPr>
              <w:t>根据建设项目设计资料，各类水泥预制件原辅料消耗如下：</w:t>
            </w:r>
          </w:p>
          <w:p w14:paraId="43A07EB6">
            <w:pPr>
              <w:pStyle w:val="84"/>
              <w:keepNext w:val="0"/>
              <w:keepLines w:val="0"/>
              <w:pageBreakBefore w:val="0"/>
              <w:widowControl/>
              <w:kinsoku/>
              <w:wordWrap/>
              <w:overflowPunct/>
              <w:topLinePunct w:val="0"/>
              <w:bidi w:val="0"/>
              <w:spacing w:before="36" w:line="220" w:lineRule="auto"/>
              <w:ind w:left="0" w:leftChars="0" w:firstLine="0" w:firstLineChars="0"/>
              <w:jc w:val="center"/>
              <w:rPr>
                <w:rFonts w:hint="default" w:ascii="Times New Roman" w:hAnsi="Times New Roman" w:eastAsia="新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新宋体" w:cs="Times New Roman"/>
                <w:b/>
                <w:bCs/>
                <w:color w:val="000000" w:themeColor="text1"/>
                <w:kern w:val="2"/>
                <w:sz w:val="21"/>
                <w:szCs w:val="21"/>
                <w:lang w:val="en-US" w:eastAsia="zh-CN" w:bidi="ar-SA"/>
                <w14:textFill>
                  <w14:solidFill>
                    <w14:schemeClr w14:val="tx1"/>
                  </w14:solidFill>
                </w14:textFill>
              </w:rPr>
              <w:t>表2-3主要原辅材料年消耗量表</w:t>
            </w:r>
          </w:p>
          <w:tbl>
            <w:tblPr>
              <w:tblStyle w:val="83"/>
              <w:tblW w:w="4998"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417"/>
              <w:gridCol w:w="1192"/>
              <w:gridCol w:w="1116"/>
              <w:gridCol w:w="657"/>
              <w:gridCol w:w="1397"/>
              <w:gridCol w:w="2669"/>
            </w:tblGrid>
            <w:tr w14:paraId="5E8B961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88" w:hRule="atLeast"/>
                <w:jc w:val="center"/>
              </w:trPr>
              <w:tc>
                <w:tcPr>
                  <w:tcW w:w="280" w:type="pct"/>
                  <w:tcBorders>
                    <w:tl2br w:val="nil"/>
                    <w:tr2bl w:val="nil"/>
                  </w:tcBorders>
                  <w:vAlign w:val="center"/>
                </w:tcPr>
                <w:p w14:paraId="33A2A92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序号</w:t>
                  </w:r>
                </w:p>
              </w:tc>
              <w:tc>
                <w:tcPr>
                  <w:tcW w:w="800" w:type="pct"/>
                  <w:tcBorders>
                    <w:tl2br w:val="nil"/>
                    <w:tr2bl w:val="nil"/>
                  </w:tcBorders>
                  <w:vAlign w:val="center"/>
                </w:tcPr>
                <w:p w14:paraId="169DC07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原辅料名称</w:t>
                  </w:r>
                </w:p>
              </w:tc>
              <w:tc>
                <w:tcPr>
                  <w:tcW w:w="749" w:type="pct"/>
                  <w:tcBorders>
                    <w:tl2br w:val="nil"/>
                    <w:tr2bl w:val="nil"/>
                  </w:tcBorders>
                  <w:vAlign w:val="center"/>
                </w:tcPr>
                <w:p w14:paraId="6F6BC1B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消耗量</w:t>
                  </w:r>
                </w:p>
              </w:tc>
              <w:tc>
                <w:tcPr>
                  <w:tcW w:w="441" w:type="pct"/>
                  <w:tcBorders>
                    <w:tl2br w:val="nil"/>
                    <w:tr2bl w:val="nil"/>
                  </w:tcBorders>
                  <w:vAlign w:val="center"/>
                </w:tcPr>
                <w:p w14:paraId="14D634A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单位</w:t>
                  </w:r>
                </w:p>
              </w:tc>
              <w:tc>
                <w:tcPr>
                  <w:tcW w:w="938" w:type="pct"/>
                  <w:tcBorders>
                    <w:tl2br w:val="nil"/>
                    <w:tr2bl w:val="nil"/>
                  </w:tcBorders>
                  <w:vAlign w:val="center"/>
                </w:tcPr>
                <w:p w14:paraId="7D1F7FE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贮存方式</w:t>
                  </w:r>
                </w:p>
              </w:tc>
              <w:tc>
                <w:tcPr>
                  <w:tcW w:w="1791" w:type="pct"/>
                  <w:tcBorders>
                    <w:tl2br w:val="nil"/>
                    <w:tr2bl w:val="nil"/>
                  </w:tcBorders>
                  <w:vAlign w:val="center"/>
                </w:tcPr>
                <w:p w14:paraId="239F7C8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来源</w:t>
                  </w:r>
                </w:p>
              </w:tc>
            </w:tr>
            <w:tr w14:paraId="4A7920E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280" w:type="pct"/>
                  <w:tcBorders>
                    <w:tl2br w:val="nil"/>
                    <w:tr2bl w:val="nil"/>
                  </w:tcBorders>
                  <w:vAlign w:val="center"/>
                </w:tcPr>
                <w:p w14:paraId="05443F6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1</w:t>
                  </w:r>
                </w:p>
              </w:tc>
              <w:tc>
                <w:tcPr>
                  <w:tcW w:w="800" w:type="pct"/>
                  <w:tcBorders>
                    <w:tl2br w:val="nil"/>
                    <w:tr2bl w:val="nil"/>
                  </w:tcBorders>
                  <w:vAlign w:val="center"/>
                </w:tcPr>
                <w:p w14:paraId="1C9A7BE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沙子</w:t>
                  </w:r>
                </w:p>
              </w:tc>
              <w:tc>
                <w:tcPr>
                  <w:tcW w:w="749" w:type="pct"/>
                  <w:tcBorders>
                    <w:tl2br w:val="nil"/>
                    <w:tr2bl w:val="nil"/>
                  </w:tcBorders>
                  <w:vAlign w:val="center"/>
                </w:tcPr>
                <w:p w14:paraId="66B7C7F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8000</w:t>
                  </w:r>
                </w:p>
              </w:tc>
              <w:tc>
                <w:tcPr>
                  <w:tcW w:w="441" w:type="pct"/>
                  <w:tcBorders>
                    <w:tl2br w:val="nil"/>
                    <w:tr2bl w:val="nil"/>
                  </w:tcBorders>
                  <w:vAlign w:val="center"/>
                </w:tcPr>
                <w:p w14:paraId="168D077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t/a</w:t>
                  </w:r>
                </w:p>
              </w:tc>
              <w:tc>
                <w:tcPr>
                  <w:tcW w:w="938" w:type="pct"/>
                  <w:tcBorders>
                    <w:tl2br w:val="nil"/>
                    <w:tr2bl w:val="nil"/>
                  </w:tcBorders>
                  <w:vAlign w:val="center"/>
                </w:tcPr>
                <w:p w14:paraId="33F6373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全封闭堆场</w:t>
                  </w:r>
                </w:p>
              </w:tc>
              <w:tc>
                <w:tcPr>
                  <w:tcW w:w="1791" w:type="pct"/>
                  <w:tcBorders>
                    <w:tl2br w:val="nil"/>
                    <w:tr2bl w:val="nil"/>
                  </w:tcBorders>
                  <w:vAlign w:val="center"/>
                </w:tcPr>
                <w:p w14:paraId="456FDB9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库尔勒市外购</w:t>
                  </w:r>
                </w:p>
              </w:tc>
            </w:tr>
            <w:tr w14:paraId="6556118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280" w:type="pct"/>
                  <w:tcBorders>
                    <w:tl2br w:val="nil"/>
                    <w:tr2bl w:val="nil"/>
                  </w:tcBorders>
                  <w:vAlign w:val="center"/>
                </w:tcPr>
                <w:p w14:paraId="746183B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2</w:t>
                  </w:r>
                </w:p>
              </w:tc>
              <w:tc>
                <w:tcPr>
                  <w:tcW w:w="800" w:type="pct"/>
                  <w:tcBorders>
                    <w:tl2br w:val="nil"/>
                    <w:tr2bl w:val="nil"/>
                  </w:tcBorders>
                  <w:vAlign w:val="center"/>
                </w:tcPr>
                <w:p w14:paraId="5E0D075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石子</w:t>
                  </w:r>
                </w:p>
              </w:tc>
              <w:tc>
                <w:tcPr>
                  <w:tcW w:w="749" w:type="pct"/>
                  <w:tcBorders>
                    <w:tl2br w:val="nil"/>
                    <w:tr2bl w:val="nil"/>
                  </w:tcBorders>
                  <w:vAlign w:val="center"/>
                </w:tcPr>
                <w:p w14:paraId="3A75848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4800</w:t>
                  </w:r>
                </w:p>
              </w:tc>
              <w:tc>
                <w:tcPr>
                  <w:tcW w:w="441" w:type="pct"/>
                  <w:tcBorders>
                    <w:tl2br w:val="nil"/>
                    <w:tr2bl w:val="nil"/>
                  </w:tcBorders>
                  <w:vAlign w:val="center"/>
                </w:tcPr>
                <w:p w14:paraId="6CFE5B7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t/a</w:t>
                  </w:r>
                </w:p>
              </w:tc>
              <w:tc>
                <w:tcPr>
                  <w:tcW w:w="938" w:type="pct"/>
                  <w:tcBorders>
                    <w:tl2br w:val="nil"/>
                    <w:tr2bl w:val="nil"/>
                  </w:tcBorders>
                  <w:vAlign w:val="center"/>
                </w:tcPr>
                <w:p w14:paraId="38DB3C0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露天堆场</w:t>
                  </w:r>
                </w:p>
              </w:tc>
              <w:tc>
                <w:tcPr>
                  <w:tcW w:w="1791" w:type="pct"/>
                  <w:tcBorders>
                    <w:tl2br w:val="nil"/>
                    <w:tr2bl w:val="nil"/>
                  </w:tcBorders>
                  <w:vAlign w:val="center"/>
                </w:tcPr>
                <w:p w14:paraId="1153958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和硕县砂石料厂外购</w:t>
                  </w:r>
                </w:p>
              </w:tc>
            </w:tr>
            <w:tr w14:paraId="0DEDE91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280" w:type="pct"/>
                  <w:tcBorders>
                    <w:tl2br w:val="nil"/>
                    <w:tr2bl w:val="nil"/>
                  </w:tcBorders>
                  <w:vAlign w:val="center"/>
                </w:tcPr>
                <w:p w14:paraId="137E43C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3</w:t>
                  </w:r>
                </w:p>
              </w:tc>
              <w:tc>
                <w:tcPr>
                  <w:tcW w:w="800" w:type="pct"/>
                  <w:tcBorders>
                    <w:tl2br w:val="nil"/>
                    <w:tr2bl w:val="nil"/>
                  </w:tcBorders>
                  <w:vAlign w:val="center"/>
                </w:tcPr>
                <w:p w14:paraId="0A68A1F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水泥</w:t>
                  </w:r>
                </w:p>
              </w:tc>
              <w:tc>
                <w:tcPr>
                  <w:tcW w:w="749" w:type="pct"/>
                  <w:tcBorders>
                    <w:tl2br w:val="nil"/>
                    <w:tr2bl w:val="nil"/>
                  </w:tcBorders>
                  <w:vAlign w:val="center"/>
                </w:tcPr>
                <w:p w14:paraId="5B0C8C7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2000</w:t>
                  </w:r>
                </w:p>
              </w:tc>
              <w:tc>
                <w:tcPr>
                  <w:tcW w:w="441" w:type="pct"/>
                  <w:tcBorders>
                    <w:tl2br w:val="nil"/>
                    <w:tr2bl w:val="nil"/>
                  </w:tcBorders>
                  <w:vAlign w:val="center"/>
                </w:tcPr>
                <w:p w14:paraId="0EC8411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t/a</w:t>
                  </w:r>
                </w:p>
              </w:tc>
              <w:tc>
                <w:tcPr>
                  <w:tcW w:w="938" w:type="pct"/>
                  <w:tcBorders>
                    <w:tl2br w:val="nil"/>
                    <w:tr2bl w:val="nil"/>
                  </w:tcBorders>
                  <w:vAlign w:val="center"/>
                </w:tcPr>
                <w:p w14:paraId="2A05825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全封闭堆场</w:t>
                  </w:r>
                </w:p>
              </w:tc>
              <w:tc>
                <w:tcPr>
                  <w:tcW w:w="1791" w:type="pct"/>
                  <w:tcBorders>
                    <w:tl2br w:val="nil"/>
                    <w:tr2bl w:val="nil"/>
                  </w:tcBorders>
                  <w:vAlign w:val="center"/>
                </w:tcPr>
                <w:p w14:paraId="3584C57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和硕县外购，通用硅酸盐水泥R0007</w:t>
                  </w:r>
                </w:p>
              </w:tc>
            </w:tr>
            <w:tr w14:paraId="23284D6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280" w:type="pct"/>
                  <w:tcBorders>
                    <w:tl2br w:val="nil"/>
                    <w:tr2bl w:val="nil"/>
                  </w:tcBorders>
                  <w:vAlign w:val="center"/>
                </w:tcPr>
                <w:p w14:paraId="25F526A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4</w:t>
                  </w:r>
                </w:p>
              </w:tc>
              <w:tc>
                <w:tcPr>
                  <w:tcW w:w="800" w:type="pct"/>
                  <w:tcBorders>
                    <w:tl2br w:val="nil"/>
                    <w:tr2bl w:val="nil"/>
                  </w:tcBorders>
                  <w:vAlign w:val="center"/>
                </w:tcPr>
                <w:p w14:paraId="2A41E9B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氧化铁颜料</w:t>
                  </w:r>
                </w:p>
              </w:tc>
              <w:tc>
                <w:tcPr>
                  <w:tcW w:w="749" w:type="pct"/>
                  <w:tcBorders>
                    <w:tl2br w:val="nil"/>
                    <w:tr2bl w:val="nil"/>
                  </w:tcBorders>
                  <w:vAlign w:val="center"/>
                </w:tcPr>
                <w:p w14:paraId="0BA0F88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200</w:t>
                  </w:r>
                </w:p>
              </w:tc>
              <w:tc>
                <w:tcPr>
                  <w:tcW w:w="441" w:type="pct"/>
                  <w:tcBorders>
                    <w:tl2br w:val="nil"/>
                    <w:tr2bl w:val="nil"/>
                  </w:tcBorders>
                  <w:vAlign w:val="center"/>
                </w:tcPr>
                <w:p w14:paraId="47CF2F3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t/a</w:t>
                  </w:r>
                </w:p>
              </w:tc>
              <w:tc>
                <w:tcPr>
                  <w:tcW w:w="938" w:type="pct"/>
                  <w:tcBorders>
                    <w:tl2br w:val="nil"/>
                    <w:tr2bl w:val="nil"/>
                  </w:tcBorders>
                  <w:vAlign w:val="center"/>
                </w:tcPr>
                <w:p w14:paraId="2FA7CC6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全封闭堆场</w:t>
                  </w:r>
                </w:p>
              </w:tc>
              <w:tc>
                <w:tcPr>
                  <w:tcW w:w="1791" w:type="pct"/>
                  <w:tcBorders>
                    <w:tl2br w:val="nil"/>
                    <w:tr2bl w:val="nil"/>
                  </w:tcBorders>
                  <w:vAlign w:val="center"/>
                </w:tcPr>
                <w:p w14:paraId="61542BB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外购</w:t>
                  </w:r>
                </w:p>
              </w:tc>
            </w:tr>
            <w:tr w14:paraId="07922F4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49" w:hRule="atLeast"/>
                <w:jc w:val="center"/>
              </w:trPr>
              <w:tc>
                <w:tcPr>
                  <w:tcW w:w="280" w:type="pct"/>
                  <w:tcBorders>
                    <w:tl2br w:val="nil"/>
                    <w:tr2bl w:val="nil"/>
                  </w:tcBorders>
                  <w:vAlign w:val="center"/>
                </w:tcPr>
                <w:p w14:paraId="010FC7F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5</w:t>
                  </w:r>
                </w:p>
              </w:tc>
              <w:tc>
                <w:tcPr>
                  <w:tcW w:w="800" w:type="pct"/>
                  <w:tcBorders>
                    <w:tl2br w:val="nil"/>
                    <w:tr2bl w:val="nil"/>
                  </w:tcBorders>
                  <w:vAlign w:val="center"/>
                </w:tcPr>
                <w:p w14:paraId="50565A7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钢筋</w:t>
                  </w:r>
                </w:p>
              </w:tc>
              <w:tc>
                <w:tcPr>
                  <w:tcW w:w="749" w:type="pct"/>
                  <w:tcBorders>
                    <w:tl2br w:val="nil"/>
                    <w:tr2bl w:val="nil"/>
                  </w:tcBorders>
                  <w:vAlign w:val="center"/>
                </w:tcPr>
                <w:p w14:paraId="342DE30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20</w:t>
                  </w:r>
                </w:p>
              </w:tc>
              <w:tc>
                <w:tcPr>
                  <w:tcW w:w="441" w:type="pct"/>
                  <w:tcBorders>
                    <w:tl2br w:val="nil"/>
                    <w:tr2bl w:val="nil"/>
                  </w:tcBorders>
                  <w:vAlign w:val="center"/>
                </w:tcPr>
                <w:p w14:paraId="20EDCBE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t/a</w:t>
                  </w:r>
                </w:p>
              </w:tc>
              <w:tc>
                <w:tcPr>
                  <w:tcW w:w="938" w:type="pct"/>
                  <w:tcBorders>
                    <w:tl2br w:val="nil"/>
                    <w:tr2bl w:val="nil"/>
                  </w:tcBorders>
                  <w:vAlign w:val="center"/>
                </w:tcPr>
                <w:p w14:paraId="216D0ED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空心板、水泥柱养护区</w:t>
                  </w:r>
                </w:p>
              </w:tc>
              <w:tc>
                <w:tcPr>
                  <w:tcW w:w="1791" w:type="pct"/>
                  <w:tcBorders>
                    <w:tl2br w:val="nil"/>
                    <w:tr2bl w:val="nil"/>
                  </w:tcBorders>
                  <w:vAlign w:val="center"/>
                </w:tcPr>
                <w:p w14:paraId="7AB8E99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和硕县外购</w:t>
                  </w:r>
                </w:p>
              </w:tc>
            </w:tr>
            <w:tr w14:paraId="65EE817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49" w:hRule="atLeast"/>
                <w:jc w:val="center"/>
              </w:trPr>
              <w:tc>
                <w:tcPr>
                  <w:tcW w:w="280" w:type="pct"/>
                  <w:tcBorders>
                    <w:tl2br w:val="nil"/>
                    <w:tr2bl w:val="nil"/>
                  </w:tcBorders>
                  <w:vAlign w:val="center"/>
                </w:tcPr>
                <w:p w14:paraId="3875622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6</w:t>
                  </w:r>
                </w:p>
              </w:tc>
              <w:tc>
                <w:tcPr>
                  <w:tcW w:w="800" w:type="pct"/>
                  <w:tcBorders>
                    <w:tl2br w:val="nil"/>
                    <w:tr2bl w:val="nil"/>
                  </w:tcBorders>
                  <w:vAlign w:val="center"/>
                </w:tcPr>
                <w:p w14:paraId="5BF940B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脱模剂</w:t>
                  </w:r>
                </w:p>
              </w:tc>
              <w:tc>
                <w:tcPr>
                  <w:tcW w:w="749" w:type="pct"/>
                  <w:tcBorders>
                    <w:tl2br w:val="nil"/>
                    <w:tr2bl w:val="nil"/>
                  </w:tcBorders>
                  <w:vAlign w:val="center"/>
                </w:tcPr>
                <w:p w14:paraId="4D7CBCE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32</w:t>
                  </w:r>
                </w:p>
              </w:tc>
              <w:tc>
                <w:tcPr>
                  <w:tcW w:w="441" w:type="pct"/>
                  <w:tcBorders>
                    <w:tl2br w:val="nil"/>
                    <w:tr2bl w:val="nil"/>
                  </w:tcBorders>
                  <w:vAlign w:val="center"/>
                </w:tcPr>
                <w:p w14:paraId="305330D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t/a</w:t>
                  </w:r>
                </w:p>
              </w:tc>
              <w:tc>
                <w:tcPr>
                  <w:tcW w:w="938" w:type="pct"/>
                  <w:tcBorders>
                    <w:tl2br w:val="nil"/>
                    <w:tr2bl w:val="nil"/>
                  </w:tcBorders>
                  <w:vAlign w:val="center"/>
                </w:tcPr>
                <w:p w14:paraId="1696AEE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全封闭堆场</w:t>
                  </w:r>
                </w:p>
              </w:tc>
              <w:tc>
                <w:tcPr>
                  <w:tcW w:w="1791" w:type="pct"/>
                  <w:tcBorders>
                    <w:tl2br w:val="nil"/>
                    <w:tr2bl w:val="nil"/>
                  </w:tcBorders>
                  <w:vAlign w:val="center"/>
                </w:tcPr>
                <w:p w14:paraId="5E7B8ED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和硕县外购</w:t>
                  </w:r>
                </w:p>
              </w:tc>
            </w:tr>
            <w:tr w14:paraId="4FF1D93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6" w:hRule="atLeast"/>
                <w:jc w:val="center"/>
              </w:trPr>
              <w:tc>
                <w:tcPr>
                  <w:tcW w:w="280" w:type="pct"/>
                  <w:tcBorders>
                    <w:tl2br w:val="nil"/>
                    <w:tr2bl w:val="nil"/>
                  </w:tcBorders>
                  <w:vAlign w:val="center"/>
                </w:tcPr>
                <w:p w14:paraId="1A70B7C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7</w:t>
                  </w:r>
                </w:p>
              </w:tc>
              <w:tc>
                <w:tcPr>
                  <w:tcW w:w="800" w:type="pct"/>
                  <w:tcBorders>
                    <w:tl2br w:val="nil"/>
                    <w:tr2bl w:val="nil"/>
                  </w:tcBorders>
                  <w:vAlign w:val="center"/>
                </w:tcPr>
                <w:p w14:paraId="50F0639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模具</w:t>
                  </w:r>
                </w:p>
              </w:tc>
              <w:tc>
                <w:tcPr>
                  <w:tcW w:w="749" w:type="pct"/>
                  <w:tcBorders>
                    <w:tl2br w:val="nil"/>
                    <w:tr2bl w:val="nil"/>
                  </w:tcBorders>
                  <w:vAlign w:val="center"/>
                </w:tcPr>
                <w:p w14:paraId="20F13A1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4</w:t>
                  </w:r>
                </w:p>
              </w:tc>
              <w:tc>
                <w:tcPr>
                  <w:tcW w:w="441" w:type="pct"/>
                  <w:tcBorders>
                    <w:tl2br w:val="nil"/>
                    <w:tr2bl w:val="nil"/>
                  </w:tcBorders>
                  <w:vAlign w:val="center"/>
                </w:tcPr>
                <w:p w14:paraId="7E37CAC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t>类</w:t>
                  </w:r>
                </w:p>
              </w:tc>
              <w:tc>
                <w:tcPr>
                  <w:tcW w:w="938" w:type="pct"/>
                  <w:tcBorders>
                    <w:tl2br w:val="nil"/>
                    <w:tr2bl w:val="nil"/>
                  </w:tcBorders>
                  <w:vAlign w:val="center"/>
                </w:tcPr>
                <w:p w14:paraId="28E0B1D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成品养护区</w:t>
                  </w:r>
                </w:p>
              </w:tc>
              <w:tc>
                <w:tcPr>
                  <w:tcW w:w="1791" w:type="pct"/>
                  <w:tcBorders>
                    <w:tl2br w:val="nil"/>
                    <w:tr2bl w:val="nil"/>
                  </w:tcBorders>
                  <w:vAlign w:val="center"/>
                </w:tcPr>
                <w:p w14:paraId="213343A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外购、根据客户需求尺寸</w:t>
                  </w:r>
                  <w:r>
                    <w:rPr>
                      <w:rFonts w:hint="eastAsia" w:eastAsia="新宋体" w:cs="Times New Roman"/>
                      <w:color w:val="000000" w:themeColor="text1"/>
                      <w:sz w:val="21"/>
                      <w:szCs w:val="21"/>
                      <w:lang w:val="en-US" w:eastAsia="zh-CN"/>
                      <w14:textFill>
                        <w14:solidFill>
                          <w14:schemeClr w14:val="tx1"/>
                        </w14:solidFill>
                      </w14:textFill>
                    </w:rPr>
                    <w:t>定做</w:t>
                  </w:r>
                </w:p>
              </w:tc>
            </w:tr>
            <w:tr w14:paraId="5E0F242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6" w:hRule="atLeast"/>
                <w:jc w:val="center"/>
              </w:trPr>
              <w:tc>
                <w:tcPr>
                  <w:tcW w:w="280" w:type="pct"/>
                  <w:tcBorders>
                    <w:tl2br w:val="nil"/>
                    <w:tr2bl w:val="nil"/>
                  </w:tcBorders>
                  <w:vAlign w:val="center"/>
                </w:tcPr>
                <w:p w14:paraId="0A3B431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8</w:t>
                  </w:r>
                </w:p>
              </w:tc>
              <w:tc>
                <w:tcPr>
                  <w:tcW w:w="800" w:type="pct"/>
                  <w:tcBorders>
                    <w:tl2br w:val="nil"/>
                    <w:tr2bl w:val="nil"/>
                  </w:tcBorders>
                  <w:vAlign w:val="center"/>
                </w:tcPr>
                <w:p w14:paraId="6D5EB35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机油</w:t>
                  </w:r>
                </w:p>
              </w:tc>
              <w:tc>
                <w:tcPr>
                  <w:tcW w:w="749" w:type="pct"/>
                  <w:tcBorders>
                    <w:tl2br w:val="nil"/>
                    <w:tr2bl w:val="nil"/>
                  </w:tcBorders>
                  <w:vAlign w:val="center"/>
                </w:tcPr>
                <w:p w14:paraId="00EC7FD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1.0</w:t>
                  </w:r>
                </w:p>
              </w:tc>
              <w:tc>
                <w:tcPr>
                  <w:tcW w:w="441" w:type="pct"/>
                  <w:tcBorders>
                    <w:tl2br w:val="nil"/>
                    <w:tr2bl w:val="nil"/>
                  </w:tcBorders>
                  <w:vAlign w:val="center"/>
                </w:tcPr>
                <w:p w14:paraId="6865696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t/a</w:t>
                  </w:r>
                </w:p>
              </w:tc>
              <w:tc>
                <w:tcPr>
                  <w:tcW w:w="938" w:type="pct"/>
                  <w:tcBorders>
                    <w:tl2br w:val="nil"/>
                    <w:tr2bl w:val="nil"/>
                  </w:tcBorders>
                  <w:vAlign w:val="center"/>
                </w:tcPr>
                <w:p w14:paraId="28619EC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t>生产车间</w:t>
                  </w:r>
                </w:p>
              </w:tc>
              <w:tc>
                <w:tcPr>
                  <w:tcW w:w="1791" w:type="pct"/>
                  <w:tcBorders>
                    <w:tl2br w:val="nil"/>
                    <w:tr2bl w:val="nil"/>
                  </w:tcBorders>
                  <w:vAlign w:val="center"/>
                </w:tcPr>
                <w:p w14:paraId="19F1A6F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外购，100kg/桶，设备使用</w:t>
                  </w:r>
                </w:p>
              </w:tc>
            </w:tr>
            <w:tr w14:paraId="5C542A2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6" w:hRule="atLeast"/>
                <w:jc w:val="center"/>
              </w:trPr>
              <w:tc>
                <w:tcPr>
                  <w:tcW w:w="280" w:type="pct"/>
                  <w:vMerge w:val="restart"/>
                  <w:tcBorders>
                    <w:tl2br w:val="nil"/>
                    <w:tr2bl w:val="nil"/>
                  </w:tcBorders>
                  <w:vAlign w:val="center"/>
                </w:tcPr>
                <w:p w14:paraId="76319AC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能耗</w:t>
                  </w:r>
                </w:p>
              </w:tc>
              <w:tc>
                <w:tcPr>
                  <w:tcW w:w="800" w:type="pct"/>
                  <w:tcBorders>
                    <w:tl2br w:val="nil"/>
                    <w:tr2bl w:val="nil"/>
                  </w:tcBorders>
                  <w:vAlign w:val="center"/>
                </w:tcPr>
                <w:p w14:paraId="0EDFDB7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t>电</w:t>
                  </w:r>
                </w:p>
              </w:tc>
              <w:tc>
                <w:tcPr>
                  <w:tcW w:w="749" w:type="pct"/>
                  <w:tcBorders>
                    <w:tl2br w:val="nil"/>
                    <w:tr2bl w:val="nil"/>
                  </w:tcBorders>
                  <w:vAlign w:val="center"/>
                </w:tcPr>
                <w:p w14:paraId="264BAC8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t>2.0</w:t>
                  </w:r>
                </w:p>
              </w:tc>
              <w:tc>
                <w:tcPr>
                  <w:tcW w:w="441" w:type="pct"/>
                  <w:tcBorders>
                    <w:tl2br w:val="nil"/>
                    <w:tr2bl w:val="nil"/>
                  </w:tcBorders>
                  <w:vAlign w:val="center"/>
                </w:tcPr>
                <w:p w14:paraId="2509D7C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t>万K·wh/a</w:t>
                  </w:r>
                </w:p>
              </w:tc>
              <w:tc>
                <w:tcPr>
                  <w:tcW w:w="938" w:type="pct"/>
                  <w:tcBorders>
                    <w:tl2br w:val="nil"/>
                    <w:tr2bl w:val="nil"/>
                  </w:tcBorders>
                  <w:vAlign w:val="center"/>
                </w:tcPr>
                <w:p w14:paraId="111753B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t>/</w:t>
                  </w:r>
                </w:p>
              </w:tc>
              <w:tc>
                <w:tcPr>
                  <w:tcW w:w="1791" w:type="pct"/>
                  <w:tcBorders>
                    <w:tl2br w:val="nil"/>
                    <w:tr2bl w:val="nil"/>
                  </w:tcBorders>
                  <w:vAlign w:val="center"/>
                </w:tcPr>
                <w:p w14:paraId="4819289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t>/</w:t>
                  </w:r>
                </w:p>
              </w:tc>
            </w:tr>
            <w:tr w14:paraId="6340373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6" w:hRule="atLeast"/>
                <w:jc w:val="center"/>
              </w:trPr>
              <w:tc>
                <w:tcPr>
                  <w:tcW w:w="280" w:type="pct"/>
                  <w:vMerge w:val="continue"/>
                  <w:tcBorders>
                    <w:tl2br w:val="nil"/>
                    <w:tr2bl w:val="nil"/>
                  </w:tcBorders>
                  <w:vAlign w:val="center"/>
                </w:tcPr>
                <w:p w14:paraId="7770743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p>
              </w:tc>
              <w:tc>
                <w:tcPr>
                  <w:tcW w:w="800" w:type="pct"/>
                  <w:tcBorders>
                    <w:tl2br w:val="nil"/>
                    <w:tr2bl w:val="nil"/>
                  </w:tcBorders>
                  <w:vAlign w:val="center"/>
                </w:tcPr>
                <w:p w14:paraId="7E1A125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t>水</w:t>
                  </w:r>
                </w:p>
              </w:tc>
              <w:tc>
                <w:tcPr>
                  <w:tcW w:w="749" w:type="pct"/>
                  <w:tcBorders>
                    <w:tl2br w:val="nil"/>
                    <w:tr2bl w:val="nil"/>
                  </w:tcBorders>
                  <w:vAlign w:val="center"/>
                </w:tcPr>
                <w:p w14:paraId="39A7492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eastAsia" w:eastAsia="新宋体" w:cs="Times New Roman"/>
                      <w:color w:val="000000" w:themeColor="text1"/>
                      <w:kern w:val="2"/>
                      <w:sz w:val="21"/>
                      <w:szCs w:val="21"/>
                      <w:lang w:val="en-US" w:eastAsia="zh-CN" w:bidi="ar-SA"/>
                      <w14:textFill>
                        <w14:solidFill>
                          <w14:schemeClr w14:val="tx1"/>
                        </w14:solidFill>
                      </w14:textFill>
                    </w:rPr>
                    <w:t>5740.51</w:t>
                  </w:r>
                </w:p>
              </w:tc>
              <w:tc>
                <w:tcPr>
                  <w:tcW w:w="441" w:type="pct"/>
                  <w:tcBorders>
                    <w:tl2br w:val="nil"/>
                    <w:tr2bl w:val="nil"/>
                  </w:tcBorders>
                  <w:vAlign w:val="center"/>
                </w:tcPr>
                <w:p w14:paraId="539CE0B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t>m</w:t>
                  </w:r>
                  <w:r>
                    <w:rPr>
                      <w:rFonts w:hint="default" w:ascii="Times New Roman" w:hAnsi="Times New Roman" w:eastAsia="新宋体" w:cs="Times New Roman"/>
                      <w:color w:val="000000" w:themeColor="text1"/>
                      <w:kern w:val="2"/>
                      <w:sz w:val="21"/>
                      <w:szCs w:val="21"/>
                      <w:vertAlign w:val="superscript"/>
                      <w:lang w:val="en-US" w:eastAsia="zh-CN" w:bidi="ar-SA"/>
                      <w14:textFill>
                        <w14:solidFill>
                          <w14:schemeClr w14:val="tx1"/>
                        </w14:solidFill>
                      </w14:textFill>
                    </w:rPr>
                    <w:t>3</w:t>
                  </w:r>
                  <w:r>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t>/a</w:t>
                  </w:r>
                </w:p>
              </w:tc>
              <w:tc>
                <w:tcPr>
                  <w:tcW w:w="938" w:type="pct"/>
                  <w:tcBorders>
                    <w:tl2br w:val="nil"/>
                    <w:tr2bl w:val="nil"/>
                  </w:tcBorders>
                  <w:vAlign w:val="center"/>
                </w:tcPr>
                <w:p w14:paraId="10C6026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t>/</w:t>
                  </w:r>
                </w:p>
              </w:tc>
              <w:tc>
                <w:tcPr>
                  <w:tcW w:w="1791" w:type="pct"/>
                  <w:tcBorders>
                    <w:tl2br w:val="nil"/>
                    <w:tr2bl w:val="nil"/>
                  </w:tcBorders>
                  <w:vAlign w:val="center"/>
                </w:tcPr>
                <w:p w14:paraId="74DB012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t>和硕县供水管网</w:t>
                  </w:r>
                </w:p>
              </w:tc>
            </w:tr>
          </w:tbl>
          <w:p w14:paraId="1B819D2A">
            <w:pPr>
              <w:keepNext w:val="0"/>
              <w:keepLines w:val="0"/>
              <w:pageBreakBefore w:val="0"/>
              <w:widowControl/>
              <w:kinsoku/>
              <w:wordWrap/>
              <w:overflowPunct/>
              <w:topLinePunct w:val="0"/>
              <w:autoSpaceDE w:val="0"/>
              <w:autoSpaceDN w:val="0"/>
              <w:bidi w:val="0"/>
              <w:adjustRightInd/>
              <w:snapToGrid/>
              <w:spacing w:before="0" w:beforeLines="50" w:line="360" w:lineRule="auto"/>
              <w:ind w:firstLine="482" w:firstLineChars="200"/>
              <w:jc w:val="left"/>
              <w:textAlignment w:val="auto"/>
              <w:rPr>
                <w:rFonts w:hint="default" w:ascii="Times New Roman" w:hAnsi="Times New Roman" w:eastAsia="新宋体" w:cs="Times New Roman"/>
                <w:color w:val="000000" w:themeColor="text1"/>
                <w:lang w:val="en-US" w:eastAsia="zh-CN"/>
                <w14:textFill>
                  <w14:solidFill>
                    <w14:schemeClr w14:val="tx1"/>
                  </w14:solidFill>
                </w14:textFill>
              </w:rPr>
            </w:pPr>
            <w:r>
              <w:rPr>
                <w:rFonts w:hint="default" w:ascii="Times New Roman" w:hAnsi="Times New Roman" w:eastAsia="新宋体" w:cs="Times New Roman"/>
                <w:b/>
                <w:bCs/>
                <w:color w:val="000000" w:themeColor="text1"/>
                <w:lang w:val="en-US" w:eastAsia="zh-CN"/>
                <w14:textFill>
                  <w14:solidFill>
                    <w14:schemeClr w14:val="tx1"/>
                  </w14:solidFill>
                </w14:textFill>
              </w:rPr>
              <w:t>4、主要生产设备情况</w:t>
            </w:r>
          </w:p>
          <w:p w14:paraId="0612DF9C">
            <w:pPr>
              <w:keepNext w:val="0"/>
              <w:keepLines w:val="0"/>
              <w:pageBreakBefore w:val="0"/>
              <w:widowControl/>
              <w:suppressLineNumbers w:val="0"/>
              <w:kinsoku/>
              <w:wordWrap/>
              <w:overflowPunct/>
              <w:topLinePunct w:val="0"/>
              <w:bidi w:val="0"/>
              <w:jc w:val="left"/>
              <w:rPr>
                <w:rFonts w:hint="default" w:ascii="Times New Roman" w:hAnsi="Times New Roman" w:eastAsia="新宋体" w:cs="Times New Roman"/>
                <w:color w:val="000000" w:themeColor="text1"/>
                <w:lang w:val="en-US" w:eastAsia="zh-CN"/>
                <w14:textFill>
                  <w14:solidFill>
                    <w14:schemeClr w14:val="tx1"/>
                  </w14:solidFill>
                </w14:textFill>
              </w:rPr>
            </w:pPr>
            <w:r>
              <w:rPr>
                <w:rFonts w:hint="default" w:ascii="Times New Roman" w:hAnsi="Times New Roman" w:eastAsia="新宋体" w:cs="Times New Roman"/>
                <w:color w:val="000000"/>
                <w:kern w:val="0"/>
                <w:sz w:val="24"/>
                <w:szCs w:val="24"/>
                <w:lang w:val="en-US" w:eastAsia="zh-CN" w:bidi="ar"/>
              </w:rPr>
              <w:t>根据建设单位提供的资料及环评现场踏勘，本项目主要生产设备有：</w:t>
            </w:r>
          </w:p>
          <w:p w14:paraId="0638BE83">
            <w:pPr>
              <w:keepNext w:val="0"/>
              <w:keepLines w:val="0"/>
              <w:pageBreakBefore w:val="0"/>
              <w:widowControl/>
              <w:kinsoku/>
              <w:wordWrap/>
              <w:overflowPunct/>
              <w:topLinePunct w:val="0"/>
              <w:autoSpaceDE w:val="0"/>
              <w:autoSpaceDN w:val="0"/>
              <w:bidi w:val="0"/>
              <w:adjustRightInd/>
              <w:snapToGrid/>
              <w:spacing w:before="0" w:beforeLines="50" w:line="360" w:lineRule="auto"/>
              <w:ind w:firstLine="422" w:firstLineChars="200"/>
              <w:jc w:val="center"/>
              <w:textAlignment w:val="auto"/>
              <w:rPr>
                <w:rFonts w:hint="default" w:ascii="Times New Roman" w:hAnsi="Times New Roman" w:eastAsia="新宋体" w:cs="Times New Roman"/>
                <w:b/>
                <w:bCs/>
                <w:color w:val="000000" w:themeColor="text1"/>
                <w:sz w:val="24"/>
                <w:szCs w:val="24"/>
                <w:highlight w:val="none"/>
                <w:lang w:val="en-US"/>
                <w14:textFill>
                  <w14:solidFill>
                    <w14:schemeClr w14:val="tx1"/>
                  </w14:solidFill>
                </w14:textFill>
              </w:rPr>
            </w:pPr>
            <w:r>
              <w:rPr>
                <w:rFonts w:hint="default" w:ascii="Times New Roman" w:hAnsi="Times New Roman" w:eastAsia="新宋体" w:cs="Times New Roman"/>
                <w:b/>
                <w:bCs/>
                <w:color w:val="000000" w:themeColor="text1"/>
                <w:kern w:val="2"/>
                <w:sz w:val="21"/>
                <w:szCs w:val="21"/>
                <w:lang w:val="en-US" w:eastAsia="zh-CN" w:bidi="ar-SA"/>
                <w14:textFill>
                  <w14:solidFill>
                    <w14:schemeClr w14:val="tx1"/>
                  </w14:solidFill>
                </w14:textFill>
              </w:rPr>
              <w:t>表2-4主要生产设备</w:t>
            </w:r>
          </w:p>
          <w:tbl>
            <w:tblPr>
              <w:tblStyle w:val="2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1752"/>
              <w:gridCol w:w="726"/>
              <w:gridCol w:w="1023"/>
              <w:gridCol w:w="877"/>
              <w:gridCol w:w="2371"/>
            </w:tblGrid>
            <w:tr w14:paraId="40D768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Borders>
                    <w:tl2br w:val="nil"/>
                    <w:tr2bl w:val="nil"/>
                  </w:tcBorders>
                  <w:vAlign w:val="center"/>
                </w:tcPr>
                <w:p w14:paraId="362EF60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序号</w:t>
                  </w:r>
                </w:p>
              </w:tc>
              <w:tc>
                <w:tcPr>
                  <w:tcW w:w="2035" w:type="dxa"/>
                  <w:tcBorders>
                    <w:tl2br w:val="nil"/>
                    <w:tr2bl w:val="nil"/>
                  </w:tcBorders>
                  <w:vAlign w:val="center"/>
                </w:tcPr>
                <w:p w14:paraId="013F3A9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设备名称</w:t>
                  </w:r>
                </w:p>
              </w:tc>
              <w:tc>
                <w:tcPr>
                  <w:tcW w:w="790" w:type="dxa"/>
                  <w:tcBorders>
                    <w:tl2br w:val="nil"/>
                    <w:tr2bl w:val="nil"/>
                  </w:tcBorders>
                  <w:vAlign w:val="center"/>
                </w:tcPr>
                <w:p w14:paraId="64682FD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单位</w:t>
                  </w:r>
                </w:p>
              </w:tc>
              <w:tc>
                <w:tcPr>
                  <w:tcW w:w="1150" w:type="dxa"/>
                  <w:tcBorders>
                    <w:tl2br w:val="nil"/>
                    <w:tr2bl w:val="nil"/>
                  </w:tcBorders>
                  <w:vAlign w:val="center"/>
                </w:tcPr>
                <w:p w14:paraId="6021214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数量</w:t>
                  </w:r>
                </w:p>
              </w:tc>
              <w:tc>
                <w:tcPr>
                  <w:tcW w:w="913" w:type="dxa"/>
                  <w:tcBorders>
                    <w:tl2br w:val="nil"/>
                    <w:tr2bl w:val="nil"/>
                  </w:tcBorders>
                  <w:vAlign w:val="center"/>
                </w:tcPr>
                <w:p w14:paraId="6C49BDB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型号</w:t>
                  </w:r>
                </w:p>
              </w:tc>
              <w:tc>
                <w:tcPr>
                  <w:tcW w:w="2741" w:type="dxa"/>
                  <w:tcBorders>
                    <w:tl2br w:val="nil"/>
                    <w:tr2bl w:val="nil"/>
                  </w:tcBorders>
                  <w:vAlign w:val="center"/>
                </w:tcPr>
                <w:p w14:paraId="2211AAD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备注</w:t>
                  </w:r>
                </w:p>
              </w:tc>
            </w:tr>
            <w:tr w14:paraId="24DE10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Borders>
                    <w:tl2br w:val="nil"/>
                    <w:tr2bl w:val="nil"/>
                  </w:tcBorders>
                  <w:vAlign w:val="center"/>
                </w:tcPr>
                <w:p w14:paraId="090AA41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1</w:t>
                  </w:r>
                </w:p>
              </w:tc>
              <w:tc>
                <w:tcPr>
                  <w:tcW w:w="2035" w:type="dxa"/>
                  <w:tcBorders>
                    <w:tl2br w:val="nil"/>
                    <w:tr2bl w:val="nil"/>
                  </w:tcBorders>
                  <w:vAlign w:val="center"/>
                </w:tcPr>
                <w:p w14:paraId="7DB2542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配料机</w:t>
                  </w:r>
                </w:p>
              </w:tc>
              <w:tc>
                <w:tcPr>
                  <w:tcW w:w="790" w:type="dxa"/>
                  <w:tcBorders>
                    <w:tl2br w:val="nil"/>
                    <w:tr2bl w:val="nil"/>
                  </w:tcBorders>
                  <w:vAlign w:val="center"/>
                </w:tcPr>
                <w:p w14:paraId="2F2C3C3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台</w:t>
                  </w:r>
                </w:p>
              </w:tc>
              <w:tc>
                <w:tcPr>
                  <w:tcW w:w="1150" w:type="dxa"/>
                  <w:tcBorders>
                    <w:tl2br w:val="nil"/>
                    <w:tr2bl w:val="nil"/>
                  </w:tcBorders>
                  <w:vAlign w:val="center"/>
                </w:tcPr>
                <w:p w14:paraId="61A4A6F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2</w:t>
                  </w:r>
                </w:p>
              </w:tc>
              <w:tc>
                <w:tcPr>
                  <w:tcW w:w="913" w:type="dxa"/>
                  <w:tcBorders>
                    <w:tl2br w:val="nil"/>
                    <w:tr2bl w:val="nil"/>
                  </w:tcBorders>
                  <w:vAlign w:val="center"/>
                </w:tcPr>
                <w:p w14:paraId="09F6D28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10t//h</w:t>
                  </w:r>
                </w:p>
              </w:tc>
              <w:tc>
                <w:tcPr>
                  <w:tcW w:w="2741" w:type="dxa"/>
                  <w:tcBorders>
                    <w:tl2br w:val="nil"/>
                    <w:tr2bl w:val="nil"/>
                  </w:tcBorders>
                  <w:vAlign w:val="center"/>
                </w:tcPr>
                <w:p w14:paraId="21B3E86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人工进料，</w:t>
                  </w:r>
                  <w:bookmarkStart w:id="6" w:name="_GoBack"/>
                  <w:bookmarkEnd w:id="6"/>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全自动控制，自动称量配比</w:t>
                  </w:r>
                </w:p>
              </w:tc>
            </w:tr>
            <w:tr w14:paraId="1BADC0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Borders>
                    <w:tl2br w:val="nil"/>
                    <w:tr2bl w:val="nil"/>
                  </w:tcBorders>
                  <w:vAlign w:val="center"/>
                </w:tcPr>
                <w:p w14:paraId="5A1E99F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2</w:t>
                  </w:r>
                </w:p>
              </w:tc>
              <w:tc>
                <w:tcPr>
                  <w:tcW w:w="2035" w:type="dxa"/>
                  <w:tcBorders>
                    <w:tl2br w:val="nil"/>
                    <w:tr2bl w:val="nil"/>
                  </w:tcBorders>
                  <w:vAlign w:val="center"/>
                </w:tcPr>
                <w:p w14:paraId="325A851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多功能搅拌机</w:t>
                  </w:r>
                </w:p>
              </w:tc>
              <w:tc>
                <w:tcPr>
                  <w:tcW w:w="790" w:type="dxa"/>
                  <w:tcBorders>
                    <w:tl2br w:val="nil"/>
                    <w:tr2bl w:val="nil"/>
                  </w:tcBorders>
                  <w:vAlign w:val="center"/>
                </w:tcPr>
                <w:p w14:paraId="41B57D0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台</w:t>
                  </w:r>
                </w:p>
              </w:tc>
              <w:tc>
                <w:tcPr>
                  <w:tcW w:w="1150" w:type="dxa"/>
                  <w:tcBorders>
                    <w:tl2br w:val="nil"/>
                    <w:tr2bl w:val="nil"/>
                  </w:tcBorders>
                  <w:vAlign w:val="center"/>
                </w:tcPr>
                <w:p w14:paraId="3D34ECB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1</w:t>
                  </w:r>
                </w:p>
              </w:tc>
              <w:tc>
                <w:tcPr>
                  <w:tcW w:w="913" w:type="dxa"/>
                  <w:tcBorders>
                    <w:tl2br w:val="nil"/>
                    <w:tr2bl w:val="nil"/>
                  </w:tcBorders>
                  <w:vAlign w:val="center"/>
                </w:tcPr>
                <w:p w14:paraId="3A99E57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p>
              </w:tc>
              <w:tc>
                <w:tcPr>
                  <w:tcW w:w="2741" w:type="dxa"/>
                  <w:tcBorders>
                    <w:tl2br w:val="nil"/>
                    <w:tr2bl w:val="nil"/>
                  </w:tcBorders>
                  <w:vAlign w:val="center"/>
                </w:tcPr>
                <w:p w14:paraId="3F8872D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p>
              </w:tc>
            </w:tr>
            <w:tr w14:paraId="06CEBA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Borders>
                    <w:tl2br w:val="nil"/>
                    <w:tr2bl w:val="nil"/>
                  </w:tcBorders>
                  <w:vAlign w:val="center"/>
                </w:tcPr>
                <w:p w14:paraId="0AADDDF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3</w:t>
                  </w:r>
                </w:p>
              </w:tc>
              <w:tc>
                <w:tcPr>
                  <w:tcW w:w="2035" w:type="dxa"/>
                  <w:tcBorders>
                    <w:tl2br w:val="nil"/>
                    <w:tr2bl w:val="nil"/>
                  </w:tcBorders>
                  <w:vAlign w:val="center"/>
                </w:tcPr>
                <w:p w14:paraId="6962565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全自动砌块成型机</w:t>
                  </w:r>
                </w:p>
              </w:tc>
              <w:tc>
                <w:tcPr>
                  <w:tcW w:w="790" w:type="dxa"/>
                  <w:tcBorders>
                    <w:tl2br w:val="nil"/>
                    <w:tr2bl w:val="nil"/>
                  </w:tcBorders>
                  <w:vAlign w:val="center"/>
                </w:tcPr>
                <w:p w14:paraId="1E40894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台</w:t>
                  </w:r>
                </w:p>
              </w:tc>
              <w:tc>
                <w:tcPr>
                  <w:tcW w:w="1150" w:type="dxa"/>
                  <w:tcBorders>
                    <w:tl2br w:val="nil"/>
                    <w:tr2bl w:val="nil"/>
                  </w:tcBorders>
                  <w:vAlign w:val="center"/>
                </w:tcPr>
                <w:p w14:paraId="0ABF5AE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2</w:t>
                  </w:r>
                </w:p>
              </w:tc>
              <w:tc>
                <w:tcPr>
                  <w:tcW w:w="913" w:type="dxa"/>
                  <w:tcBorders>
                    <w:tl2br w:val="nil"/>
                    <w:tr2bl w:val="nil"/>
                  </w:tcBorders>
                  <w:vAlign w:val="center"/>
                </w:tcPr>
                <w:p w14:paraId="7946A8F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p>
              </w:tc>
              <w:tc>
                <w:tcPr>
                  <w:tcW w:w="2741" w:type="dxa"/>
                  <w:tcBorders>
                    <w:tl2br w:val="nil"/>
                    <w:tr2bl w:val="nil"/>
                  </w:tcBorders>
                  <w:vAlign w:val="center"/>
                </w:tcPr>
                <w:p w14:paraId="22C0225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一用一备</w:t>
                  </w:r>
                </w:p>
              </w:tc>
            </w:tr>
            <w:tr w14:paraId="118682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Borders>
                    <w:tl2br w:val="nil"/>
                    <w:tr2bl w:val="nil"/>
                  </w:tcBorders>
                  <w:vAlign w:val="center"/>
                </w:tcPr>
                <w:p w14:paraId="34A59D1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4</w:t>
                  </w:r>
                </w:p>
              </w:tc>
              <w:tc>
                <w:tcPr>
                  <w:tcW w:w="2035" w:type="dxa"/>
                  <w:tcBorders>
                    <w:tl2br w:val="nil"/>
                    <w:tr2bl w:val="nil"/>
                  </w:tcBorders>
                  <w:vAlign w:val="center"/>
                </w:tcPr>
                <w:p w14:paraId="728F667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钢筋调直机</w:t>
                  </w:r>
                </w:p>
              </w:tc>
              <w:tc>
                <w:tcPr>
                  <w:tcW w:w="790" w:type="dxa"/>
                  <w:tcBorders>
                    <w:tl2br w:val="nil"/>
                    <w:tr2bl w:val="nil"/>
                  </w:tcBorders>
                  <w:vAlign w:val="center"/>
                </w:tcPr>
                <w:p w14:paraId="61F6822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台</w:t>
                  </w:r>
                </w:p>
              </w:tc>
              <w:tc>
                <w:tcPr>
                  <w:tcW w:w="1150" w:type="dxa"/>
                  <w:tcBorders>
                    <w:tl2br w:val="nil"/>
                    <w:tr2bl w:val="nil"/>
                  </w:tcBorders>
                  <w:vAlign w:val="center"/>
                </w:tcPr>
                <w:p w14:paraId="00D72D0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1</w:t>
                  </w:r>
                </w:p>
              </w:tc>
              <w:tc>
                <w:tcPr>
                  <w:tcW w:w="913" w:type="dxa"/>
                  <w:tcBorders>
                    <w:tl2br w:val="nil"/>
                    <w:tr2bl w:val="nil"/>
                  </w:tcBorders>
                  <w:vAlign w:val="center"/>
                </w:tcPr>
                <w:p w14:paraId="7D360C7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p>
              </w:tc>
              <w:tc>
                <w:tcPr>
                  <w:tcW w:w="2741" w:type="dxa"/>
                  <w:tcBorders>
                    <w:tl2br w:val="nil"/>
                    <w:tr2bl w:val="nil"/>
                  </w:tcBorders>
                  <w:vAlign w:val="center"/>
                </w:tcPr>
                <w:p w14:paraId="74B8572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p>
              </w:tc>
            </w:tr>
            <w:tr w14:paraId="5B163E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Borders>
                    <w:tl2br w:val="nil"/>
                    <w:tr2bl w:val="nil"/>
                  </w:tcBorders>
                  <w:vAlign w:val="center"/>
                </w:tcPr>
                <w:p w14:paraId="581F036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5</w:t>
                  </w:r>
                </w:p>
              </w:tc>
              <w:tc>
                <w:tcPr>
                  <w:tcW w:w="2035" w:type="dxa"/>
                  <w:tcBorders>
                    <w:tl2br w:val="nil"/>
                    <w:tr2bl w:val="nil"/>
                  </w:tcBorders>
                  <w:vAlign w:val="center"/>
                </w:tcPr>
                <w:p w14:paraId="7627064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折弯机</w:t>
                  </w:r>
                </w:p>
              </w:tc>
              <w:tc>
                <w:tcPr>
                  <w:tcW w:w="790" w:type="dxa"/>
                  <w:tcBorders>
                    <w:tl2br w:val="nil"/>
                    <w:tr2bl w:val="nil"/>
                  </w:tcBorders>
                  <w:vAlign w:val="center"/>
                </w:tcPr>
                <w:p w14:paraId="3E52A65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台</w:t>
                  </w:r>
                </w:p>
              </w:tc>
              <w:tc>
                <w:tcPr>
                  <w:tcW w:w="1150" w:type="dxa"/>
                  <w:tcBorders>
                    <w:tl2br w:val="nil"/>
                    <w:tr2bl w:val="nil"/>
                  </w:tcBorders>
                  <w:vAlign w:val="center"/>
                </w:tcPr>
                <w:p w14:paraId="43CAA52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1</w:t>
                  </w:r>
                </w:p>
              </w:tc>
              <w:tc>
                <w:tcPr>
                  <w:tcW w:w="913" w:type="dxa"/>
                  <w:tcBorders>
                    <w:tl2br w:val="nil"/>
                    <w:tr2bl w:val="nil"/>
                  </w:tcBorders>
                  <w:vAlign w:val="center"/>
                </w:tcPr>
                <w:p w14:paraId="384232A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p>
              </w:tc>
              <w:tc>
                <w:tcPr>
                  <w:tcW w:w="2741" w:type="dxa"/>
                  <w:tcBorders>
                    <w:tl2br w:val="nil"/>
                    <w:tr2bl w:val="nil"/>
                  </w:tcBorders>
                  <w:vAlign w:val="center"/>
                </w:tcPr>
                <w:p w14:paraId="21110A5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p>
              </w:tc>
            </w:tr>
            <w:tr w14:paraId="538621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Borders>
                    <w:tl2br w:val="nil"/>
                    <w:tr2bl w:val="nil"/>
                  </w:tcBorders>
                  <w:vAlign w:val="center"/>
                </w:tcPr>
                <w:p w14:paraId="7E8E787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6</w:t>
                  </w:r>
                </w:p>
              </w:tc>
              <w:tc>
                <w:tcPr>
                  <w:tcW w:w="2035" w:type="dxa"/>
                  <w:tcBorders>
                    <w:tl2br w:val="nil"/>
                    <w:tr2bl w:val="nil"/>
                  </w:tcBorders>
                  <w:vAlign w:val="center"/>
                </w:tcPr>
                <w:p w14:paraId="4DF4335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切割机</w:t>
                  </w:r>
                </w:p>
              </w:tc>
              <w:tc>
                <w:tcPr>
                  <w:tcW w:w="790" w:type="dxa"/>
                  <w:tcBorders>
                    <w:tl2br w:val="nil"/>
                    <w:tr2bl w:val="nil"/>
                  </w:tcBorders>
                  <w:vAlign w:val="center"/>
                </w:tcPr>
                <w:p w14:paraId="08F3E0A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台</w:t>
                  </w:r>
                </w:p>
              </w:tc>
              <w:tc>
                <w:tcPr>
                  <w:tcW w:w="1150" w:type="dxa"/>
                  <w:tcBorders>
                    <w:tl2br w:val="nil"/>
                    <w:tr2bl w:val="nil"/>
                  </w:tcBorders>
                  <w:vAlign w:val="center"/>
                </w:tcPr>
                <w:p w14:paraId="3E48DF0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2</w:t>
                  </w:r>
                </w:p>
              </w:tc>
              <w:tc>
                <w:tcPr>
                  <w:tcW w:w="913" w:type="dxa"/>
                  <w:tcBorders>
                    <w:tl2br w:val="nil"/>
                    <w:tr2bl w:val="nil"/>
                  </w:tcBorders>
                  <w:vAlign w:val="center"/>
                </w:tcPr>
                <w:p w14:paraId="7236268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p>
              </w:tc>
              <w:tc>
                <w:tcPr>
                  <w:tcW w:w="2741" w:type="dxa"/>
                  <w:tcBorders>
                    <w:tl2br w:val="nil"/>
                    <w:tr2bl w:val="nil"/>
                  </w:tcBorders>
                  <w:vAlign w:val="center"/>
                </w:tcPr>
                <w:p w14:paraId="19A4947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一用一备</w:t>
                  </w:r>
                </w:p>
              </w:tc>
            </w:tr>
            <w:tr w14:paraId="46BF56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Borders>
                    <w:tl2br w:val="nil"/>
                    <w:tr2bl w:val="nil"/>
                  </w:tcBorders>
                  <w:vAlign w:val="center"/>
                </w:tcPr>
                <w:p w14:paraId="369AC09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7</w:t>
                  </w:r>
                </w:p>
              </w:tc>
              <w:tc>
                <w:tcPr>
                  <w:tcW w:w="2035" w:type="dxa"/>
                  <w:tcBorders>
                    <w:tl2br w:val="nil"/>
                    <w:tr2bl w:val="nil"/>
                  </w:tcBorders>
                  <w:vAlign w:val="center"/>
                </w:tcPr>
                <w:p w14:paraId="3BB4473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雾炮机</w:t>
                  </w:r>
                </w:p>
              </w:tc>
              <w:tc>
                <w:tcPr>
                  <w:tcW w:w="790" w:type="dxa"/>
                  <w:tcBorders>
                    <w:tl2br w:val="nil"/>
                    <w:tr2bl w:val="nil"/>
                  </w:tcBorders>
                  <w:vAlign w:val="center"/>
                </w:tcPr>
                <w:p w14:paraId="1898FFC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台</w:t>
                  </w:r>
                </w:p>
              </w:tc>
              <w:tc>
                <w:tcPr>
                  <w:tcW w:w="1150" w:type="dxa"/>
                  <w:tcBorders>
                    <w:tl2br w:val="nil"/>
                    <w:tr2bl w:val="nil"/>
                  </w:tcBorders>
                  <w:vAlign w:val="center"/>
                </w:tcPr>
                <w:p w14:paraId="0E7F9A7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4</w:t>
                  </w:r>
                </w:p>
              </w:tc>
              <w:tc>
                <w:tcPr>
                  <w:tcW w:w="913" w:type="dxa"/>
                  <w:tcBorders>
                    <w:tl2br w:val="nil"/>
                    <w:tr2bl w:val="nil"/>
                  </w:tcBorders>
                  <w:vAlign w:val="center"/>
                </w:tcPr>
                <w:p w14:paraId="3FF1B88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p>
              </w:tc>
              <w:tc>
                <w:tcPr>
                  <w:tcW w:w="2741" w:type="dxa"/>
                  <w:tcBorders>
                    <w:tl2br w:val="nil"/>
                    <w:tr2bl w:val="nil"/>
                  </w:tcBorders>
                  <w:vAlign w:val="center"/>
                </w:tcPr>
                <w:p w14:paraId="2195D38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密闭车间、</w:t>
                  </w:r>
                  <w:r>
                    <w:rPr>
                      <w:rFonts w:hint="eastAsia" w:eastAsia="新宋体" w:cs="Times New Roman"/>
                      <w:color w:val="000000" w:themeColor="text1"/>
                      <w:sz w:val="21"/>
                      <w:szCs w:val="21"/>
                      <w:lang w:val="en-US" w:eastAsia="zh-CN"/>
                      <w14:textFill>
                        <w14:solidFill>
                          <w14:schemeClr w14:val="tx1"/>
                        </w14:solidFill>
                      </w14:textFill>
                    </w:rPr>
                    <w:t>库房、堆场</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装卸处安装</w:t>
                  </w:r>
                </w:p>
              </w:tc>
            </w:tr>
            <w:tr w14:paraId="3FB623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Borders>
                    <w:tl2br w:val="nil"/>
                    <w:tr2bl w:val="nil"/>
                  </w:tcBorders>
                  <w:vAlign w:val="center"/>
                </w:tcPr>
                <w:p w14:paraId="5B80E62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8</w:t>
                  </w:r>
                </w:p>
              </w:tc>
              <w:tc>
                <w:tcPr>
                  <w:tcW w:w="2035" w:type="dxa"/>
                  <w:tcBorders>
                    <w:tl2br w:val="nil"/>
                    <w:tr2bl w:val="nil"/>
                  </w:tcBorders>
                  <w:vAlign w:val="center"/>
                </w:tcPr>
                <w:p w14:paraId="21B7605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叉车</w:t>
                  </w:r>
                </w:p>
              </w:tc>
              <w:tc>
                <w:tcPr>
                  <w:tcW w:w="790" w:type="dxa"/>
                  <w:tcBorders>
                    <w:tl2br w:val="nil"/>
                    <w:tr2bl w:val="nil"/>
                  </w:tcBorders>
                  <w:vAlign w:val="center"/>
                </w:tcPr>
                <w:p w14:paraId="0285CB2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辆</w:t>
                  </w:r>
                </w:p>
              </w:tc>
              <w:tc>
                <w:tcPr>
                  <w:tcW w:w="1150" w:type="dxa"/>
                  <w:tcBorders>
                    <w:tl2br w:val="nil"/>
                    <w:tr2bl w:val="nil"/>
                  </w:tcBorders>
                  <w:vAlign w:val="center"/>
                </w:tcPr>
                <w:p w14:paraId="37D5719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2</w:t>
                  </w:r>
                </w:p>
              </w:tc>
              <w:tc>
                <w:tcPr>
                  <w:tcW w:w="913" w:type="dxa"/>
                  <w:tcBorders>
                    <w:tl2br w:val="nil"/>
                    <w:tr2bl w:val="nil"/>
                  </w:tcBorders>
                  <w:vAlign w:val="center"/>
                </w:tcPr>
                <w:p w14:paraId="20967F7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p>
              </w:tc>
              <w:tc>
                <w:tcPr>
                  <w:tcW w:w="2741" w:type="dxa"/>
                  <w:tcBorders>
                    <w:tl2br w:val="nil"/>
                    <w:tr2bl w:val="nil"/>
                  </w:tcBorders>
                  <w:vAlign w:val="center"/>
                </w:tcPr>
                <w:p w14:paraId="7C5E9D8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预制砖块人工搬运，其余叉车运输</w:t>
                  </w:r>
                </w:p>
              </w:tc>
            </w:tr>
          </w:tbl>
          <w:p w14:paraId="34291DC5">
            <w:pPr>
              <w:keepNext w:val="0"/>
              <w:keepLines w:val="0"/>
              <w:pageBreakBefore w:val="0"/>
              <w:widowControl/>
              <w:kinsoku/>
              <w:wordWrap/>
              <w:overflowPunct/>
              <w:topLinePunct w:val="0"/>
              <w:autoSpaceDE w:val="0"/>
              <w:autoSpaceDN w:val="0"/>
              <w:bidi w:val="0"/>
              <w:adjustRightInd/>
              <w:snapToGrid/>
              <w:spacing w:before="0" w:beforeLines="50" w:line="360" w:lineRule="auto"/>
              <w:ind w:firstLine="482" w:firstLineChars="200"/>
              <w:jc w:val="both"/>
              <w:textAlignment w:val="auto"/>
              <w:rPr>
                <w:rFonts w:hint="default" w:ascii="Times New Roman" w:hAnsi="Times New Roman" w:eastAsia="新宋体" w:cs="Times New Roman"/>
                <w:b/>
                <w:bCs/>
                <w:color w:val="000000" w:themeColor="text1"/>
                <w:sz w:val="24"/>
                <w:szCs w:val="24"/>
                <w:highlight w:val="none"/>
                <w14:textFill>
                  <w14:solidFill>
                    <w14:schemeClr w14:val="tx1"/>
                  </w14:solidFill>
                </w14:textFill>
              </w:rPr>
            </w:pPr>
            <w:r>
              <w:rPr>
                <w:rFonts w:hint="default" w:ascii="Times New Roman" w:hAnsi="Times New Roman" w:eastAsia="新宋体" w:cs="Times New Roman"/>
                <w:b/>
                <w:bCs/>
                <w:color w:val="000000" w:themeColor="text1"/>
                <w:sz w:val="24"/>
                <w:szCs w:val="24"/>
                <w:highlight w:val="none"/>
                <w14:textFill>
                  <w14:solidFill>
                    <w14:schemeClr w14:val="tx1"/>
                  </w14:solidFill>
                </w14:textFill>
              </w:rPr>
              <w:t>5、劳动定员与工作制度</w:t>
            </w:r>
          </w:p>
          <w:p w14:paraId="5D19EA26">
            <w:pPr>
              <w:pStyle w:val="10"/>
              <w:keepNext w:val="0"/>
              <w:keepLines w:val="0"/>
              <w:pageBreakBefore w:val="0"/>
              <w:widowControl/>
              <w:kinsoku/>
              <w:wordWrap/>
              <w:overflowPunct/>
              <w:topLinePunct w:val="0"/>
              <w:bidi w:val="0"/>
              <w:ind w:firstLine="480" w:firstLineChars="200"/>
              <w:jc w:val="both"/>
              <w:rPr>
                <w:rFonts w:hint="default" w:ascii="Times New Roman" w:hAnsi="Times New Roman" w:eastAsia="新宋体" w:cs="Times New Roman"/>
                <w:color w:val="000000" w:themeColor="text1"/>
                <w:highlight w:val="none"/>
                <w14:textFill>
                  <w14:solidFill>
                    <w14:schemeClr w14:val="tx1"/>
                  </w14:solidFill>
                </w14:textFill>
              </w:rPr>
            </w:pPr>
            <w:r>
              <w:rPr>
                <w:rFonts w:hint="default" w:ascii="Times New Roman" w:hAnsi="Times New Roman" w:eastAsia="新宋体" w:cs="Times New Roman"/>
                <w:color w:val="000000" w:themeColor="text1"/>
                <w:highlight w:val="none"/>
                <w14:textFill>
                  <w14:solidFill>
                    <w14:schemeClr w14:val="tx1"/>
                  </w14:solidFill>
                </w14:textFill>
              </w:rPr>
              <w:t>本项目劳动定员</w:t>
            </w:r>
            <w:r>
              <w:rPr>
                <w:rFonts w:hint="default" w:ascii="Times New Roman" w:hAnsi="Times New Roman" w:eastAsia="新宋体" w:cs="Times New Roman"/>
                <w:color w:val="000000" w:themeColor="text1"/>
                <w:highlight w:val="none"/>
                <w:lang w:val="en-US" w:eastAsia="zh-CN"/>
                <w14:textFill>
                  <w14:solidFill>
                    <w14:schemeClr w14:val="tx1"/>
                  </w14:solidFill>
                </w14:textFill>
              </w:rPr>
              <w:t>15</w:t>
            </w:r>
            <w:r>
              <w:rPr>
                <w:rFonts w:hint="default" w:ascii="Times New Roman" w:hAnsi="Times New Roman" w:eastAsia="新宋体" w:cs="Times New Roman"/>
                <w:color w:val="000000" w:themeColor="text1"/>
                <w:highlight w:val="none"/>
                <w14:textFill>
                  <w14:solidFill>
                    <w14:schemeClr w14:val="tx1"/>
                  </w14:solidFill>
                </w14:textFill>
              </w:rPr>
              <w:t>人</w:t>
            </w:r>
            <w:r>
              <w:rPr>
                <w:rFonts w:hint="default" w:ascii="Times New Roman" w:hAnsi="Times New Roman" w:eastAsia="新宋体" w:cs="Times New Roman"/>
                <w:color w:val="000000" w:themeColor="text1"/>
                <w:highlight w:val="none"/>
                <w:lang w:eastAsia="zh-CN"/>
                <w14:textFill>
                  <w14:solidFill>
                    <w14:schemeClr w14:val="tx1"/>
                  </w14:solidFill>
                </w14:textFill>
              </w:rPr>
              <w:t>（</w:t>
            </w:r>
            <w:r>
              <w:rPr>
                <w:rFonts w:hint="default" w:ascii="Times New Roman" w:hAnsi="Times New Roman" w:eastAsia="新宋体" w:cs="Times New Roman"/>
                <w:color w:val="000000" w:themeColor="text1"/>
                <w:highlight w:val="none"/>
                <w:lang w:val="en-US" w:eastAsia="zh-CN"/>
                <w14:textFill>
                  <w14:solidFill>
                    <w14:schemeClr w14:val="tx1"/>
                  </w14:solidFill>
                </w14:textFill>
              </w:rPr>
              <w:t>其中包括工作人员和管理人员</w:t>
            </w:r>
            <w:r>
              <w:rPr>
                <w:rFonts w:hint="default" w:ascii="Times New Roman" w:hAnsi="Times New Roman" w:eastAsia="新宋体" w:cs="Times New Roman"/>
                <w:color w:val="000000" w:themeColor="text1"/>
                <w:highlight w:val="none"/>
                <w:lang w:eastAsia="zh-CN"/>
                <w14:textFill>
                  <w14:solidFill>
                    <w14:schemeClr w14:val="tx1"/>
                  </w14:solidFill>
                </w14:textFill>
              </w:rPr>
              <w:t>），</w:t>
            </w:r>
            <w:r>
              <w:rPr>
                <w:rFonts w:hint="default" w:ascii="Times New Roman" w:hAnsi="Times New Roman" w:eastAsia="新宋体" w:cs="Times New Roman"/>
                <w:color w:val="000000" w:themeColor="text1"/>
                <w:highlight w:val="none"/>
                <w14:textFill>
                  <w14:solidFill>
                    <w14:schemeClr w14:val="tx1"/>
                  </w14:solidFill>
                </w14:textFill>
              </w:rPr>
              <w:t>每班工作8小时</w:t>
            </w:r>
            <w:r>
              <w:rPr>
                <w:rFonts w:hint="default" w:ascii="Times New Roman" w:hAnsi="Times New Roman" w:eastAsia="新宋体" w:cs="Times New Roman"/>
                <w:color w:val="000000" w:themeColor="text1"/>
                <w:highlight w:val="none"/>
                <w:lang w:eastAsia="zh-CN"/>
                <w14:textFill>
                  <w14:solidFill>
                    <w14:schemeClr w14:val="tx1"/>
                  </w14:solidFill>
                </w14:textFill>
              </w:rPr>
              <w:t>，</w:t>
            </w:r>
            <w:r>
              <w:rPr>
                <w:rFonts w:hint="default" w:ascii="Times New Roman" w:hAnsi="Times New Roman" w:eastAsia="新宋体" w:cs="Times New Roman"/>
                <w:color w:val="000000" w:themeColor="text1"/>
                <w:highlight w:val="none"/>
                <w14:textFill>
                  <w14:solidFill>
                    <w14:schemeClr w14:val="tx1"/>
                  </w14:solidFill>
                </w14:textFill>
              </w:rPr>
              <w:t>年工作</w:t>
            </w:r>
            <w:r>
              <w:rPr>
                <w:rFonts w:hint="default" w:ascii="Times New Roman" w:hAnsi="Times New Roman" w:eastAsia="新宋体" w:cs="Times New Roman"/>
                <w:color w:val="000000" w:themeColor="text1"/>
                <w:highlight w:val="none"/>
                <w:lang w:val="en-US" w:eastAsia="zh-CN"/>
                <w14:textFill>
                  <w14:solidFill>
                    <w14:schemeClr w14:val="tx1"/>
                  </w14:solidFill>
                </w14:textFill>
              </w:rPr>
              <w:t>210</w:t>
            </w:r>
            <w:r>
              <w:rPr>
                <w:rFonts w:hint="default" w:ascii="Times New Roman" w:hAnsi="Times New Roman" w:eastAsia="新宋体" w:cs="Times New Roman"/>
                <w:color w:val="000000" w:themeColor="text1"/>
                <w:highlight w:val="none"/>
                <w14:textFill>
                  <w14:solidFill>
                    <w14:schemeClr w14:val="tx1"/>
                  </w14:solidFill>
                </w14:textFill>
              </w:rPr>
              <w:t>天</w:t>
            </w:r>
            <w:r>
              <w:rPr>
                <w:rFonts w:hint="default" w:ascii="Times New Roman" w:hAnsi="Times New Roman" w:eastAsia="新宋体" w:cs="Times New Roman"/>
                <w:color w:val="000000" w:themeColor="text1"/>
                <w:highlight w:val="none"/>
                <w:lang w:eastAsia="zh-CN"/>
                <w14:textFill>
                  <w14:solidFill>
                    <w14:schemeClr w14:val="tx1"/>
                  </w14:solidFill>
                </w14:textFill>
              </w:rPr>
              <w:t>，</w:t>
            </w:r>
            <w:r>
              <w:rPr>
                <w:rFonts w:hint="default" w:ascii="Times New Roman" w:hAnsi="Times New Roman" w:eastAsia="新宋体" w:cs="Times New Roman"/>
                <w:color w:val="000000" w:themeColor="text1"/>
                <w:highlight w:val="none"/>
                <w:lang w:val="en-US" w:eastAsia="zh-CN"/>
                <w14:textFill>
                  <w14:solidFill>
                    <w14:schemeClr w14:val="tx1"/>
                  </w14:solidFill>
                </w14:textFill>
              </w:rPr>
              <w:t>一</w:t>
            </w:r>
            <w:r>
              <w:rPr>
                <w:rFonts w:hint="default" w:ascii="Times New Roman" w:hAnsi="Times New Roman" w:eastAsia="新宋体" w:cs="Times New Roman"/>
                <w:color w:val="000000" w:themeColor="text1"/>
                <w:highlight w:val="none"/>
                <w14:textFill>
                  <w14:solidFill>
                    <w14:schemeClr w14:val="tx1"/>
                  </w14:solidFill>
                </w14:textFill>
              </w:rPr>
              <w:t>班制</w:t>
            </w:r>
            <w:r>
              <w:rPr>
                <w:rFonts w:hint="default" w:ascii="Times New Roman" w:hAnsi="Times New Roman" w:eastAsia="新宋体" w:cs="Times New Roman"/>
                <w:color w:val="000000" w:themeColor="text1"/>
                <w:highlight w:val="none"/>
                <w:lang w:eastAsia="zh-CN"/>
                <w14:textFill>
                  <w14:solidFill>
                    <w14:schemeClr w14:val="tx1"/>
                  </w14:solidFill>
                </w14:textFill>
              </w:rPr>
              <w:t>，</w:t>
            </w:r>
            <w:r>
              <w:rPr>
                <w:rFonts w:hint="default" w:ascii="Times New Roman" w:hAnsi="Times New Roman" w:eastAsia="新宋体" w:cs="Times New Roman"/>
                <w:color w:val="000000" w:themeColor="text1"/>
                <w:highlight w:val="none"/>
                <w:lang w:val="en-US" w:eastAsia="zh-CN"/>
                <w14:textFill>
                  <w14:solidFill>
                    <w14:schemeClr w14:val="tx1"/>
                  </w14:solidFill>
                </w14:textFill>
              </w:rPr>
              <w:t>在场内食宿</w:t>
            </w:r>
            <w:r>
              <w:rPr>
                <w:rFonts w:hint="default" w:ascii="Times New Roman" w:hAnsi="Times New Roman" w:eastAsia="新宋体" w:cs="Times New Roman"/>
                <w:color w:val="000000" w:themeColor="text1"/>
                <w:highlight w:val="none"/>
                <w14:textFill>
                  <w14:solidFill>
                    <w14:schemeClr w14:val="tx1"/>
                  </w14:solidFill>
                </w14:textFill>
              </w:rPr>
              <w:t>。</w:t>
            </w:r>
          </w:p>
          <w:p w14:paraId="3BBB0878">
            <w:pPr>
              <w:keepNext w:val="0"/>
              <w:keepLines w:val="0"/>
              <w:pageBreakBefore w:val="0"/>
              <w:widowControl/>
              <w:kinsoku/>
              <w:wordWrap/>
              <w:overflowPunct/>
              <w:topLinePunct w:val="0"/>
              <w:bidi w:val="0"/>
              <w:spacing w:line="360" w:lineRule="auto"/>
              <w:ind w:firstLine="482" w:firstLineChars="200"/>
              <w:jc w:val="both"/>
              <w:rPr>
                <w:rFonts w:hint="default" w:ascii="Times New Roman" w:hAnsi="Times New Roman" w:eastAsia="新宋体" w:cs="Times New Roman"/>
                <w:b/>
                <w:bCs/>
                <w:color w:val="000000" w:themeColor="text1"/>
                <w:sz w:val="24"/>
                <w:szCs w:val="24"/>
                <w:highlight w:val="none"/>
                <w14:textFill>
                  <w14:solidFill>
                    <w14:schemeClr w14:val="tx1"/>
                  </w14:solidFill>
                </w14:textFill>
              </w:rPr>
            </w:pPr>
            <w:r>
              <w:rPr>
                <w:rFonts w:hint="default" w:ascii="Times New Roman" w:hAnsi="Times New Roman" w:eastAsia="新宋体" w:cs="Times New Roman"/>
                <w:b/>
                <w:bCs/>
                <w:color w:val="000000" w:themeColor="text1"/>
                <w:sz w:val="24"/>
                <w:szCs w:val="24"/>
                <w:highlight w:val="none"/>
                <w14:textFill>
                  <w14:solidFill>
                    <w14:schemeClr w14:val="tx1"/>
                  </w14:solidFill>
                </w14:textFill>
              </w:rPr>
              <w:t>6、公用工程</w:t>
            </w:r>
          </w:p>
          <w:p w14:paraId="78496CBA">
            <w:pPr>
              <w:pStyle w:val="2"/>
              <w:keepNext w:val="0"/>
              <w:keepLines w:val="0"/>
              <w:pageBreakBefore w:val="0"/>
              <w:widowControl/>
              <w:kinsoku/>
              <w:wordWrap/>
              <w:overflowPunct/>
              <w:topLinePunct w:val="0"/>
              <w:bidi w:val="0"/>
              <w:spacing w:after="0"/>
              <w:ind w:left="0" w:leftChars="0" w:firstLine="480" w:firstLineChars="200"/>
              <w:jc w:val="both"/>
              <w:rPr>
                <w:rFonts w:hint="default" w:ascii="Times New Roman" w:hAnsi="Times New Roman" w:eastAsia="新宋体" w:cs="Times New Roman"/>
                <w:color w:val="000000" w:themeColor="text1"/>
                <w:szCs w:val="24"/>
                <w:highlight w:val="none"/>
                <w:lang w:val="en-US" w:eastAsia="zh-CN"/>
                <w14:textFill>
                  <w14:solidFill>
                    <w14:schemeClr w14:val="tx1"/>
                  </w14:solidFill>
                </w14:textFill>
              </w:rPr>
            </w:pPr>
            <w:r>
              <w:rPr>
                <w:rFonts w:hint="default" w:ascii="Times New Roman" w:hAnsi="Times New Roman" w:eastAsia="新宋体" w:cs="Times New Roman"/>
                <w:color w:val="000000" w:themeColor="text1"/>
                <w:szCs w:val="24"/>
                <w:highlight w:val="none"/>
                <w:lang w:val="en-US" w:eastAsia="zh-CN"/>
                <w14:textFill>
                  <w14:solidFill>
                    <w14:schemeClr w14:val="tx1"/>
                  </w14:solidFill>
                </w14:textFill>
              </w:rPr>
              <w:t>（1）给水、排水</w:t>
            </w:r>
          </w:p>
          <w:p w14:paraId="41BC91B9">
            <w:pPr>
              <w:keepNext w:val="0"/>
              <w:keepLines w:val="0"/>
              <w:pageBreakBefore w:val="0"/>
              <w:widowControl/>
              <w:kinsoku/>
              <w:wordWrap/>
              <w:overflowPunct/>
              <w:topLinePunct w:val="0"/>
              <w:bidi w:val="0"/>
              <w:spacing w:line="360" w:lineRule="auto"/>
              <w:ind w:firstLine="480" w:firstLineChars="200"/>
              <w:jc w:val="both"/>
              <w:rPr>
                <w:rFonts w:hint="default" w:ascii="Times New Roman" w:hAnsi="Times New Roman" w:eastAsia="新宋体" w:cs="Times New Roman"/>
                <w:color w:val="auto"/>
              </w:rPr>
            </w:pPr>
            <w:r>
              <w:rPr>
                <w:rFonts w:hint="default" w:ascii="Times New Roman" w:hAnsi="Times New Roman" w:eastAsia="新宋体" w:cs="Times New Roman"/>
                <w:color w:val="auto"/>
              </w:rPr>
              <w:t>项目</w:t>
            </w:r>
            <w:r>
              <w:rPr>
                <w:rFonts w:hint="default" w:ascii="Times New Roman" w:hAnsi="Times New Roman" w:eastAsia="新宋体" w:cs="Times New Roman"/>
                <w:color w:val="auto"/>
                <w:lang w:val="en-US" w:eastAsia="zh-CN"/>
              </w:rPr>
              <w:t>用水由和硕县清水河片区</w:t>
            </w:r>
            <w:r>
              <w:rPr>
                <w:rFonts w:hint="default" w:ascii="Times New Roman" w:hAnsi="Times New Roman" w:eastAsia="新宋体" w:cs="Times New Roman"/>
                <w:color w:val="auto"/>
              </w:rPr>
              <w:t>供水管网供给，</w:t>
            </w:r>
            <w:r>
              <w:rPr>
                <w:rFonts w:hint="default" w:ascii="Times New Roman" w:hAnsi="Times New Roman" w:eastAsia="新宋体" w:cs="Times New Roman"/>
                <w:color w:val="auto"/>
                <w:lang w:val="en-US" w:eastAsia="zh-CN"/>
              </w:rPr>
              <w:t>水质水量</w:t>
            </w:r>
            <w:r>
              <w:rPr>
                <w:rFonts w:hint="default" w:ascii="Times New Roman" w:hAnsi="Times New Roman" w:eastAsia="新宋体" w:cs="Times New Roman"/>
                <w:color w:val="auto"/>
              </w:rPr>
              <w:t>完全可满足项目用水的需求</w:t>
            </w:r>
            <w:r>
              <w:rPr>
                <w:rFonts w:hint="eastAsia" w:eastAsia="新宋体" w:cs="Times New Roman"/>
                <w:color w:val="auto"/>
                <w:lang w:eastAsia="zh-CN"/>
              </w:rPr>
              <w:t>，</w:t>
            </w:r>
            <w:r>
              <w:rPr>
                <w:rFonts w:hint="eastAsia" w:eastAsia="新宋体" w:cs="Times New Roman"/>
                <w:color w:val="auto"/>
                <w:lang w:val="en-US" w:eastAsia="zh-CN"/>
              </w:rPr>
              <w:t>项目区未接城镇排水管网，生活污水排入场内西北侧防渗收集池定期拉运至和硕县污水处理厂</w:t>
            </w:r>
            <w:r>
              <w:rPr>
                <w:rFonts w:hint="default" w:ascii="Times New Roman" w:hAnsi="Times New Roman" w:eastAsia="新宋体" w:cs="Times New Roman"/>
                <w:color w:val="auto"/>
              </w:rPr>
              <w:t>。</w:t>
            </w:r>
          </w:p>
          <w:p w14:paraId="50FFF8B3">
            <w:pPr>
              <w:keepNext w:val="0"/>
              <w:keepLines w:val="0"/>
              <w:pageBreakBefore w:val="0"/>
              <w:widowControl/>
              <w:kinsoku/>
              <w:wordWrap/>
              <w:overflowPunct/>
              <w:topLinePunct w:val="0"/>
              <w:bidi w:val="0"/>
              <w:spacing w:line="360" w:lineRule="auto"/>
              <w:ind w:firstLine="480" w:firstLineChars="200"/>
              <w:jc w:val="both"/>
              <w:rPr>
                <w:rFonts w:hint="default" w:ascii="Times New Roman" w:hAnsi="Times New Roman" w:eastAsia="新宋体" w:cs="Times New Roman"/>
                <w:color w:val="auto"/>
                <w:lang w:val="en-US" w:eastAsia="zh-CN"/>
              </w:rPr>
            </w:pPr>
            <w:r>
              <w:rPr>
                <w:rFonts w:hint="default" w:ascii="Times New Roman" w:hAnsi="Times New Roman" w:eastAsia="新宋体" w:cs="Times New Roman"/>
                <w:color w:val="auto"/>
                <w:lang w:val="en-US" w:eastAsia="zh-CN"/>
              </w:rPr>
              <w:t>①职工生活用水</w:t>
            </w:r>
          </w:p>
          <w:p w14:paraId="663FE895">
            <w:pPr>
              <w:keepNext w:val="0"/>
              <w:keepLines w:val="0"/>
              <w:pageBreakBefore w:val="0"/>
              <w:widowControl/>
              <w:kinsoku/>
              <w:wordWrap/>
              <w:overflowPunct/>
              <w:topLinePunct w:val="0"/>
              <w:bidi w:val="0"/>
              <w:spacing w:line="360" w:lineRule="auto"/>
              <w:ind w:firstLine="480" w:firstLineChars="200"/>
              <w:jc w:val="both"/>
              <w:rPr>
                <w:rFonts w:hint="default" w:ascii="Times New Roman" w:hAnsi="Times New Roman" w:eastAsia="新宋体" w:cs="Times New Roman"/>
                <w:color w:val="000000" w:themeColor="text1"/>
                <w:sz w:val="24"/>
                <w:szCs w:val="24"/>
                <w:highlight w:val="none"/>
                <w:lang w:val="en-US"/>
                <w14:textFill>
                  <w14:solidFill>
                    <w14:schemeClr w14:val="tx1"/>
                  </w14:solidFill>
                </w14:textFill>
              </w:rPr>
            </w:pPr>
            <w:r>
              <w:rPr>
                <w:rFonts w:hint="default" w:ascii="Times New Roman" w:hAnsi="Times New Roman" w:eastAsia="新宋体" w:cs="Times New Roman"/>
                <w:color w:val="auto"/>
              </w:rPr>
              <w:t>根据《</w:t>
            </w:r>
            <w:r>
              <w:rPr>
                <w:rFonts w:hint="default" w:ascii="Times New Roman" w:hAnsi="Times New Roman" w:eastAsia="新宋体" w:cs="Times New Roman"/>
                <w:sz w:val="24"/>
              </w:rPr>
              <w:t>新疆维吾尔自治区生活用水定额</w:t>
            </w:r>
            <w:r>
              <w:rPr>
                <w:rFonts w:hint="default" w:ascii="Times New Roman" w:hAnsi="Times New Roman" w:eastAsia="新宋体" w:cs="Times New Roman"/>
                <w:color w:val="auto"/>
              </w:rPr>
              <w:t>》，</w:t>
            </w:r>
            <w:r>
              <w:rPr>
                <w:rFonts w:hint="default" w:ascii="Times New Roman" w:hAnsi="Times New Roman" w:eastAsia="新宋体" w:cs="Times New Roman"/>
                <w:color w:val="auto"/>
                <w:lang w:val="en-US" w:eastAsia="zh-CN"/>
              </w:rPr>
              <w:t>外聘本地员工不在场内住宿，</w:t>
            </w:r>
            <w:r>
              <w:rPr>
                <w:rFonts w:hint="default" w:ascii="Times New Roman" w:hAnsi="Times New Roman" w:eastAsia="新宋体" w:cs="Times New Roman"/>
                <w:color w:val="auto"/>
              </w:rPr>
              <w:t>用水量按</w:t>
            </w:r>
            <w:r>
              <w:rPr>
                <w:rFonts w:hint="default" w:ascii="Times New Roman" w:hAnsi="Times New Roman" w:eastAsia="新宋体" w:cs="Times New Roman"/>
                <w:color w:val="auto"/>
                <w:lang w:val="en-US" w:eastAsia="zh-CN"/>
              </w:rPr>
              <w:t>60</w:t>
            </w:r>
            <w:r>
              <w:rPr>
                <w:rFonts w:hint="default" w:ascii="Times New Roman" w:hAnsi="Times New Roman" w:eastAsia="新宋体" w:cs="Times New Roman"/>
                <w:color w:val="auto"/>
              </w:rPr>
              <w:t>L/人</w:t>
            </w:r>
            <w:r>
              <w:rPr>
                <w:rFonts w:hint="default" w:ascii="Times New Roman" w:hAnsi="Times New Roman" w:eastAsia="新宋体" w:cs="Times New Roman"/>
                <w:color w:val="auto"/>
                <w:lang w:eastAsia="zh-CN"/>
              </w:rPr>
              <w:t>.</w:t>
            </w:r>
            <w:r>
              <w:rPr>
                <w:rFonts w:hint="default" w:ascii="Times New Roman" w:hAnsi="Times New Roman" w:eastAsia="新宋体" w:cs="Times New Roman"/>
                <w:color w:val="auto"/>
              </w:rPr>
              <w:t>d计，则项目生活用水量约为</w:t>
            </w:r>
            <w:r>
              <w:rPr>
                <w:rFonts w:hint="default" w:ascii="Times New Roman" w:hAnsi="Times New Roman" w:eastAsia="新宋体" w:cs="Times New Roman"/>
                <w:color w:val="auto"/>
                <w:lang w:val="en-US" w:eastAsia="zh-CN"/>
              </w:rPr>
              <w:t>0.9</w:t>
            </w:r>
            <w:r>
              <w:rPr>
                <w:rFonts w:hint="default" w:ascii="Times New Roman" w:hAnsi="Times New Roman" w:eastAsia="新宋体" w:cs="Times New Roman"/>
                <w:color w:val="auto"/>
              </w:rPr>
              <w:t>m</w:t>
            </w:r>
            <w:r>
              <w:rPr>
                <w:rFonts w:hint="default" w:ascii="Times New Roman" w:hAnsi="Times New Roman" w:eastAsia="新宋体" w:cs="Times New Roman"/>
                <w:color w:val="auto"/>
                <w:vertAlign w:val="superscript"/>
              </w:rPr>
              <w:t>3</w:t>
            </w:r>
            <w:r>
              <w:rPr>
                <w:rFonts w:hint="default" w:ascii="Times New Roman" w:hAnsi="Times New Roman" w:eastAsia="新宋体" w:cs="Times New Roman"/>
                <w:color w:val="auto"/>
              </w:rPr>
              <w:t>/d（</w:t>
            </w:r>
            <w:r>
              <w:rPr>
                <w:rFonts w:hint="default" w:ascii="Times New Roman" w:hAnsi="Times New Roman" w:eastAsia="新宋体" w:cs="Times New Roman"/>
                <w:color w:val="auto"/>
                <w:lang w:val="en-US" w:eastAsia="zh-CN"/>
              </w:rPr>
              <w:t>189</w:t>
            </w:r>
            <w:r>
              <w:rPr>
                <w:rFonts w:hint="default" w:ascii="Times New Roman" w:hAnsi="Times New Roman" w:eastAsia="新宋体" w:cs="Times New Roman"/>
                <w:color w:val="auto"/>
              </w:rPr>
              <w:t>m</w:t>
            </w:r>
            <w:r>
              <w:rPr>
                <w:rFonts w:hint="default" w:ascii="Times New Roman" w:hAnsi="Times New Roman" w:eastAsia="新宋体" w:cs="Times New Roman"/>
                <w:color w:val="auto"/>
                <w:vertAlign w:val="superscript"/>
              </w:rPr>
              <w:t>3</w:t>
            </w:r>
            <w:r>
              <w:rPr>
                <w:rFonts w:hint="default" w:ascii="Times New Roman" w:hAnsi="Times New Roman" w:eastAsia="新宋体" w:cs="Times New Roman"/>
                <w:color w:val="auto"/>
              </w:rPr>
              <w:t>/a）。产污系数以0</w:t>
            </w:r>
            <w:r>
              <w:rPr>
                <w:rFonts w:hint="default" w:ascii="Times New Roman" w:hAnsi="Times New Roman" w:eastAsia="新宋体" w:cs="Times New Roman"/>
                <w:color w:val="auto"/>
                <w:lang w:eastAsia="zh-CN"/>
              </w:rPr>
              <w:t>.</w:t>
            </w:r>
            <w:r>
              <w:rPr>
                <w:rFonts w:hint="default" w:ascii="Times New Roman" w:hAnsi="Times New Roman" w:eastAsia="新宋体" w:cs="Times New Roman"/>
                <w:color w:val="auto"/>
              </w:rPr>
              <w:t>8计，则</w:t>
            </w:r>
            <w:r>
              <w:rPr>
                <w:rFonts w:hint="default" w:ascii="Times New Roman" w:hAnsi="Times New Roman" w:eastAsia="新宋体" w:cs="Times New Roman"/>
                <w:color w:val="auto"/>
                <w:lang w:val="en-US" w:eastAsia="zh-CN"/>
              </w:rPr>
              <w:t>职工</w:t>
            </w:r>
            <w:r>
              <w:rPr>
                <w:rFonts w:hint="default" w:ascii="Times New Roman" w:hAnsi="Times New Roman" w:eastAsia="新宋体" w:cs="Times New Roman"/>
                <w:color w:val="auto"/>
              </w:rPr>
              <w:t>生活污水产生量为</w:t>
            </w:r>
            <w:r>
              <w:rPr>
                <w:rFonts w:hint="default" w:ascii="Times New Roman" w:hAnsi="Times New Roman" w:eastAsia="新宋体" w:cs="Times New Roman"/>
                <w:color w:val="auto"/>
                <w:lang w:val="en-US" w:eastAsia="zh-CN"/>
              </w:rPr>
              <w:t>0.72</w:t>
            </w:r>
            <w:r>
              <w:rPr>
                <w:rFonts w:hint="default" w:ascii="Times New Roman" w:hAnsi="Times New Roman" w:eastAsia="新宋体" w:cs="Times New Roman"/>
                <w:color w:val="auto"/>
              </w:rPr>
              <w:t>m</w:t>
            </w:r>
            <w:r>
              <w:rPr>
                <w:rFonts w:hint="default" w:ascii="Times New Roman" w:hAnsi="Times New Roman" w:eastAsia="新宋体" w:cs="Times New Roman"/>
                <w:color w:val="auto"/>
                <w:vertAlign w:val="superscript"/>
              </w:rPr>
              <w:t>3</w:t>
            </w:r>
            <w:r>
              <w:rPr>
                <w:rFonts w:hint="default" w:ascii="Times New Roman" w:hAnsi="Times New Roman" w:eastAsia="新宋体" w:cs="Times New Roman"/>
                <w:color w:val="auto"/>
              </w:rPr>
              <w:t>/d（</w:t>
            </w:r>
            <w:r>
              <w:rPr>
                <w:rFonts w:hint="default" w:ascii="Times New Roman" w:hAnsi="Times New Roman" w:eastAsia="新宋体" w:cs="Times New Roman"/>
                <w:color w:val="auto"/>
                <w:lang w:val="en-US" w:eastAsia="zh-CN"/>
              </w:rPr>
              <w:t>151.2</w:t>
            </w:r>
            <w:r>
              <w:rPr>
                <w:rFonts w:hint="default" w:ascii="Times New Roman" w:hAnsi="Times New Roman" w:eastAsia="新宋体" w:cs="Times New Roman"/>
                <w:color w:val="auto"/>
              </w:rPr>
              <w:t>m</w:t>
            </w:r>
            <w:r>
              <w:rPr>
                <w:rFonts w:hint="default" w:ascii="Times New Roman" w:hAnsi="Times New Roman" w:eastAsia="新宋体" w:cs="Times New Roman"/>
                <w:color w:val="auto"/>
                <w:vertAlign w:val="superscript"/>
              </w:rPr>
              <w:t>3</w:t>
            </w:r>
            <w:r>
              <w:rPr>
                <w:rFonts w:hint="default" w:ascii="Times New Roman" w:hAnsi="Times New Roman" w:eastAsia="新宋体" w:cs="Times New Roman"/>
                <w:color w:val="auto"/>
              </w:rPr>
              <w:t>/a）。</w:t>
            </w:r>
          </w:p>
          <w:p w14:paraId="60CFDE75">
            <w:pPr>
              <w:keepNext w:val="0"/>
              <w:keepLines w:val="0"/>
              <w:pageBreakBefore w:val="0"/>
              <w:widowControl/>
              <w:kinsoku/>
              <w:wordWrap/>
              <w:overflowPunct/>
              <w:topLinePunct w:val="0"/>
              <w:bidi w:val="0"/>
              <w:spacing w:line="360" w:lineRule="auto"/>
              <w:ind w:firstLine="480" w:firstLineChars="200"/>
              <w:jc w:val="both"/>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②雾炮降尘用水</w:t>
            </w:r>
          </w:p>
          <w:p w14:paraId="5BC7F2F6">
            <w:pPr>
              <w:keepNext w:val="0"/>
              <w:keepLines w:val="0"/>
              <w:pageBreakBefore w:val="0"/>
              <w:widowControl/>
              <w:kinsoku/>
              <w:wordWrap/>
              <w:overflowPunct/>
              <w:topLinePunct w:val="0"/>
              <w:bidi w:val="0"/>
              <w:spacing w:line="360" w:lineRule="auto"/>
              <w:ind w:firstLine="480" w:firstLineChars="200"/>
              <w:jc w:val="both"/>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本项目在</w:t>
            </w:r>
            <w:r>
              <w:rPr>
                <w:rFonts w:hint="eastAsia" w:eastAsia="新宋体" w:cs="Times New Roman"/>
                <w:color w:val="000000" w:themeColor="text1"/>
                <w:sz w:val="24"/>
                <w:szCs w:val="24"/>
                <w:highlight w:val="none"/>
                <w:lang w:val="en-US" w:eastAsia="zh-CN"/>
                <w14:textFill>
                  <w14:solidFill>
                    <w14:schemeClr w14:val="tx1"/>
                  </w14:solidFill>
                </w14:textFill>
              </w:rPr>
              <w:t>堆场</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、配料、装卸料、露天堆场处设置4</w:t>
            </w:r>
            <w:r>
              <w:rPr>
                <w:rFonts w:hint="eastAsia" w:eastAsia="新宋体" w:cs="Times New Roman"/>
                <w:color w:val="000000" w:themeColor="text1"/>
                <w:sz w:val="24"/>
                <w:szCs w:val="24"/>
                <w:highlight w:val="none"/>
                <w:lang w:val="en-US" w:eastAsia="zh-CN"/>
                <w14:textFill>
                  <w14:solidFill>
                    <w14:schemeClr w14:val="tx1"/>
                  </w14:solidFill>
                </w14:textFill>
              </w:rPr>
              <w:t>台</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雾炮机，单个雾炮机用水需求2L/h，则用水量为0.064</w:t>
            </w:r>
            <w:r>
              <w:rPr>
                <w:rFonts w:hint="default" w:ascii="Times New Roman" w:hAnsi="Times New Roman" w:eastAsia="新宋体" w:cs="Times New Roman"/>
                <w:color w:val="auto"/>
              </w:rPr>
              <w:t>m</w:t>
            </w:r>
            <w:r>
              <w:rPr>
                <w:rFonts w:hint="default" w:ascii="Times New Roman" w:hAnsi="Times New Roman" w:eastAsia="新宋体" w:cs="Times New Roman"/>
                <w:color w:val="auto"/>
                <w:vertAlign w:val="superscript"/>
              </w:rPr>
              <w:t>3</w:t>
            </w:r>
            <w:r>
              <w:rPr>
                <w:rFonts w:hint="default" w:ascii="Times New Roman" w:hAnsi="Times New Roman" w:eastAsia="新宋体" w:cs="Times New Roman"/>
                <w:color w:val="auto"/>
              </w:rPr>
              <w:t>/d（</w:t>
            </w:r>
            <w:r>
              <w:rPr>
                <w:rFonts w:hint="default" w:ascii="Times New Roman" w:hAnsi="Times New Roman" w:eastAsia="新宋体" w:cs="Times New Roman"/>
                <w:color w:val="auto"/>
                <w:lang w:val="en-US" w:eastAsia="zh-CN"/>
              </w:rPr>
              <w:t>13.44</w:t>
            </w:r>
            <w:r>
              <w:rPr>
                <w:rFonts w:hint="default" w:ascii="Times New Roman" w:hAnsi="Times New Roman" w:eastAsia="新宋体" w:cs="Times New Roman"/>
                <w:color w:val="auto"/>
              </w:rPr>
              <w:t>m</w:t>
            </w:r>
            <w:r>
              <w:rPr>
                <w:rFonts w:hint="default" w:ascii="Times New Roman" w:hAnsi="Times New Roman" w:eastAsia="新宋体" w:cs="Times New Roman"/>
                <w:color w:val="auto"/>
                <w:vertAlign w:val="superscript"/>
              </w:rPr>
              <w:t>3</w:t>
            </w:r>
            <w:r>
              <w:rPr>
                <w:rFonts w:hint="default" w:ascii="Times New Roman" w:hAnsi="Times New Roman" w:eastAsia="新宋体" w:cs="Times New Roman"/>
                <w:color w:val="auto"/>
              </w:rPr>
              <w:t>/a）</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，通过产品携带以及蒸发损耗，无外排废水。</w:t>
            </w:r>
          </w:p>
          <w:p w14:paraId="44A7DF16">
            <w:pPr>
              <w:keepNext w:val="0"/>
              <w:keepLines w:val="0"/>
              <w:pageBreakBefore w:val="0"/>
              <w:widowControl/>
              <w:kinsoku/>
              <w:wordWrap/>
              <w:overflowPunct/>
              <w:topLinePunct w:val="0"/>
              <w:bidi w:val="0"/>
              <w:spacing w:line="360" w:lineRule="auto"/>
              <w:ind w:firstLine="480" w:firstLineChars="200"/>
              <w:jc w:val="both"/>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③砼预制件配料用水</w:t>
            </w:r>
          </w:p>
          <w:p w14:paraId="621F2BFB">
            <w:pPr>
              <w:keepNext w:val="0"/>
              <w:keepLines w:val="0"/>
              <w:pageBreakBefore w:val="0"/>
              <w:widowControl/>
              <w:kinsoku/>
              <w:wordWrap/>
              <w:overflowPunct/>
              <w:topLinePunct w:val="0"/>
              <w:bidi w:val="0"/>
              <w:spacing w:line="360" w:lineRule="auto"/>
              <w:ind w:firstLine="480" w:firstLineChars="200"/>
              <w:jc w:val="both"/>
              <w:rPr>
                <w:rFonts w:hint="default" w:ascii="Times New Roman" w:hAnsi="Times New Roman" w:eastAsia="新宋体" w:cs="Times New Roman"/>
                <w:color w:val="000000" w:themeColor="text1"/>
                <w:sz w:val="24"/>
                <w:szCs w:val="24"/>
                <w:highlight w:val="none"/>
                <w:lang w:val="en-US"/>
                <w14:textFill>
                  <w14:solidFill>
                    <w14:schemeClr w14:val="tx1"/>
                  </w14:solidFill>
                </w14:textFill>
              </w:rPr>
            </w:pP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本项目泥料预处理工序需加水对泥料进行浸泡，根据</w:t>
            </w:r>
            <w:r>
              <w:rPr>
                <w:rFonts w:hint="default" w:ascii="Times New Roman" w:hAnsi="Times New Roman" w:eastAsia="新宋体" w:cs="Times New Roman"/>
                <w:color w:val="auto"/>
              </w:rPr>
              <w:t>《</w:t>
            </w:r>
            <w:r>
              <w:rPr>
                <w:rFonts w:hint="default" w:ascii="Times New Roman" w:hAnsi="Times New Roman" w:eastAsia="新宋体" w:cs="Times New Roman"/>
                <w:sz w:val="24"/>
              </w:rPr>
              <w:t>新疆维吾尔自治区生活用水定额</w:t>
            </w:r>
            <w:r>
              <w:rPr>
                <w:rFonts w:hint="default" w:ascii="Times New Roman" w:hAnsi="Times New Roman" w:eastAsia="新宋体" w:cs="Times New Roman"/>
                <w:color w:val="auto"/>
              </w:rPr>
              <w:t>》</w:t>
            </w:r>
            <w:r>
              <w:rPr>
                <w:rFonts w:hint="default" w:ascii="Times New Roman" w:hAnsi="Times New Roman" w:eastAsia="新宋体" w:cs="Times New Roman"/>
                <w:color w:val="auto"/>
                <w:lang w:val="en-US" w:eastAsia="zh-CN"/>
              </w:rPr>
              <w:t>-312砼结构件并结合企业现有生产营运经验</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，配料用水约占产品8%</w:t>
            </w:r>
            <w:r>
              <w:rPr>
                <w:rFonts w:hint="eastAsia" w:eastAsia="新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10%，配料用水进入产品中。</w:t>
            </w:r>
            <w:r>
              <w:rPr>
                <w:rFonts w:hint="default" w:ascii="Times New Roman" w:hAnsi="Times New Roman" w:eastAsia="新宋体" w:cs="Times New Roman"/>
                <w:color w:val="auto"/>
                <w:lang w:val="en-US" w:eastAsia="zh-CN"/>
              </w:rPr>
              <w:t>路缘石、彩砖、水泥柱、空心砖</w:t>
            </w:r>
            <w:r>
              <w:rPr>
                <w:rFonts w:hint="default" w:ascii="Times New Roman" w:hAnsi="Times New Roman" w:eastAsia="新宋体" w:cs="Times New Roman"/>
                <w:color w:val="000000" w:themeColor="text1"/>
                <w:sz w:val="24"/>
                <w:szCs w:val="24"/>
                <w:highlight w:val="none"/>
                <w:lang w:val="en-US"/>
                <w14:textFill>
                  <w14:solidFill>
                    <w14:schemeClr w14:val="tx1"/>
                  </w14:solidFill>
                </w14:textFill>
              </w:rPr>
              <w:t>约</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配料</w:t>
            </w:r>
            <w:r>
              <w:rPr>
                <w:rFonts w:hint="default" w:ascii="Times New Roman" w:hAnsi="Times New Roman" w:eastAsia="新宋体" w:cs="Times New Roman"/>
                <w:color w:val="000000" w:themeColor="text1"/>
                <w:sz w:val="24"/>
                <w:szCs w:val="24"/>
                <w:highlight w:val="none"/>
                <w:lang w:val="en-US"/>
                <w14:textFill>
                  <w14:solidFill>
                    <w14:schemeClr w14:val="tx1"/>
                  </w14:solidFill>
                </w14:textFill>
              </w:rPr>
              <w:t>为0.</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128</w:t>
            </w:r>
            <w:r>
              <w:rPr>
                <w:rFonts w:hint="default" w:ascii="Times New Roman" w:hAnsi="Times New Roman" w:eastAsia="新宋体" w:cs="Times New Roman"/>
                <w:color w:val="000000" w:themeColor="text1"/>
                <w:sz w:val="24"/>
                <w:szCs w:val="24"/>
                <w:highlight w:val="none"/>
                <w:lang w:val="en-US"/>
                <w14:textFill>
                  <w14:solidFill>
                    <w14:schemeClr w14:val="tx1"/>
                  </w14:solidFill>
                </w14:textFill>
              </w:rPr>
              <w:t>m</w:t>
            </w:r>
            <w:r>
              <w:rPr>
                <w:rFonts w:hint="default" w:ascii="Times New Roman" w:hAnsi="Times New Roman" w:eastAsia="新宋体" w:cs="Times New Roman"/>
                <w:color w:val="000000" w:themeColor="text1"/>
                <w:sz w:val="24"/>
                <w:szCs w:val="24"/>
                <w:highlight w:val="none"/>
                <w:vertAlign w:val="superscript"/>
                <w:lang w:val="en-US"/>
                <w14:textFill>
                  <w14:solidFill>
                    <w14:schemeClr w14:val="tx1"/>
                  </w14:solidFill>
                </w14:textFill>
              </w:rPr>
              <w:t>3</w:t>
            </w:r>
            <w:r>
              <w:rPr>
                <w:rFonts w:hint="default" w:ascii="Times New Roman" w:hAnsi="Times New Roman" w:eastAsia="新宋体" w:cs="Times New Roman"/>
                <w:color w:val="000000" w:themeColor="text1"/>
                <w:sz w:val="24"/>
                <w:szCs w:val="24"/>
                <w:highlight w:val="none"/>
                <w:lang w:val="en-US"/>
                <w14:textFill>
                  <w14:solidFill>
                    <w14:schemeClr w14:val="tx1"/>
                  </w14:solidFill>
                </w14:textFill>
              </w:rPr>
              <w:t>/d（</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46.72</w:t>
            </w:r>
            <w:r>
              <w:rPr>
                <w:rFonts w:hint="default" w:ascii="Times New Roman" w:hAnsi="Times New Roman" w:eastAsia="新宋体" w:cs="Times New Roman"/>
                <w:color w:val="000000" w:themeColor="text1"/>
                <w:sz w:val="24"/>
                <w:szCs w:val="24"/>
                <w:highlight w:val="none"/>
                <w:lang w:val="en-US"/>
                <w14:textFill>
                  <w14:solidFill>
                    <w14:schemeClr w14:val="tx1"/>
                  </w14:solidFill>
                </w14:textFill>
              </w:rPr>
              <w:t>m</w:t>
            </w:r>
            <w:r>
              <w:rPr>
                <w:rFonts w:hint="default" w:ascii="Times New Roman" w:hAnsi="Times New Roman" w:eastAsia="新宋体" w:cs="Times New Roman"/>
                <w:color w:val="000000" w:themeColor="text1"/>
                <w:sz w:val="24"/>
                <w:szCs w:val="24"/>
                <w:highlight w:val="none"/>
                <w:vertAlign w:val="superscript"/>
                <w:lang w:val="en-US"/>
                <w14:textFill>
                  <w14:solidFill>
                    <w14:schemeClr w14:val="tx1"/>
                  </w14:solidFill>
                </w14:textFill>
              </w:rPr>
              <w:t>3</w:t>
            </w:r>
            <w:r>
              <w:rPr>
                <w:rFonts w:hint="default" w:ascii="Times New Roman" w:hAnsi="Times New Roman" w:eastAsia="新宋体" w:cs="Times New Roman"/>
                <w:color w:val="000000" w:themeColor="text1"/>
                <w:sz w:val="24"/>
                <w:szCs w:val="24"/>
                <w:highlight w:val="none"/>
                <w:lang w:val="en-US"/>
                <w14:textFill>
                  <w14:solidFill>
                    <w14:schemeClr w14:val="tx1"/>
                  </w14:solidFill>
                </w14:textFill>
              </w:rPr>
              <w:t>/a）</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，无废水外排</w:t>
            </w:r>
            <w:r>
              <w:rPr>
                <w:rFonts w:hint="default" w:ascii="Times New Roman" w:hAnsi="Times New Roman" w:eastAsia="新宋体" w:cs="Times New Roman"/>
                <w:color w:val="000000" w:themeColor="text1"/>
                <w:sz w:val="24"/>
                <w:szCs w:val="24"/>
                <w:highlight w:val="none"/>
                <w:lang w:val="en-US"/>
                <w14:textFill>
                  <w14:solidFill>
                    <w14:schemeClr w14:val="tx1"/>
                  </w14:solidFill>
                </w14:textFill>
              </w:rPr>
              <w:t>。</w:t>
            </w:r>
          </w:p>
          <w:p w14:paraId="58090A86">
            <w:pPr>
              <w:keepNext w:val="0"/>
              <w:keepLines w:val="0"/>
              <w:pageBreakBefore w:val="0"/>
              <w:widowControl/>
              <w:kinsoku/>
              <w:wordWrap/>
              <w:overflowPunct/>
              <w:topLinePunct w:val="0"/>
              <w:bidi w:val="0"/>
              <w:spacing w:line="360" w:lineRule="auto"/>
              <w:ind w:firstLine="480" w:firstLineChars="200"/>
              <w:jc w:val="both"/>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④养护用水</w:t>
            </w:r>
          </w:p>
          <w:p w14:paraId="19E4A193">
            <w:pPr>
              <w:keepNext w:val="0"/>
              <w:keepLines w:val="0"/>
              <w:pageBreakBefore w:val="0"/>
              <w:widowControl/>
              <w:kinsoku/>
              <w:wordWrap/>
              <w:overflowPunct/>
              <w:topLinePunct w:val="0"/>
              <w:bidi w:val="0"/>
              <w:spacing w:line="360" w:lineRule="auto"/>
              <w:ind w:firstLine="480" w:firstLineChars="200"/>
              <w:jc w:val="both"/>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本项目预制件产品需加水养护，依据公司营运经验及所在地气候影响，养护用水量约为25</w:t>
            </w:r>
            <w:r>
              <w:rPr>
                <w:rFonts w:hint="default" w:ascii="Times New Roman" w:hAnsi="Times New Roman" w:eastAsia="新宋体" w:cs="Times New Roman"/>
                <w:color w:val="auto"/>
              </w:rPr>
              <w:t>m</w:t>
            </w:r>
            <w:r>
              <w:rPr>
                <w:rFonts w:hint="default" w:ascii="Times New Roman" w:hAnsi="Times New Roman" w:eastAsia="新宋体" w:cs="Times New Roman"/>
                <w:color w:val="auto"/>
                <w:vertAlign w:val="superscript"/>
              </w:rPr>
              <w:t>3</w:t>
            </w:r>
            <w:r>
              <w:rPr>
                <w:rFonts w:hint="default" w:ascii="Times New Roman" w:hAnsi="Times New Roman" w:eastAsia="新宋体" w:cs="Times New Roman"/>
                <w:color w:val="auto"/>
              </w:rPr>
              <w:t>/d（</w:t>
            </w:r>
            <w:r>
              <w:rPr>
                <w:rFonts w:hint="default" w:ascii="Times New Roman" w:hAnsi="Times New Roman" w:eastAsia="新宋体" w:cs="Times New Roman"/>
                <w:color w:val="auto"/>
                <w:lang w:val="en-US" w:eastAsia="zh-CN"/>
              </w:rPr>
              <w:t>5250</w:t>
            </w:r>
            <w:r>
              <w:rPr>
                <w:rFonts w:hint="default" w:ascii="Times New Roman" w:hAnsi="Times New Roman" w:eastAsia="新宋体" w:cs="Times New Roman"/>
                <w:color w:val="auto"/>
              </w:rPr>
              <w:t>m</w:t>
            </w:r>
            <w:r>
              <w:rPr>
                <w:rFonts w:hint="default" w:ascii="Times New Roman" w:hAnsi="Times New Roman" w:eastAsia="新宋体" w:cs="Times New Roman"/>
                <w:color w:val="auto"/>
                <w:vertAlign w:val="superscript"/>
              </w:rPr>
              <w:t>3</w:t>
            </w:r>
            <w:r>
              <w:rPr>
                <w:rFonts w:hint="default" w:ascii="Times New Roman" w:hAnsi="Times New Roman" w:eastAsia="新宋体" w:cs="Times New Roman"/>
                <w:color w:val="auto"/>
              </w:rPr>
              <w:t>/a）</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w:t>
            </w:r>
          </w:p>
          <w:p w14:paraId="04C04C49">
            <w:pPr>
              <w:keepNext w:val="0"/>
              <w:keepLines w:val="0"/>
              <w:pageBreakBefore w:val="0"/>
              <w:widowControl/>
              <w:kinsoku/>
              <w:wordWrap/>
              <w:overflowPunct/>
              <w:topLinePunct w:val="0"/>
              <w:bidi w:val="0"/>
              <w:spacing w:line="360" w:lineRule="auto"/>
              <w:ind w:firstLine="480" w:firstLineChars="200"/>
              <w:jc w:val="both"/>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⑤道路降尘用水</w:t>
            </w:r>
          </w:p>
          <w:p w14:paraId="08AB6DFC">
            <w:pPr>
              <w:keepNext w:val="0"/>
              <w:keepLines w:val="0"/>
              <w:pageBreakBefore w:val="0"/>
              <w:widowControl/>
              <w:suppressLineNumbers w:val="0"/>
              <w:kinsoku/>
              <w:wordWrap/>
              <w:overflowPunct/>
              <w:topLinePunct w:val="0"/>
              <w:bidi w:val="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本项目道路路面面积约500m</w:t>
            </w:r>
            <w:r>
              <w:rPr>
                <w:rFonts w:hint="default" w:ascii="Times New Roman" w:hAnsi="Times New Roman" w:eastAsia="宋体" w:cs="Times New Roman"/>
                <w:color w:val="000000"/>
                <w:kern w:val="0"/>
                <w:sz w:val="24"/>
                <w:szCs w:val="24"/>
                <w:vertAlign w:val="superscript"/>
                <w:lang w:val="en-US" w:eastAsia="zh-CN" w:bidi="ar"/>
              </w:rPr>
              <w:t>2</w:t>
            </w:r>
            <w:r>
              <w:rPr>
                <w:rFonts w:hint="default" w:ascii="Times New Roman" w:hAnsi="Times New Roman" w:eastAsia="宋体" w:cs="Times New Roman"/>
                <w:color w:val="000000"/>
                <w:kern w:val="0"/>
                <w:sz w:val="24"/>
                <w:szCs w:val="24"/>
                <w:lang w:val="en-US" w:eastAsia="zh-CN" w:bidi="ar"/>
              </w:rPr>
              <w:t>，降尘用水量平均按2L/m</w:t>
            </w:r>
            <w:r>
              <w:rPr>
                <w:rFonts w:hint="default" w:ascii="Times New Roman" w:hAnsi="Times New Roman" w:eastAsia="宋体" w:cs="Times New Roman"/>
                <w:color w:val="000000"/>
                <w:kern w:val="0"/>
                <w:sz w:val="24"/>
                <w:szCs w:val="24"/>
                <w:vertAlign w:val="superscript"/>
                <w:lang w:val="en-US" w:eastAsia="zh-CN" w:bidi="ar"/>
              </w:rPr>
              <w:t>2</w:t>
            </w:r>
            <w:r>
              <w:rPr>
                <w:rFonts w:hint="default" w:ascii="Times New Roman" w:hAnsi="Times New Roman" w:eastAsia="宋体" w:cs="Times New Roman"/>
                <w:color w:val="000000"/>
                <w:kern w:val="0"/>
                <w:sz w:val="24"/>
                <w:szCs w:val="24"/>
                <w:lang w:val="en-US" w:eastAsia="zh-CN" w:bidi="ar"/>
              </w:rPr>
              <w:t>·d计算，则本项目道路降尘用水量为1</w:t>
            </w:r>
            <w:r>
              <w:rPr>
                <w:rFonts w:hint="default" w:ascii="Times New Roman" w:hAnsi="Times New Roman" w:eastAsia="新宋体" w:cs="Times New Roman"/>
                <w:color w:val="auto"/>
              </w:rPr>
              <w:t>m</w:t>
            </w:r>
            <w:r>
              <w:rPr>
                <w:rFonts w:hint="default" w:ascii="Times New Roman" w:hAnsi="Times New Roman" w:eastAsia="新宋体" w:cs="Times New Roman"/>
                <w:color w:val="auto"/>
                <w:vertAlign w:val="superscript"/>
              </w:rPr>
              <w:t>3</w:t>
            </w:r>
            <w:r>
              <w:rPr>
                <w:rFonts w:hint="default" w:ascii="Times New Roman" w:hAnsi="Times New Roman" w:eastAsia="新宋体" w:cs="Times New Roman"/>
                <w:color w:val="auto"/>
              </w:rPr>
              <w:t>/d（</w:t>
            </w:r>
            <w:r>
              <w:rPr>
                <w:rFonts w:hint="default" w:ascii="Times New Roman" w:hAnsi="Times New Roman" w:eastAsia="新宋体" w:cs="Times New Roman"/>
                <w:color w:val="auto"/>
                <w:lang w:val="en-US" w:eastAsia="zh-CN"/>
              </w:rPr>
              <w:t>210</w:t>
            </w:r>
            <w:r>
              <w:rPr>
                <w:rFonts w:hint="default" w:ascii="Times New Roman" w:hAnsi="Times New Roman" w:eastAsia="新宋体" w:cs="Times New Roman"/>
                <w:color w:val="auto"/>
              </w:rPr>
              <w:t>m</w:t>
            </w:r>
            <w:r>
              <w:rPr>
                <w:rFonts w:hint="default" w:ascii="Times New Roman" w:hAnsi="Times New Roman" w:eastAsia="新宋体" w:cs="Times New Roman"/>
                <w:color w:val="auto"/>
                <w:vertAlign w:val="superscript"/>
              </w:rPr>
              <w:t>3</w:t>
            </w:r>
            <w:r>
              <w:rPr>
                <w:rFonts w:hint="default" w:ascii="Times New Roman" w:hAnsi="Times New Roman" w:eastAsia="新宋体" w:cs="Times New Roman"/>
                <w:color w:val="auto"/>
              </w:rPr>
              <w:t>/a）</w:t>
            </w:r>
            <w:r>
              <w:rPr>
                <w:rFonts w:hint="default" w:ascii="Times New Roman" w:hAnsi="Times New Roman" w:eastAsia="宋体" w:cs="Times New Roman"/>
                <w:color w:val="000000"/>
                <w:kern w:val="0"/>
                <w:sz w:val="24"/>
                <w:szCs w:val="24"/>
                <w:lang w:val="en-US" w:eastAsia="zh-CN" w:bidi="ar"/>
              </w:rPr>
              <w:t>，全部蒸发。</w:t>
            </w:r>
          </w:p>
          <w:p w14:paraId="3ED9008A">
            <w:pPr>
              <w:keepNext w:val="0"/>
              <w:keepLines w:val="0"/>
              <w:pageBreakBefore w:val="0"/>
              <w:widowControl/>
              <w:suppressLineNumbers w:val="0"/>
              <w:kinsoku/>
              <w:wordWrap/>
              <w:overflowPunct/>
              <w:topLinePunct w:val="0"/>
              <w:bidi w:val="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⑥车辆清洗用水</w:t>
            </w:r>
          </w:p>
          <w:p w14:paraId="25EE2E6D">
            <w:pPr>
              <w:keepNext w:val="0"/>
              <w:keepLines w:val="0"/>
              <w:pageBreakBefore w:val="0"/>
              <w:widowControl/>
              <w:suppressLineNumbers w:val="0"/>
              <w:kinsoku/>
              <w:wordWrap/>
              <w:overflowPunct/>
              <w:topLinePunct w:val="0"/>
              <w:bidi w:val="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本项目每天需运输2次，清洗车辆轮胎水量为0.05m</w:t>
            </w:r>
            <w:r>
              <w:rPr>
                <w:rFonts w:hint="default" w:ascii="Times New Roman" w:hAnsi="Times New Roman" w:eastAsia="宋体" w:cs="Times New Roman"/>
                <w:color w:val="000000"/>
                <w:kern w:val="0"/>
                <w:sz w:val="15"/>
                <w:szCs w:val="15"/>
                <w:lang w:val="en-US" w:eastAsia="zh-CN" w:bidi="ar"/>
              </w:rPr>
              <w:t>3</w:t>
            </w:r>
            <w:r>
              <w:rPr>
                <w:rFonts w:hint="default" w:ascii="Times New Roman" w:hAnsi="Times New Roman" w:eastAsia="宋体" w:cs="Times New Roman"/>
                <w:color w:val="000000"/>
                <w:kern w:val="0"/>
                <w:sz w:val="24"/>
                <w:szCs w:val="24"/>
                <w:lang w:val="en-US" w:eastAsia="zh-CN" w:bidi="ar"/>
              </w:rPr>
              <w:t>/辆次，则全年合计0.1</w:t>
            </w:r>
            <w:r>
              <w:rPr>
                <w:rFonts w:hint="default" w:ascii="Times New Roman" w:hAnsi="Times New Roman" w:eastAsia="新宋体" w:cs="Times New Roman"/>
                <w:color w:val="auto"/>
              </w:rPr>
              <w:t>m</w:t>
            </w:r>
            <w:r>
              <w:rPr>
                <w:rFonts w:hint="default" w:ascii="Times New Roman" w:hAnsi="Times New Roman" w:eastAsia="新宋体" w:cs="Times New Roman"/>
                <w:color w:val="auto"/>
                <w:vertAlign w:val="superscript"/>
              </w:rPr>
              <w:t>3</w:t>
            </w:r>
            <w:r>
              <w:rPr>
                <w:rFonts w:hint="default" w:ascii="Times New Roman" w:hAnsi="Times New Roman" w:eastAsia="新宋体" w:cs="Times New Roman"/>
                <w:color w:val="auto"/>
              </w:rPr>
              <w:t>/d（</w:t>
            </w:r>
            <w:r>
              <w:rPr>
                <w:rFonts w:hint="default" w:ascii="Times New Roman" w:hAnsi="Times New Roman" w:eastAsia="新宋体" w:cs="Times New Roman"/>
                <w:color w:val="auto"/>
                <w:lang w:val="en-US" w:eastAsia="zh-CN"/>
              </w:rPr>
              <w:t>21</w:t>
            </w:r>
            <w:r>
              <w:rPr>
                <w:rFonts w:hint="default" w:ascii="Times New Roman" w:hAnsi="Times New Roman" w:eastAsia="新宋体" w:cs="Times New Roman"/>
                <w:color w:val="auto"/>
              </w:rPr>
              <w:t>m</w:t>
            </w:r>
            <w:r>
              <w:rPr>
                <w:rFonts w:hint="default" w:ascii="Times New Roman" w:hAnsi="Times New Roman" w:eastAsia="新宋体" w:cs="Times New Roman"/>
                <w:color w:val="auto"/>
                <w:vertAlign w:val="superscript"/>
              </w:rPr>
              <w:t>3</w:t>
            </w:r>
            <w:r>
              <w:rPr>
                <w:rFonts w:hint="default" w:ascii="Times New Roman" w:hAnsi="Times New Roman" w:eastAsia="新宋体" w:cs="Times New Roman"/>
                <w:color w:val="auto"/>
              </w:rPr>
              <w:t>/a）</w:t>
            </w:r>
            <w:r>
              <w:rPr>
                <w:rFonts w:hint="default" w:ascii="Times New Roman" w:hAnsi="Times New Roman" w:eastAsia="宋体" w:cs="Times New Roman"/>
                <w:color w:val="000000"/>
                <w:kern w:val="0"/>
                <w:sz w:val="24"/>
                <w:szCs w:val="24"/>
                <w:lang w:val="en-US" w:eastAsia="zh-CN" w:bidi="ar"/>
              </w:rPr>
              <w:t>。洗车废水循环使用，在此过程中蒸发损耗约20%，则需补充新鲜水0.02m</w:t>
            </w:r>
            <w:r>
              <w:rPr>
                <w:rFonts w:hint="default" w:ascii="Times New Roman" w:hAnsi="Times New Roman" w:eastAsia="宋体" w:cs="Times New Roman"/>
                <w:color w:val="000000"/>
                <w:kern w:val="0"/>
                <w:sz w:val="15"/>
                <w:szCs w:val="15"/>
                <w:lang w:val="en-US" w:eastAsia="zh-CN" w:bidi="ar"/>
              </w:rPr>
              <w:t>3</w:t>
            </w:r>
            <w:r>
              <w:rPr>
                <w:rFonts w:hint="default" w:ascii="Times New Roman" w:hAnsi="Times New Roman" w:eastAsia="宋体" w:cs="Times New Roman"/>
                <w:color w:val="000000"/>
                <w:kern w:val="0"/>
                <w:sz w:val="24"/>
                <w:szCs w:val="24"/>
                <w:lang w:val="en-US" w:eastAsia="zh-CN" w:bidi="ar"/>
              </w:rPr>
              <w:t>/d。</w:t>
            </w:r>
          </w:p>
          <w:p w14:paraId="01855A2D">
            <w:pPr>
              <w:keepNext w:val="0"/>
              <w:keepLines w:val="0"/>
              <w:pageBreakBefore w:val="0"/>
              <w:widowControl/>
              <w:kinsoku/>
              <w:wordWrap/>
              <w:overflowPunct/>
              <w:topLinePunct w:val="0"/>
              <w:bidi w:val="0"/>
              <w:spacing w:line="360" w:lineRule="auto"/>
              <w:ind w:firstLine="480" w:firstLineChars="200"/>
              <w:jc w:val="both"/>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车辆洗车用水及道路降尘水优先使用沉淀后回用水。</w:t>
            </w:r>
          </w:p>
          <w:p w14:paraId="31065B0B">
            <w:pPr>
              <w:keepNext w:val="0"/>
              <w:keepLines w:val="0"/>
              <w:pageBreakBefore w:val="0"/>
              <w:widowControl/>
              <w:kinsoku/>
              <w:wordWrap/>
              <w:overflowPunct/>
              <w:topLinePunct w:val="0"/>
              <w:bidi w:val="0"/>
              <w:spacing w:line="360" w:lineRule="auto"/>
              <w:ind w:firstLine="480" w:firstLineChars="200"/>
              <w:jc w:val="both"/>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⑦绿化用水</w:t>
            </w:r>
          </w:p>
          <w:p w14:paraId="3793A8EF">
            <w:pPr>
              <w:keepNext w:val="0"/>
              <w:keepLines w:val="0"/>
              <w:pageBreakBefore w:val="0"/>
              <w:widowControl/>
              <w:kinsoku/>
              <w:wordWrap/>
              <w:overflowPunct/>
              <w:topLinePunct w:val="0"/>
              <w:bidi w:val="0"/>
              <w:spacing w:line="360" w:lineRule="auto"/>
              <w:ind w:firstLine="480" w:firstLineChars="200"/>
              <w:jc w:val="both"/>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根据踏勘场内绿化面积约230m</w:t>
            </w:r>
            <w:r>
              <w:rPr>
                <w:rFonts w:hint="default" w:ascii="Times New Roman" w:hAnsi="Times New Roman" w:eastAsia="新宋体" w:cs="Times New Roman"/>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新宋体" w:cs="Times New Roman"/>
                <w:color w:val="auto"/>
                <w:highlight w:val="none"/>
                <w:lang w:val="en-US" w:eastAsia="zh-CN"/>
              </w:rPr>
              <w:t>参照《建筑给水排水设计标准》（GB50015-2019）第三章</w:t>
            </w:r>
            <w:r>
              <w:rPr>
                <w:rFonts w:hint="default" w:ascii="Times New Roman" w:hAnsi="Times New Roman" w:eastAsia="新宋体" w:cs="Times New Roman"/>
                <w:color w:val="auto"/>
                <w:highlight w:val="none"/>
              </w:rPr>
              <w:t>，绿化浇灌用水定额</w:t>
            </w:r>
            <w:r>
              <w:rPr>
                <w:rFonts w:hint="default" w:ascii="Times New Roman" w:hAnsi="Times New Roman" w:eastAsia="新宋体" w:cs="Times New Roman"/>
                <w:color w:val="auto"/>
                <w:highlight w:val="none"/>
                <w:lang w:val="en-US" w:eastAsia="zh-CN"/>
              </w:rPr>
              <w:t>中间值</w:t>
            </w:r>
            <w:r>
              <w:rPr>
                <w:rFonts w:hint="default" w:ascii="Times New Roman" w:hAnsi="Times New Roman" w:eastAsia="新宋体" w:cs="Times New Roman"/>
                <w:color w:val="auto"/>
                <w:highlight w:val="none"/>
              </w:rPr>
              <w:t>按</w:t>
            </w:r>
            <w:r>
              <w:rPr>
                <w:rFonts w:hint="default" w:ascii="Times New Roman" w:hAnsi="Times New Roman" w:eastAsia="新宋体" w:cs="Times New Roman"/>
                <w:color w:val="auto"/>
                <w:highlight w:val="none"/>
                <w:lang w:val="en-US" w:eastAsia="zh-CN"/>
              </w:rPr>
              <w:t>1.5</w:t>
            </w:r>
            <w:r>
              <w:rPr>
                <w:rFonts w:hint="default" w:ascii="Times New Roman" w:hAnsi="Times New Roman" w:eastAsia="新宋体" w:cs="Times New Roman"/>
                <w:color w:val="auto"/>
                <w:highlight w:val="none"/>
              </w:rPr>
              <w:t>L/m</w:t>
            </w:r>
            <w:r>
              <w:rPr>
                <w:rFonts w:hint="default" w:ascii="Times New Roman" w:hAnsi="Times New Roman" w:eastAsia="新宋体" w:cs="Times New Roman"/>
                <w:color w:val="auto"/>
                <w:highlight w:val="none"/>
                <w:vertAlign w:val="superscript"/>
              </w:rPr>
              <w:t>2</w:t>
            </w:r>
            <w:r>
              <w:rPr>
                <w:rFonts w:hint="default" w:ascii="Times New Roman" w:hAnsi="Times New Roman" w:eastAsia="新宋体" w:cs="Times New Roman"/>
                <w:color w:val="auto"/>
                <w:highlight w:val="none"/>
                <w:vertAlign w:val="baseline"/>
                <w:lang w:val="en-US" w:eastAsia="zh-CN"/>
              </w:rPr>
              <w:t>·d</w:t>
            </w:r>
            <w:r>
              <w:rPr>
                <w:rFonts w:hint="default" w:ascii="Times New Roman" w:hAnsi="Times New Roman" w:eastAsia="新宋体" w:cs="Times New Roman"/>
                <w:color w:val="auto"/>
                <w:highlight w:val="none"/>
              </w:rPr>
              <w:t>次计，则绿化用水量为</w:t>
            </w:r>
            <w:r>
              <w:rPr>
                <w:rFonts w:hint="default" w:ascii="Times New Roman" w:hAnsi="Times New Roman" w:eastAsia="新宋体" w:cs="Times New Roman"/>
                <w:color w:val="auto"/>
                <w:highlight w:val="none"/>
                <w:lang w:val="en-US" w:eastAsia="zh-CN"/>
              </w:rPr>
              <w:t>0.345</w:t>
            </w:r>
            <w:r>
              <w:rPr>
                <w:rFonts w:hint="default" w:ascii="Times New Roman" w:hAnsi="Times New Roman" w:eastAsia="新宋体" w:cs="Times New Roman"/>
                <w:color w:val="auto"/>
                <w:highlight w:val="none"/>
              </w:rPr>
              <w:t>m</w:t>
            </w:r>
            <w:r>
              <w:rPr>
                <w:rFonts w:hint="default" w:ascii="Times New Roman" w:hAnsi="Times New Roman" w:eastAsia="新宋体" w:cs="Times New Roman"/>
                <w:color w:val="auto"/>
                <w:highlight w:val="none"/>
                <w:vertAlign w:val="superscript"/>
              </w:rPr>
              <w:t>3</w:t>
            </w:r>
            <w:r>
              <w:rPr>
                <w:rFonts w:hint="default" w:ascii="Times New Roman" w:hAnsi="Times New Roman" w:eastAsia="新宋体" w:cs="Times New Roman"/>
                <w:color w:val="auto"/>
                <w:highlight w:val="none"/>
              </w:rPr>
              <w:t>/次，按每年灌溉</w:t>
            </w:r>
            <w:r>
              <w:rPr>
                <w:rFonts w:hint="default" w:ascii="Times New Roman" w:hAnsi="Times New Roman" w:eastAsia="新宋体" w:cs="Times New Roman"/>
                <w:color w:val="auto"/>
                <w:highlight w:val="none"/>
                <w:lang w:val="en-US" w:eastAsia="zh-CN"/>
              </w:rPr>
              <w:t>30</w:t>
            </w:r>
            <w:r>
              <w:rPr>
                <w:rFonts w:hint="default" w:ascii="Times New Roman" w:hAnsi="Times New Roman" w:eastAsia="新宋体" w:cs="Times New Roman"/>
                <w:color w:val="auto"/>
                <w:highlight w:val="none"/>
              </w:rPr>
              <w:t>次计，则年绿化用水为</w:t>
            </w:r>
            <w:r>
              <w:rPr>
                <w:rFonts w:hint="default" w:ascii="Times New Roman" w:hAnsi="Times New Roman" w:eastAsia="新宋体" w:cs="Times New Roman"/>
                <w:color w:val="auto"/>
                <w:highlight w:val="none"/>
                <w:lang w:val="en-US" w:eastAsia="zh-CN"/>
              </w:rPr>
              <w:t>10.35</w:t>
            </w:r>
            <w:r>
              <w:rPr>
                <w:rFonts w:hint="default" w:ascii="Times New Roman" w:hAnsi="Times New Roman" w:eastAsia="新宋体" w:cs="Times New Roman"/>
                <w:color w:val="auto"/>
                <w:highlight w:val="none"/>
              </w:rPr>
              <w:t>m</w:t>
            </w:r>
            <w:r>
              <w:rPr>
                <w:rFonts w:hint="default" w:ascii="Times New Roman" w:hAnsi="Times New Roman" w:eastAsia="新宋体" w:cs="Times New Roman"/>
                <w:color w:val="auto"/>
                <w:highlight w:val="none"/>
                <w:vertAlign w:val="superscript"/>
              </w:rPr>
              <w:t>3</w:t>
            </w:r>
            <w:r>
              <w:rPr>
                <w:rFonts w:hint="default" w:ascii="Times New Roman" w:hAnsi="Times New Roman" w:eastAsia="新宋体" w:cs="Times New Roman"/>
                <w:color w:val="auto"/>
                <w:highlight w:val="none"/>
              </w:rPr>
              <w:t>/a。</w:t>
            </w:r>
          </w:p>
          <w:p w14:paraId="78601F1E">
            <w:pPr>
              <w:pStyle w:val="2"/>
              <w:keepNext w:val="0"/>
              <w:keepLines w:val="0"/>
              <w:pageBreakBefore w:val="0"/>
              <w:widowControl/>
              <w:kinsoku/>
              <w:wordWrap/>
              <w:overflowPunct/>
              <w:topLinePunct w:val="0"/>
              <w:bidi w:val="0"/>
              <w:spacing w:after="0"/>
              <w:ind w:left="0" w:leftChars="0" w:firstLine="0" w:firstLineChars="0"/>
              <w:jc w:val="center"/>
              <w:rPr>
                <w:rFonts w:hint="default" w:ascii="Times New Roman" w:hAnsi="Times New Roman" w:eastAsia="新宋体" w:cs="Times New Roman"/>
                <w:color w:val="000000" w:themeColor="text1"/>
                <w14:textFill>
                  <w14:solidFill>
                    <w14:schemeClr w14:val="tx1"/>
                  </w14:solidFill>
                </w14:textFill>
              </w:rPr>
            </w:pPr>
            <w:r>
              <w:rPr>
                <w:rFonts w:hint="default" w:ascii="Times New Roman" w:hAnsi="Times New Roman" w:cs="Times New Roman"/>
              </w:rPr>
              <w:drawing>
                <wp:inline distT="0" distB="0" distL="114300" distR="114300">
                  <wp:extent cx="4401820" cy="2911475"/>
                  <wp:effectExtent l="0" t="0" r="17780" b="31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4401820" cy="2911475"/>
                          </a:xfrm>
                          <a:prstGeom prst="rect">
                            <a:avLst/>
                          </a:prstGeom>
                          <a:noFill/>
                          <a:ln>
                            <a:noFill/>
                          </a:ln>
                        </pic:spPr>
                      </pic:pic>
                    </a:graphicData>
                  </a:graphic>
                </wp:inline>
              </w:drawing>
            </w:r>
          </w:p>
          <w:p w14:paraId="6B2409CF">
            <w:pPr>
              <w:pStyle w:val="2"/>
              <w:keepNext w:val="0"/>
              <w:keepLines w:val="0"/>
              <w:pageBreakBefore w:val="0"/>
              <w:widowControl/>
              <w:kinsoku/>
              <w:wordWrap/>
              <w:overflowPunct/>
              <w:topLinePunct w:val="0"/>
              <w:bidi w:val="0"/>
              <w:spacing w:after="0"/>
              <w:ind w:left="0" w:leftChars="0" w:firstLine="422" w:firstLineChars="200"/>
              <w:jc w:val="center"/>
              <w:rPr>
                <w:rFonts w:hint="default" w:ascii="Times New Roman" w:hAnsi="Times New Roman" w:eastAsia="新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新宋体" w:cs="Times New Roman"/>
                <w:b/>
                <w:bCs/>
                <w:color w:val="000000" w:themeColor="text1"/>
                <w:sz w:val="21"/>
                <w:szCs w:val="21"/>
                <w:highlight w:val="none"/>
                <w:lang w:val="en-US" w:eastAsia="zh-CN"/>
                <w14:textFill>
                  <w14:solidFill>
                    <w14:schemeClr w14:val="tx1"/>
                  </w14:solidFill>
                </w14:textFill>
              </w:rPr>
              <w:t>图2-</w:t>
            </w:r>
            <w:r>
              <w:rPr>
                <w:rFonts w:hint="eastAsia" w:ascii="Times New Roman" w:hAnsi="Times New Roman" w:eastAsia="新宋体" w:cs="Times New Roman"/>
                <w:b/>
                <w:bCs/>
                <w:color w:val="000000" w:themeColor="text1"/>
                <w:sz w:val="21"/>
                <w:szCs w:val="21"/>
                <w:highlight w:val="none"/>
                <w:lang w:val="en-US" w:eastAsia="zh-CN"/>
                <w14:textFill>
                  <w14:solidFill>
                    <w14:schemeClr w14:val="tx1"/>
                  </w14:solidFill>
                </w14:textFill>
              </w:rPr>
              <w:t>1</w:t>
            </w:r>
            <w:r>
              <w:rPr>
                <w:rFonts w:hint="default" w:ascii="Times New Roman" w:hAnsi="Times New Roman" w:eastAsia="新宋体" w:cs="Times New Roman"/>
                <w:b/>
                <w:bCs/>
                <w:color w:val="000000" w:themeColor="text1"/>
                <w:sz w:val="21"/>
                <w:szCs w:val="21"/>
                <w:highlight w:val="none"/>
                <w:lang w:val="en-US" w:eastAsia="zh-CN"/>
                <w14:textFill>
                  <w14:solidFill>
                    <w14:schemeClr w14:val="tx1"/>
                  </w14:solidFill>
                </w14:textFill>
              </w:rPr>
              <w:t>水平衡图</w:t>
            </w:r>
          </w:p>
          <w:p w14:paraId="39EA5739">
            <w:pPr>
              <w:pStyle w:val="2"/>
              <w:keepNext w:val="0"/>
              <w:keepLines w:val="0"/>
              <w:pageBreakBefore w:val="0"/>
              <w:widowControl/>
              <w:kinsoku/>
              <w:wordWrap/>
              <w:overflowPunct/>
              <w:topLinePunct w:val="0"/>
              <w:bidi w:val="0"/>
              <w:spacing w:after="0"/>
              <w:ind w:left="0" w:leftChars="0" w:firstLine="480" w:firstLineChars="200"/>
              <w:jc w:val="both"/>
              <w:rPr>
                <w:rFonts w:hint="default" w:ascii="Times New Roman" w:hAnsi="Times New Roman" w:eastAsia="新宋体" w:cs="Times New Roman"/>
                <w:color w:val="000000" w:themeColor="text1"/>
                <w:szCs w:val="24"/>
                <w:highlight w:val="none"/>
                <w:lang w:val="en-US" w:eastAsia="zh-CN"/>
                <w14:textFill>
                  <w14:solidFill>
                    <w14:schemeClr w14:val="tx1"/>
                  </w14:solidFill>
                </w14:textFill>
              </w:rPr>
            </w:pPr>
            <w:r>
              <w:rPr>
                <w:rFonts w:hint="default" w:ascii="Times New Roman" w:hAnsi="Times New Roman" w:eastAsia="新宋体" w:cs="Times New Roman"/>
                <w:color w:val="000000" w:themeColor="text1"/>
                <w:szCs w:val="24"/>
                <w:highlight w:val="none"/>
                <w:lang w:val="en-US" w:eastAsia="zh-CN"/>
                <w14:textFill>
                  <w14:solidFill>
                    <w14:schemeClr w14:val="tx1"/>
                  </w14:solidFill>
                </w14:textFill>
              </w:rPr>
              <w:t>（2）供热</w:t>
            </w:r>
          </w:p>
          <w:p w14:paraId="2A974D85">
            <w:pPr>
              <w:pStyle w:val="2"/>
              <w:keepNext w:val="0"/>
              <w:keepLines w:val="0"/>
              <w:pageBreakBefore w:val="0"/>
              <w:widowControl/>
              <w:kinsoku/>
              <w:wordWrap/>
              <w:overflowPunct/>
              <w:topLinePunct w:val="0"/>
              <w:bidi w:val="0"/>
              <w:spacing w:after="0"/>
              <w:ind w:left="0" w:leftChars="0" w:firstLine="480" w:firstLineChars="200"/>
              <w:jc w:val="both"/>
              <w:rPr>
                <w:rFonts w:hint="default" w:ascii="Times New Roman" w:hAnsi="Times New Roman" w:eastAsia="新宋体" w:cs="Times New Roman"/>
                <w:color w:val="000000" w:themeColor="text1"/>
                <w:szCs w:val="24"/>
                <w:highlight w:val="none"/>
                <w:lang w:val="en-US" w:eastAsia="zh-CN"/>
                <w14:textFill>
                  <w14:solidFill>
                    <w14:schemeClr w14:val="tx1"/>
                  </w14:solidFill>
                </w14:textFill>
              </w:rPr>
            </w:pPr>
            <w:r>
              <w:rPr>
                <w:rFonts w:hint="default" w:ascii="Times New Roman" w:hAnsi="Times New Roman" w:eastAsia="新宋体" w:cs="Times New Roman"/>
                <w:color w:val="000000" w:themeColor="text1"/>
                <w:szCs w:val="24"/>
                <w:highlight w:val="none"/>
                <w:lang w:val="en-US" w:eastAsia="zh-CN"/>
                <w14:textFill>
                  <w14:solidFill>
                    <w14:schemeClr w14:val="tx1"/>
                  </w14:solidFill>
                </w14:textFill>
              </w:rPr>
              <w:t>夏季采用空调制电制冷，冬季不生产，值班人员采暖由电供热</w:t>
            </w:r>
            <w:r>
              <w:rPr>
                <w:rFonts w:hint="default" w:ascii="Times New Roman" w:hAnsi="Times New Roman" w:eastAsia="新宋体" w:cs="Times New Roman"/>
                <w:color w:val="000000" w:themeColor="text1"/>
                <w:szCs w:val="24"/>
                <w:highlight w:val="none"/>
                <w14:textFill>
                  <w14:solidFill>
                    <w14:schemeClr w14:val="tx1"/>
                  </w14:solidFill>
                </w14:textFill>
              </w:rPr>
              <w:t>。</w:t>
            </w:r>
          </w:p>
          <w:p w14:paraId="1EB3190B">
            <w:pPr>
              <w:pStyle w:val="2"/>
              <w:keepNext w:val="0"/>
              <w:keepLines w:val="0"/>
              <w:pageBreakBefore w:val="0"/>
              <w:widowControl/>
              <w:kinsoku/>
              <w:wordWrap/>
              <w:overflowPunct/>
              <w:topLinePunct w:val="0"/>
              <w:bidi w:val="0"/>
              <w:spacing w:after="0"/>
              <w:ind w:left="0" w:leftChars="0" w:firstLine="480" w:firstLineChars="200"/>
              <w:jc w:val="both"/>
              <w:rPr>
                <w:rFonts w:hint="default" w:ascii="Times New Roman" w:hAnsi="Times New Roman" w:eastAsia="新宋体" w:cs="Times New Roman"/>
                <w:color w:val="000000" w:themeColor="text1"/>
                <w:szCs w:val="24"/>
                <w:highlight w:val="none"/>
                <w:lang w:val="en-US" w:eastAsia="zh-CN"/>
                <w14:textFill>
                  <w14:solidFill>
                    <w14:schemeClr w14:val="tx1"/>
                  </w14:solidFill>
                </w14:textFill>
              </w:rPr>
            </w:pPr>
            <w:r>
              <w:rPr>
                <w:rFonts w:hint="default" w:ascii="Times New Roman" w:hAnsi="Times New Roman" w:eastAsia="新宋体" w:cs="Times New Roman"/>
                <w:color w:val="000000" w:themeColor="text1"/>
                <w:szCs w:val="24"/>
                <w:highlight w:val="none"/>
                <w:lang w:val="en-US" w:eastAsia="zh-CN"/>
                <w14:textFill>
                  <w14:solidFill>
                    <w14:schemeClr w14:val="tx1"/>
                  </w14:solidFill>
                </w14:textFill>
              </w:rPr>
              <w:t>（3）供电</w:t>
            </w:r>
          </w:p>
          <w:p w14:paraId="383D81DE">
            <w:pPr>
              <w:pStyle w:val="2"/>
              <w:keepNext w:val="0"/>
              <w:keepLines w:val="0"/>
              <w:pageBreakBefore w:val="0"/>
              <w:widowControl/>
              <w:kinsoku/>
              <w:wordWrap/>
              <w:overflowPunct/>
              <w:topLinePunct w:val="0"/>
              <w:bidi w:val="0"/>
              <w:spacing w:after="0"/>
              <w:ind w:left="0" w:leftChars="0" w:firstLine="480" w:firstLineChars="200"/>
              <w:jc w:val="both"/>
              <w:rPr>
                <w:rFonts w:hint="default" w:ascii="Times New Roman" w:hAnsi="Times New Roman" w:eastAsia="新宋体" w:cs="Times New Roman"/>
                <w:color w:val="000000" w:themeColor="text1"/>
                <w:szCs w:val="24"/>
                <w:highlight w:val="none"/>
                <w:lang w:val="en-US" w:eastAsia="zh-CN"/>
                <w14:textFill>
                  <w14:solidFill>
                    <w14:schemeClr w14:val="tx1"/>
                  </w14:solidFill>
                </w14:textFill>
              </w:rPr>
            </w:pPr>
            <w:r>
              <w:rPr>
                <w:rFonts w:hint="default" w:ascii="Times New Roman" w:hAnsi="Times New Roman" w:eastAsia="新宋体" w:cs="Times New Roman"/>
                <w:color w:val="000000" w:themeColor="text1"/>
                <w:szCs w:val="24"/>
                <w:highlight w:val="none"/>
                <w:lang w:val="en-US" w:eastAsia="zh-CN"/>
                <w14:textFill>
                  <w14:solidFill>
                    <w14:schemeClr w14:val="tx1"/>
                  </w14:solidFill>
                </w14:textFill>
              </w:rPr>
              <w:t>由项目区现有北侧10kV电路引入，经架空后引向本站，可满足本项目用电负荷及对供电可靠性的要求。</w:t>
            </w:r>
          </w:p>
          <w:p w14:paraId="505F7DF9">
            <w:pPr>
              <w:keepNext w:val="0"/>
              <w:keepLines w:val="0"/>
              <w:pageBreakBefore w:val="0"/>
              <w:widowControl/>
              <w:kinsoku/>
              <w:wordWrap/>
              <w:overflowPunct/>
              <w:topLinePunct w:val="0"/>
              <w:bidi w:val="0"/>
              <w:spacing w:line="360" w:lineRule="auto"/>
              <w:ind w:firstLine="482" w:firstLineChars="200"/>
              <w:jc w:val="both"/>
              <w:rPr>
                <w:rFonts w:hint="default" w:ascii="Times New Roman" w:hAnsi="Times New Roman" w:eastAsia="新宋体" w:cs="Times New Roman"/>
                <w:b/>
                <w:bCs/>
                <w:color w:val="000000" w:themeColor="text1"/>
                <w:sz w:val="24"/>
                <w:szCs w:val="24"/>
                <w:highlight w:val="none"/>
                <w14:textFill>
                  <w14:solidFill>
                    <w14:schemeClr w14:val="tx1"/>
                  </w14:solidFill>
                </w14:textFill>
              </w:rPr>
            </w:pPr>
            <w:r>
              <w:rPr>
                <w:rFonts w:hint="default" w:ascii="Times New Roman" w:hAnsi="Times New Roman" w:eastAsia="新宋体" w:cs="Times New Roman"/>
                <w:b/>
                <w:bCs/>
                <w:color w:val="000000" w:themeColor="text1"/>
                <w:sz w:val="24"/>
                <w:szCs w:val="24"/>
                <w:highlight w:val="none"/>
                <w14:textFill>
                  <w14:solidFill>
                    <w14:schemeClr w14:val="tx1"/>
                  </w14:solidFill>
                </w14:textFill>
              </w:rPr>
              <w:t>7、总平面布置</w:t>
            </w:r>
          </w:p>
          <w:p w14:paraId="2FB927A2">
            <w:pPr>
              <w:keepNext w:val="0"/>
              <w:keepLines w:val="0"/>
              <w:pageBreakBefore w:val="0"/>
              <w:widowControl/>
              <w:suppressLineNumbers w:val="0"/>
              <w:kinsoku/>
              <w:wordWrap/>
              <w:overflowPunct/>
              <w:topLinePunct w:val="0"/>
              <w:bidi w:val="0"/>
              <w:jc w:val="left"/>
              <w:rPr>
                <w:rFonts w:hint="default" w:ascii="Times New Roman" w:hAnsi="Times New Roman" w:cs="Times New Roman"/>
              </w:rPr>
            </w:pPr>
            <w:r>
              <w:rPr>
                <w:rFonts w:hint="default" w:ascii="Times New Roman" w:hAnsi="Times New Roman" w:eastAsia="新宋体" w:cs="Times New Roman"/>
                <w:color w:val="000000" w:themeColor="text1"/>
                <w:kern w:val="2"/>
                <w:sz w:val="24"/>
                <w:szCs w:val="24"/>
                <w:highlight w:val="none"/>
                <w:lang w:val="en-US" w:eastAsia="zh-CN" w:bidi="ar-SA"/>
                <w14:textFill>
                  <w14:solidFill>
                    <w14:schemeClr w14:val="tx1"/>
                  </w14:solidFill>
                </w14:textFill>
              </w:rPr>
              <w:t>项目选址位于巴州和硕县水磨街北侧，东西两侧相邻水泥预制件生产企业，北侧为未利用空地，南侧相邻水磨街。场内由北向南依次为生产车间、密闭原料堆场区、露天废石堆场区，养护区位于生产区两侧分区布置、生活区分散布置东南两侧。</w:t>
            </w:r>
            <w:r>
              <w:rPr>
                <w:rFonts w:hint="default" w:ascii="Times New Roman" w:hAnsi="Times New Roman" w:eastAsia="宋体" w:cs="Times New Roman"/>
                <w:color w:val="000000"/>
                <w:kern w:val="0"/>
                <w:sz w:val="24"/>
                <w:szCs w:val="24"/>
                <w:lang w:val="en-US" w:eastAsia="zh-CN" w:bidi="ar"/>
              </w:rPr>
              <w:t>根据工艺流程和运输、生产养护等要求，在总平面布置时，尽可能力求紧凑、合理、物料输送短捷、流畅。本工程建筑物较少，平面布置简单，厂房内生产设备安装工艺流转次序依次布设。</w:t>
            </w:r>
          </w:p>
          <w:p w14:paraId="00153EAE">
            <w:pPr>
              <w:pStyle w:val="24"/>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新宋体" w:cs="Times New Roman"/>
                <w:b w:val="0"/>
                <w:bCs w:val="0"/>
                <w:snapToGrid w:val="0"/>
                <w:color w:val="000000"/>
                <w:sz w:val="30"/>
                <w:szCs w:val="30"/>
                <w:vertAlign w:val="baseline"/>
              </w:rPr>
            </w:pPr>
            <w:r>
              <w:rPr>
                <w:rFonts w:hint="default" w:ascii="Times New Roman" w:hAnsi="Times New Roman" w:eastAsia="新宋体" w:cs="Times New Roman"/>
                <w:color w:val="000000" w:themeColor="text1"/>
                <w:kern w:val="2"/>
                <w:sz w:val="24"/>
                <w:szCs w:val="24"/>
                <w:highlight w:val="none"/>
                <w:lang w:val="en-US" w:eastAsia="zh-CN" w:bidi="ar-SA"/>
                <w14:textFill>
                  <w14:solidFill>
                    <w14:schemeClr w14:val="tx1"/>
                  </w14:solidFill>
                </w14:textFill>
              </w:rPr>
              <w:t>整体平面布置比较合理。本项目厂区平面布置图见附</w:t>
            </w:r>
            <w:r>
              <w:rPr>
                <w:rFonts w:hint="default" w:ascii="Times New Roman" w:hAnsi="Times New Roman" w:eastAsia="新宋体" w:cs="Times New Roman"/>
                <w:color w:val="000000" w:themeColor="text1"/>
                <w:sz w:val="24"/>
                <w:szCs w:val="24"/>
                <w:highlight w:val="none"/>
                <w14:textFill>
                  <w14:solidFill>
                    <w14:schemeClr w14:val="tx1"/>
                  </w14:solidFill>
                </w14:textFill>
              </w:rPr>
              <w:t>图</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新宋体" w:cs="Times New Roman"/>
                <w:color w:val="000000" w:themeColor="text1"/>
                <w:sz w:val="24"/>
                <w:szCs w:val="24"/>
                <w:highlight w:val="none"/>
                <w14:textFill>
                  <w14:solidFill>
                    <w14:schemeClr w14:val="tx1"/>
                  </w14:solidFill>
                </w14:textFill>
              </w:rPr>
              <w:t>。</w:t>
            </w:r>
          </w:p>
        </w:tc>
      </w:tr>
      <w:tr w14:paraId="74F2C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Pr>
          <w:p w14:paraId="7A9213CB">
            <w:pPr>
              <w:pStyle w:val="24"/>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新宋体" w:cs="Times New Roman"/>
                <w:b w:val="0"/>
                <w:bCs w:val="0"/>
                <w:snapToGrid w:val="0"/>
                <w:color w:val="000000"/>
                <w:sz w:val="30"/>
                <w:szCs w:val="30"/>
                <w:vertAlign w:val="baseline"/>
              </w:rPr>
            </w:pPr>
          </w:p>
        </w:tc>
        <w:tc>
          <w:tcPr>
            <w:tcW w:w="7613" w:type="dxa"/>
          </w:tcPr>
          <w:p w14:paraId="1B0637BC">
            <w:pPr>
              <w:pStyle w:val="45"/>
              <w:keepNext w:val="0"/>
              <w:keepLines w:val="0"/>
              <w:pageBreakBefore w:val="0"/>
              <w:widowControl/>
              <w:numPr>
                <w:ilvl w:val="0"/>
                <w:numId w:val="0"/>
              </w:numPr>
              <w:kinsoku/>
              <w:wordWrap/>
              <w:overflowPunct/>
              <w:topLinePunct w:val="0"/>
              <w:autoSpaceDE/>
              <w:autoSpaceDN/>
              <w:bidi w:val="0"/>
              <w:adjustRightInd/>
              <w:snapToGrid/>
              <w:ind w:leftChars="0" w:firstLine="482" w:firstLineChars="200"/>
              <w:jc w:val="both"/>
              <w:textAlignment w:val="auto"/>
              <w:rPr>
                <w:rFonts w:hint="default" w:ascii="Times New Roman" w:hAnsi="Times New Roman" w:eastAsia="新宋体" w:cs="Times New Roman"/>
                <w:color w:val="000000" w:themeColor="text1"/>
                <w:kern w:val="2"/>
                <w:szCs w:val="24"/>
                <w:lang w:val="en-US" w:eastAsia="zh-CN"/>
                <w14:textFill>
                  <w14:solidFill>
                    <w14:schemeClr w14:val="tx1"/>
                  </w14:solidFill>
                </w14:textFill>
              </w:rPr>
            </w:pPr>
            <w:r>
              <w:rPr>
                <w:rFonts w:hint="default" w:ascii="Times New Roman" w:hAnsi="Times New Roman" w:eastAsia="新宋体" w:cs="Times New Roman"/>
                <w:b/>
                <w:bCs/>
                <w:color w:val="000000" w:themeColor="text1"/>
                <w:kern w:val="2"/>
                <w:szCs w:val="24"/>
                <w:lang w:val="en-US" w:eastAsia="zh-CN"/>
                <w14:textFill>
                  <w14:solidFill>
                    <w14:schemeClr w14:val="tx1"/>
                  </w14:solidFill>
                </w14:textFill>
              </w:rPr>
              <w:t>1、施工期工艺流程</w:t>
            </w:r>
          </w:p>
          <w:p w14:paraId="5F717975">
            <w:pPr>
              <w:pStyle w:val="45"/>
              <w:keepNext w:val="0"/>
              <w:keepLines w:val="0"/>
              <w:pageBreakBefore w:val="0"/>
              <w:widowControl/>
              <w:numPr>
                <w:ilvl w:val="0"/>
                <w:numId w:val="0"/>
              </w:numPr>
              <w:kinsoku/>
              <w:wordWrap/>
              <w:overflowPunct/>
              <w:topLinePunct w:val="0"/>
              <w:bidi w:val="0"/>
              <w:spacing w:line="360" w:lineRule="auto"/>
              <w:jc w:val="center"/>
              <w:rPr>
                <w:rFonts w:hint="default" w:ascii="Times New Roman" w:hAnsi="Times New Roman" w:eastAsia="新宋体" w:cs="Times New Roman"/>
                <w:color w:val="000000" w:themeColor="text1"/>
                <w14:textFill>
                  <w14:solidFill>
                    <w14:schemeClr w14:val="tx1"/>
                  </w14:solidFill>
                </w14:textFill>
              </w:rPr>
            </w:pPr>
            <w:r>
              <w:rPr>
                <w:rFonts w:hint="default" w:ascii="Times New Roman" w:hAnsi="Times New Roman" w:eastAsia="新宋体" w:cs="Times New Roman"/>
                <w:color w:val="000000" w:themeColor="text1"/>
                <w14:textFill>
                  <w14:solidFill>
                    <w14:schemeClr w14:val="tx1"/>
                  </w14:solidFill>
                </w14:textFill>
              </w:rPr>
              <w:drawing>
                <wp:inline distT="0" distB="0" distL="114300" distR="114300">
                  <wp:extent cx="5323840" cy="1156335"/>
                  <wp:effectExtent l="0" t="0" r="10160" b="57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323840" cy="1156335"/>
                          </a:xfrm>
                          <a:prstGeom prst="rect">
                            <a:avLst/>
                          </a:prstGeom>
                          <a:noFill/>
                          <a:ln>
                            <a:noFill/>
                          </a:ln>
                        </pic:spPr>
                      </pic:pic>
                    </a:graphicData>
                  </a:graphic>
                </wp:inline>
              </w:drawing>
            </w:r>
          </w:p>
          <w:p w14:paraId="467EB728">
            <w:pPr>
              <w:pStyle w:val="45"/>
              <w:keepNext w:val="0"/>
              <w:keepLines w:val="0"/>
              <w:pageBreakBefore w:val="0"/>
              <w:widowControl/>
              <w:numPr>
                <w:ilvl w:val="0"/>
                <w:numId w:val="0"/>
              </w:numPr>
              <w:kinsoku/>
              <w:wordWrap/>
              <w:overflowPunct/>
              <w:topLinePunct w:val="0"/>
              <w:bidi w:val="0"/>
              <w:spacing w:line="360" w:lineRule="auto"/>
              <w:jc w:val="center"/>
              <w:rPr>
                <w:rFonts w:hint="default" w:ascii="Times New Roman" w:hAnsi="Times New Roman" w:eastAsia="新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新宋体" w:cs="Times New Roman"/>
                <w:b/>
                <w:bCs/>
                <w:color w:val="000000" w:themeColor="text1"/>
                <w:sz w:val="21"/>
                <w:szCs w:val="21"/>
                <w:highlight w:val="none"/>
                <w:lang w:val="en-US" w:eastAsia="zh-CN"/>
                <w14:textFill>
                  <w14:solidFill>
                    <w14:schemeClr w14:val="tx1"/>
                  </w14:solidFill>
                </w14:textFill>
              </w:rPr>
              <w:t>图2-</w:t>
            </w:r>
            <w:r>
              <w:rPr>
                <w:rFonts w:hint="eastAsia" w:ascii="Times New Roman" w:hAnsi="Times New Roman" w:eastAsia="新宋体" w:cs="Times New Roman"/>
                <w:b/>
                <w:bCs/>
                <w:color w:val="000000" w:themeColor="text1"/>
                <w:sz w:val="21"/>
                <w:szCs w:val="21"/>
                <w:highlight w:val="none"/>
                <w:lang w:val="en-US" w:eastAsia="zh-CN"/>
                <w14:textFill>
                  <w14:solidFill>
                    <w14:schemeClr w14:val="tx1"/>
                  </w14:solidFill>
                </w14:textFill>
              </w:rPr>
              <w:t>2</w:t>
            </w:r>
            <w:r>
              <w:rPr>
                <w:rFonts w:hint="default" w:ascii="Times New Roman" w:hAnsi="Times New Roman" w:eastAsia="新宋体" w:cs="Times New Roman"/>
                <w:b/>
                <w:bCs/>
                <w:color w:val="000000" w:themeColor="text1"/>
                <w:sz w:val="21"/>
                <w:szCs w:val="21"/>
                <w:highlight w:val="none"/>
                <w:lang w:val="en-US" w:eastAsia="zh-CN"/>
                <w14:textFill>
                  <w14:solidFill>
                    <w14:schemeClr w14:val="tx1"/>
                  </w14:solidFill>
                </w14:textFill>
              </w:rPr>
              <w:t>施工期工艺流程图</w:t>
            </w:r>
          </w:p>
          <w:p w14:paraId="751345C5">
            <w:pPr>
              <w:keepNext w:val="0"/>
              <w:keepLines w:val="0"/>
              <w:pageBreakBefore w:val="0"/>
              <w:widowControl/>
              <w:kinsoku/>
              <w:wordWrap/>
              <w:overflowPunct/>
              <w:topLinePunct w:val="0"/>
              <w:bidi w:val="0"/>
              <w:adjustRightInd w:val="0"/>
              <w:snapToGrid w:val="0"/>
              <w:spacing w:beforeLines="50" w:line="360" w:lineRule="auto"/>
              <w:ind w:firstLine="480" w:firstLineChars="200"/>
              <w:jc w:val="both"/>
              <w:rPr>
                <w:rFonts w:hint="default" w:ascii="Times New Roman" w:hAnsi="Times New Roman" w:eastAsia="新宋体" w:cs="Times New Roman"/>
                <w:color w:val="000000" w:themeColor="text1"/>
                <w:sz w:val="24"/>
                <w:szCs w:val="24"/>
                <w:highlight w:val="none"/>
                <w14:textFill>
                  <w14:solidFill>
                    <w14:schemeClr w14:val="tx1"/>
                  </w14:solidFill>
                </w14:textFill>
              </w:rPr>
            </w:pPr>
            <w:r>
              <w:rPr>
                <w:rFonts w:hint="default" w:ascii="Times New Roman" w:hAnsi="Times New Roman" w:eastAsia="新宋体" w:cs="Times New Roman"/>
                <w:color w:val="000000" w:themeColor="text1"/>
                <w:sz w:val="24"/>
                <w:szCs w:val="24"/>
                <w:highlight w:val="none"/>
                <w14:textFill>
                  <w14:solidFill>
                    <w14:schemeClr w14:val="tx1"/>
                  </w14:solidFill>
                </w14:textFill>
              </w:rPr>
              <w:t>施工期主要产生污染物为废气、废水、噪声、</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一般固体废物</w:t>
            </w:r>
            <w:r>
              <w:rPr>
                <w:rFonts w:hint="default" w:ascii="Times New Roman" w:hAnsi="Times New Roman" w:eastAsia="新宋体" w:cs="Times New Roman"/>
                <w:color w:val="000000" w:themeColor="text1"/>
                <w:sz w:val="24"/>
                <w:szCs w:val="24"/>
                <w:highlight w:val="none"/>
                <w14:textFill>
                  <w14:solidFill>
                    <w14:schemeClr w14:val="tx1"/>
                  </w14:solidFill>
                </w14:textFill>
              </w:rPr>
              <w:t>污染物。</w:t>
            </w:r>
          </w:p>
          <w:p w14:paraId="72315340">
            <w:pPr>
              <w:keepNext w:val="0"/>
              <w:keepLines w:val="0"/>
              <w:pageBreakBefore w:val="0"/>
              <w:widowControl/>
              <w:kinsoku/>
              <w:wordWrap/>
              <w:overflowPunct/>
              <w:topLinePunct w:val="0"/>
              <w:bidi w:val="0"/>
              <w:adjustRightInd w:val="0"/>
              <w:snapToGrid w:val="0"/>
              <w:spacing w:line="360" w:lineRule="auto"/>
              <w:ind w:firstLine="480" w:firstLineChars="200"/>
              <w:jc w:val="both"/>
              <w:rPr>
                <w:rFonts w:hint="default" w:ascii="Times New Roman" w:hAnsi="Times New Roman" w:eastAsia="新宋体" w:cs="Times New Roman"/>
                <w:color w:val="000000" w:themeColor="text1"/>
                <w:sz w:val="24"/>
                <w:szCs w:val="24"/>
                <w:highlight w:val="none"/>
                <w14:textFill>
                  <w14:solidFill>
                    <w14:schemeClr w14:val="tx1"/>
                  </w14:solidFill>
                </w14:textFill>
              </w:rPr>
            </w:pP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szCs w:val="24"/>
                <w:highlight w:val="none"/>
                <w14:textFill>
                  <w14:solidFill>
                    <w14:schemeClr w14:val="tx1"/>
                  </w14:solidFill>
                </w14:textFill>
              </w:rPr>
              <w:t>废气：施工期大气污染物主要为</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土地平整</w:t>
            </w:r>
            <w:r>
              <w:rPr>
                <w:rFonts w:hint="default" w:ascii="Times New Roman" w:hAnsi="Times New Roman" w:eastAsia="新宋体" w:cs="Times New Roman"/>
                <w:color w:val="000000" w:themeColor="text1"/>
                <w:sz w:val="24"/>
                <w:szCs w:val="24"/>
                <w:highlight w:val="none"/>
                <w14:textFill>
                  <w14:solidFill>
                    <w14:schemeClr w14:val="tx1"/>
                  </w14:solidFill>
                </w14:textFill>
              </w:rPr>
              <w:t>、物料堆放、车辆来往等过程中产生的扬尘</w:t>
            </w: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场内施工车辆运行产生的汽车尾气</w:t>
            </w:r>
            <w:r>
              <w:rPr>
                <w:rFonts w:hint="default" w:ascii="Times New Roman" w:hAnsi="Times New Roman" w:eastAsia="新宋体" w:cs="Times New Roman"/>
                <w:color w:val="000000" w:themeColor="text1"/>
                <w:sz w:val="24"/>
                <w:szCs w:val="24"/>
                <w:highlight w:val="none"/>
                <w14:textFill>
                  <w14:solidFill>
                    <w14:schemeClr w14:val="tx1"/>
                  </w14:solidFill>
                </w14:textFill>
              </w:rPr>
              <w:t>。</w:t>
            </w:r>
          </w:p>
          <w:p w14:paraId="6A70EEC3">
            <w:pPr>
              <w:keepNext w:val="0"/>
              <w:keepLines w:val="0"/>
              <w:pageBreakBefore w:val="0"/>
              <w:widowControl/>
              <w:kinsoku/>
              <w:wordWrap/>
              <w:overflowPunct/>
              <w:topLinePunct w:val="0"/>
              <w:bidi w:val="0"/>
              <w:adjustRightInd w:val="0"/>
              <w:snapToGrid w:val="0"/>
              <w:spacing w:line="360" w:lineRule="auto"/>
              <w:ind w:firstLine="480" w:firstLineChars="200"/>
              <w:jc w:val="both"/>
              <w:rPr>
                <w:rFonts w:hint="default" w:ascii="Times New Roman" w:hAnsi="Times New Roman" w:eastAsia="新宋体" w:cs="Times New Roman"/>
                <w:color w:val="000000" w:themeColor="text1"/>
                <w:sz w:val="24"/>
                <w:szCs w:val="24"/>
                <w:highlight w:val="none"/>
                <w14:textFill>
                  <w14:solidFill>
                    <w14:schemeClr w14:val="tx1"/>
                  </w14:solidFill>
                </w14:textFill>
              </w:rPr>
            </w:pP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szCs w:val="24"/>
                <w:highlight w:val="none"/>
                <w14:textFill>
                  <w14:solidFill>
                    <w14:schemeClr w14:val="tx1"/>
                  </w14:solidFill>
                </w14:textFill>
              </w:rPr>
              <w:t>废水：施工期废水主要为施工</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泥沙</w:t>
            </w:r>
            <w:r>
              <w:rPr>
                <w:rFonts w:hint="default" w:ascii="Times New Roman" w:hAnsi="Times New Roman" w:eastAsia="新宋体" w:cs="Times New Roman"/>
                <w:color w:val="000000" w:themeColor="text1"/>
                <w:sz w:val="24"/>
                <w:szCs w:val="24"/>
                <w:highlight w:val="none"/>
                <w14:textFill>
                  <w14:solidFill>
                    <w14:schemeClr w14:val="tx1"/>
                  </w14:solidFill>
                </w14:textFill>
              </w:rPr>
              <w:t>废水、施工人员生活污水等。</w:t>
            </w:r>
          </w:p>
          <w:p w14:paraId="5063ACDC">
            <w:pPr>
              <w:keepNext w:val="0"/>
              <w:keepLines w:val="0"/>
              <w:pageBreakBefore w:val="0"/>
              <w:widowControl/>
              <w:kinsoku/>
              <w:wordWrap/>
              <w:overflowPunct/>
              <w:topLinePunct w:val="0"/>
              <w:bidi w:val="0"/>
              <w:adjustRightInd w:val="0"/>
              <w:snapToGrid w:val="0"/>
              <w:spacing w:line="360" w:lineRule="auto"/>
              <w:ind w:firstLine="480" w:firstLineChars="200"/>
              <w:jc w:val="both"/>
              <w:rPr>
                <w:rFonts w:hint="default" w:ascii="Times New Roman" w:hAnsi="Times New Roman" w:eastAsia="新宋体" w:cs="Times New Roman"/>
                <w:color w:val="000000" w:themeColor="text1"/>
                <w:sz w:val="24"/>
                <w:szCs w:val="24"/>
                <w:highlight w:val="none"/>
                <w14:textFill>
                  <w14:solidFill>
                    <w14:schemeClr w14:val="tx1"/>
                  </w14:solidFill>
                </w14:textFill>
              </w:rPr>
            </w:pP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szCs w:val="24"/>
                <w:highlight w:val="none"/>
                <w14:textFill>
                  <w14:solidFill>
                    <w14:schemeClr w14:val="tx1"/>
                  </w14:solidFill>
                </w14:textFill>
              </w:rPr>
              <w:t>噪声：施工期噪声主要为施工机械和运输车辆产生的噪声</w:t>
            </w: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szCs w:val="24"/>
                <w:highlight w:val="none"/>
                <w14:textFill>
                  <w14:solidFill>
                    <w14:schemeClr w14:val="tx1"/>
                  </w14:solidFill>
                </w14:textFill>
              </w:rPr>
              <w:t>对环境影响较大的机械主要有</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振动夯机、装载机、输送泵和</w:t>
            </w:r>
            <w:r>
              <w:rPr>
                <w:rFonts w:hint="default" w:ascii="Times New Roman" w:hAnsi="Times New Roman" w:eastAsia="新宋体" w:cs="Times New Roman"/>
                <w:color w:val="000000" w:themeColor="text1"/>
                <w:sz w:val="24"/>
                <w:szCs w:val="24"/>
                <w:highlight w:val="none"/>
                <w14:textFill>
                  <w14:solidFill>
                    <w14:schemeClr w14:val="tx1"/>
                  </w14:solidFill>
                </w14:textFill>
              </w:rPr>
              <w:t>载重车等。</w:t>
            </w:r>
          </w:p>
          <w:p w14:paraId="40AA3577">
            <w:pPr>
              <w:keepNext w:val="0"/>
              <w:keepLines w:val="0"/>
              <w:pageBreakBefore w:val="0"/>
              <w:widowControl/>
              <w:kinsoku/>
              <w:wordWrap/>
              <w:overflowPunct/>
              <w:topLinePunct w:val="0"/>
              <w:bidi w:val="0"/>
              <w:spacing w:line="360" w:lineRule="auto"/>
              <w:ind w:firstLine="480" w:firstLineChars="200"/>
              <w:jc w:val="both"/>
              <w:rPr>
                <w:rFonts w:hint="default" w:ascii="Times New Roman" w:hAnsi="Times New Roman" w:eastAsia="新宋体" w:cs="Times New Roman"/>
                <w:color w:val="000000" w:themeColor="text1"/>
                <w:sz w:val="24"/>
                <w:szCs w:val="24"/>
                <w:highlight w:val="none"/>
                <w14:textFill>
                  <w14:solidFill>
                    <w14:schemeClr w14:val="tx1"/>
                  </w14:solidFill>
                </w14:textFill>
              </w:rPr>
            </w:pP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szCs w:val="24"/>
                <w:highlight w:val="none"/>
                <w14:textFill>
                  <w14:solidFill>
                    <w14:schemeClr w14:val="tx1"/>
                  </w14:solidFill>
                </w14:textFill>
              </w:rPr>
              <w:t>固体废物：施工期产生的固体废物主要为建筑垃圾及施工人员生活垃圾。</w:t>
            </w:r>
          </w:p>
          <w:p w14:paraId="3F5F5DBA">
            <w:pPr>
              <w:pStyle w:val="39"/>
              <w:keepNext w:val="0"/>
              <w:keepLines w:val="0"/>
              <w:pageBreakBefore w:val="0"/>
              <w:widowControl/>
              <w:kinsoku/>
              <w:wordWrap/>
              <w:overflowPunct/>
              <w:topLinePunct w:val="0"/>
              <w:bidi w:val="0"/>
              <w:spacing w:before="0" w:after="0"/>
              <w:rPr>
                <w:rFonts w:hint="default" w:ascii="Times New Roman" w:hAnsi="Times New Roman" w:eastAsia="新宋体" w:cs="Times New Roman"/>
                <w:color w:val="000000" w:themeColor="text1"/>
                <w:highlight w:val="none"/>
                <w14:textFill>
                  <w14:solidFill>
                    <w14:schemeClr w14:val="tx1"/>
                  </w14:solidFill>
                </w14:textFill>
              </w:rPr>
            </w:pPr>
            <w:r>
              <w:rPr>
                <w:rFonts w:hint="default" w:ascii="Times New Roman" w:hAnsi="Times New Roman" w:eastAsia="新宋体" w:cs="Times New Roman"/>
                <w:color w:val="000000" w:themeColor="text1"/>
                <w:highlight w:val="none"/>
                <w14:textFill>
                  <w14:solidFill>
                    <w14:schemeClr w14:val="tx1"/>
                  </w14:solidFill>
                </w14:textFill>
              </w:rPr>
              <w:t>表2-</w:t>
            </w:r>
            <w:r>
              <w:rPr>
                <w:rFonts w:hint="eastAsia" w:ascii="Times New Roman" w:hAnsi="Times New Roman" w:eastAsia="新宋体" w:cs="Times New Roman"/>
                <w:color w:val="000000" w:themeColor="text1"/>
                <w:highlight w:val="none"/>
                <w:lang w:val="en-US" w:eastAsia="zh-CN"/>
                <w14:textFill>
                  <w14:solidFill>
                    <w14:schemeClr w14:val="tx1"/>
                  </w14:solidFill>
                </w14:textFill>
              </w:rPr>
              <w:t>5</w:t>
            </w:r>
            <w:r>
              <w:rPr>
                <w:rFonts w:hint="default" w:ascii="Times New Roman" w:hAnsi="Times New Roman" w:eastAsia="新宋体" w:cs="Times New Roman"/>
                <w:color w:val="000000" w:themeColor="text1"/>
                <w:highlight w:val="none"/>
                <w14:textFill>
                  <w14:solidFill>
                    <w14:schemeClr w14:val="tx1"/>
                  </w14:solidFill>
                </w14:textFill>
              </w:rPr>
              <w:t>施工期主要污染工序</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2183"/>
              <w:gridCol w:w="1827"/>
              <w:gridCol w:w="2637"/>
            </w:tblGrid>
            <w:tr w14:paraId="015E3C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537" w:type="pct"/>
                  <w:tcBorders>
                    <w:tl2br w:val="nil"/>
                    <w:tr2bl w:val="nil"/>
                  </w:tcBorders>
                  <w:vAlign w:val="center"/>
                </w:tcPr>
                <w:p w14:paraId="10A38698">
                  <w:pPr>
                    <w:pStyle w:val="71"/>
                    <w:keepNext w:val="0"/>
                    <w:keepLines w:val="0"/>
                    <w:pageBreakBefore w:val="0"/>
                    <w:widowControl/>
                    <w:kinsoku/>
                    <w:wordWrap/>
                    <w:overflowPunct/>
                    <w:topLinePunct w:val="0"/>
                    <w:bidi w:val="0"/>
                    <w:spacing w:line="240" w:lineRule="auto"/>
                    <w:ind w:left="0" w:leftChars="0" w:firstLine="0" w:firstLineChars="0"/>
                    <w:jc w:val="center"/>
                    <w:rPr>
                      <w:rFonts w:hint="default" w:ascii="Times New Roman" w:hAnsi="Times New Roman" w:eastAsia="新宋体" w:cs="Times New Roman"/>
                      <w:color w:val="000000" w:themeColor="text1"/>
                      <w:highlight w:val="none"/>
                      <w14:textFill>
                        <w14:solidFill>
                          <w14:schemeClr w14:val="tx1"/>
                        </w14:solidFill>
                      </w14:textFill>
                    </w:rPr>
                  </w:pPr>
                  <w:r>
                    <w:rPr>
                      <w:rFonts w:hint="default" w:ascii="Times New Roman" w:hAnsi="Times New Roman" w:eastAsia="新宋体" w:cs="Times New Roman"/>
                      <w:color w:val="000000" w:themeColor="text1"/>
                      <w:highlight w:val="none"/>
                      <w14:textFill>
                        <w14:solidFill>
                          <w14:schemeClr w14:val="tx1"/>
                        </w14:solidFill>
                      </w14:textFill>
                    </w:rPr>
                    <w:t>项目</w:t>
                  </w:r>
                </w:p>
              </w:tc>
              <w:tc>
                <w:tcPr>
                  <w:tcW w:w="1465" w:type="pct"/>
                  <w:tcBorders>
                    <w:tl2br w:val="nil"/>
                    <w:tr2bl w:val="nil"/>
                  </w:tcBorders>
                  <w:vAlign w:val="center"/>
                </w:tcPr>
                <w:p w14:paraId="1FD2380C">
                  <w:pPr>
                    <w:pStyle w:val="71"/>
                    <w:keepNext w:val="0"/>
                    <w:keepLines w:val="0"/>
                    <w:pageBreakBefore w:val="0"/>
                    <w:widowControl/>
                    <w:kinsoku/>
                    <w:wordWrap/>
                    <w:overflowPunct/>
                    <w:topLinePunct w:val="0"/>
                    <w:bidi w:val="0"/>
                    <w:spacing w:line="240" w:lineRule="auto"/>
                    <w:ind w:left="0" w:leftChars="0" w:firstLine="0" w:firstLineChars="0"/>
                    <w:jc w:val="center"/>
                    <w:rPr>
                      <w:rFonts w:hint="default" w:ascii="Times New Roman" w:hAnsi="Times New Roman" w:eastAsia="新宋体" w:cs="Times New Roman"/>
                      <w:color w:val="000000" w:themeColor="text1"/>
                      <w:highlight w:val="none"/>
                      <w14:textFill>
                        <w14:solidFill>
                          <w14:schemeClr w14:val="tx1"/>
                        </w14:solidFill>
                      </w14:textFill>
                    </w:rPr>
                  </w:pPr>
                  <w:r>
                    <w:rPr>
                      <w:rFonts w:hint="default" w:ascii="Times New Roman" w:hAnsi="Times New Roman" w:eastAsia="新宋体" w:cs="Times New Roman"/>
                      <w:color w:val="000000" w:themeColor="text1"/>
                      <w:highlight w:val="none"/>
                      <w14:textFill>
                        <w14:solidFill>
                          <w14:schemeClr w14:val="tx1"/>
                        </w14:solidFill>
                      </w14:textFill>
                    </w:rPr>
                    <w:t>污染工序（源）</w:t>
                  </w:r>
                </w:p>
              </w:tc>
              <w:tc>
                <w:tcPr>
                  <w:tcW w:w="1226" w:type="pct"/>
                  <w:tcBorders>
                    <w:tl2br w:val="nil"/>
                    <w:tr2bl w:val="nil"/>
                  </w:tcBorders>
                  <w:vAlign w:val="center"/>
                </w:tcPr>
                <w:p w14:paraId="075BF6C6">
                  <w:pPr>
                    <w:pStyle w:val="71"/>
                    <w:keepNext w:val="0"/>
                    <w:keepLines w:val="0"/>
                    <w:pageBreakBefore w:val="0"/>
                    <w:widowControl/>
                    <w:kinsoku/>
                    <w:wordWrap/>
                    <w:overflowPunct/>
                    <w:topLinePunct w:val="0"/>
                    <w:bidi w:val="0"/>
                    <w:spacing w:line="240" w:lineRule="auto"/>
                    <w:ind w:left="0" w:leftChars="0" w:firstLine="0" w:firstLineChars="0"/>
                    <w:jc w:val="center"/>
                    <w:rPr>
                      <w:rFonts w:hint="default" w:ascii="Times New Roman" w:hAnsi="Times New Roman" w:eastAsia="新宋体" w:cs="Times New Roman"/>
                      <w:color w:val="000000" w:themeColor="text1"/>
                      <w:highlight w:val="none"/>
                      <w14:textFill>
                        <w14:solidFill>
                          <w14:schemeClr w14:val="tx1"/>
                        </w14:solidFill>
                      </w14:textFill>
                    </w:rPr>
                  </w:pPr>
                  <w:r>
                    <w:rPr>
                      <w:rFonts w:hint="default" w:ascii="Times New Roman" w:hAnsi="Times New Roman" w:eastAsia="新宋体" w:cs="Times New Roman"/>
                      <w:color w:val="000000" w:themeColor="text1"/>
                      <w:highlight w:val="none"/>
                      <w14:textFill>
                        <w14:solidFill>
                          <w14:schemeClr w14:val="tx1"/>
                        </w14:solidFill>
                      </w14:textFill>
                    </w:rPr>
                    <w:t>污染物名称</w:t>
                  </w:r>
                </w:p>
              </w:tc>
              <w:tc>
                <w:tcPr>
                  <w:tcW w:w="1769" w:type="pct"/>
                  <w:tcBorders>
                    <w:tl2br w:val="nil"/>
                    <w:tr2bl w:val="nil"/>
                  </w:tcBorders>
                  <w:vAlign w:val="center"/>
                </w:tcPr>
                <w:p w14:paraId="52B44FDA">
                  <w:pPr>
                    <w:pStyle w:val="71"/>
                    <w:keepNext w:val="0"/>
                    <w:keepLines w:val="0"/>
                    <w:pageBreakBefore w:val="0"/>
                    <w:widowControl/>
                    <w:kinsoku/>
                    <w:wordWrap/>
                    <w:overflowPunct/>
                    <w:topLinePunct w:val="0"/>
                    <w:bidi w:val="0"/>
                    <w:spacing w:line="240" w:lineRule="auto"/>
                    <w:ind w:left="0" w:leftChars="0" w:firstLine="0" w:firstLineChars="0"/>
                    <w:jc w:val="center"/>
                    <w:rPr>
                      <w:rFonts w:hint="default" w:ascii="Times New Roman" w:hAnsi="Times New Roman" w:eastAsia="新宋体" w:cs="Times New Roman"/>
                      <w:color w:val="000000" w:themeColor="text1"/>
                      <w:highlight w:val="none"/>
                      <w14:textFill>
                        <w14:solidFill>
                          <w14:schemeClr w14:val="tx1"/>
                        </w14:solidFill>
                      </w14:textFill>
                    </w:rPr>
                  </w:pPr>
                  <w:r>
                    <w:rPr>
                      <w:rFonts w:hint="default" w:ascii="Times New Roman" w:hAnsi="Times New Roman" w:eastAsia="新宋体" w:cs="Times New Roman"/>
                      <w:color w:val="000000" w:themeColor="text1"/>
                      <w:highlight w:val="none"/>
                      <w14:textFill>
                        <w14:solidFill>
                          <w14:schemeClr w14:val="tx1"/>
                        </w14:solidFill>
                      </w14:textFill>
                    </w:rPr>
                    <w:t>主要污染因子</w:t>
                  </w:r>
                </w:p>
              </w:tc>
            </w:tr>
            <w:tr w14:paraId="184B73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537" w:type="pct"/>
                  <w:vMerge w:val="restart"/>
                  <w:tcBorders>
                    <w:tl2br w:val="nil"/>
                    <w:tr2bl w:val="nil"/>
                  </w:tcBorders>
                  <w:vAlign w:val="center"/>
                </w:tcPr>
                <w:p w14:paraId="0C8AB40E">
                  <w:pPr>
                    <w:pStyle w:val="71"/>
                    <w:keepNext w:val="0"/>
                    <w:keepLines w:val="0"/>
                    <w:pageBreakBefore w:val="0"/>
                    <w:widowControl/>
                    <w:kinsoku/>
                    <w:wordWrap/>
                    <w:overflowPunct/>
                    <w:topLinePunct w:val="0"/>
                    <w:bidi w:val="0"/>
                    <w:spacing w:line="240" w:lineRule="auto"/>
                    <w:ind w:left="0" w:leftChars="0" w:firstLine="0" w:firstLineChars="0"/>
                    <w:jc w:val="center"/>
                    <w:rPr>
                      <w:rFonts w:hint="default" w:ascii="Times New Roman" w:hAnsi="Times New Roman" w:eastAsia="新宋体" w:cs="Times New Roman"/>
                      <w:color w:val="000000" w:themeColor="text1"/>
                      <w:highlight w:val="none"/>
                      <w14:textFill>
                        <w14:solidFill>
                          <w14:schemeClr w14:val="tx1"/>
                        </w14:solidFill>
                      </w14:textFill>
                    </w:rPr>
                  </w:pPr>
                  <w:r>
                    <w:rPr>
                      <w:rFonts w:hint="default" w:ascii="Times New Roman" w:hAnsi="Times New Roman" w:eastAsia="新宋体" w:cs="Times New Roman"/>
                      <w:color w:val="000000" w:themeColor="text1"/>
                      <w:highlight w:val="none"/>
                      <w14:textFill>
                        <w14:solidFill>
                          <w14:schemeClr w14:val="tx1"/>
                        </w14:solidFill>
                      </w14:textFill>
                    </w:rPr>
                    <w:t>大气污染物</w:t>
                  </w:r>
                </w:p>
              </w:tc>
              <w:tc>
                <w:tcPr>
                  <w:tcW w:w="1465" w:type="pct"/>
                  <w:tcBorders>
                    <w:tl2br w:val="nil"/>
                    <w:tr2bl w:val="nil"/>
                  </w:tcBorders>
                  <w:vAlign w:val="center"/>
                </w:tcPr>
                <w:p w14:paraId="660BD95F">
                  <w:pPr>
                    <w:pStyle w:val="71"/>
                    <w:keepNext w:val="0"/>
                    <w:keepLines w:val="0"/>
                    <w:pageBreakBefore w:val="0"/>
                    <w:widowControl/>
                    <w:kinsoku/>
                    <w:wordWrap/>
                    <w:overflowPunct/>
                    <w:topLinePunct w:val="0"/>
                    <w:bidi w:val="0"/>
                    <w:spacing w:line="240" w:lineRule="auto"/>
                    <w:ind w:left="0" w:leftChars="0" w:firstLine="0" w:firstLineChars="0"/>
                    <w:jc w:val="center"/>
                    <w:rPr>
                      <w:rFonts w:hint="default" w:ascii="Times New Roman" w:hAnsi="Times New Roman" w:eastAsia="新宋体" w:cs="Times New Roman"/>
                      <w:color w:val="000000" w:themeColor="text1"/>
                      <w:highlight w:val="none"/>
                      <w14:textFill>
                        <w14:solidFill>
                          <w14:schemeClr w14:val="tx1"/>
                        </w14:solidFill>
                      </w14:textFill>
                    </w:rPr>
                  </w:pPr>
                  <w:r>
                    <w:rPr>
                      <w:rFonts w:hint="default" w:ascii="Times New Roman" w:hAnsi="Times New Roman" w:eastAsia="新宋体" w:cs="Times New Roman"/>
                      <w:color w:val="000000" w:themeColor="text1"/>
                      <w:highlight w:val="none"/>
                      <w14:textFill>
                        <w14:solidFill>
                          <w14:schemeClr w14:val="tx1"/>
                        </w14:solidFill>
                      </w14:textFill>
                    </w:rPr>
                    <w:t>土石方挖掘、物料堆放、车辆来往</w:t>
                  </w:r>
                </w:p>
              </w:tc>
              <w:tc>
                <w:tcPr>
                  <w:tcW w:w="1226" w:type="pct"/>
                  <w:tcBorders>
                    <w:tl2br w:val="nil"/>
                    <w:tr2bl w:val="nil"/>
                  </w:tcBorders>
                  <w:vAlign w:val="center"/>
                </w:tcPr>
                <w:p w14:paraId="77B4C6C5">
                  <w:pPr>
                    <w:pStyle w:val="71"/>
                    <w:keepNext w:val="0"/>
                    <w:keepLines w:val="0"/>
                    <w:pageBreakBefore w:val="0"/>
                    <w:widowControl/>
                    <w:kinsoku/>
                    <w:wordWrap/>
                    <w:overflowPunct/>
                    <w:topLinePunct w:val="0"/>
                    <w:bidi w:val="0"/>
                    <w:spacing w:line="240" w:lineRule="auto"/>
                    <w:ind w:left="0" w:leftChars="0" w:firstLine="0" w:firstLineChars="0"/>
                    <w:jc w:val="center"/>
                    <w:rPr>
                      <w:rFonts w:hint="default" w:ascii="Times New Roman" w:hAnsi="Times New Roman" w:eastAsia="新宋体" w:cs="Times New Roman"/>
                      <w:color w:val="000000" w:themeColor="text1"/>
                      <w:highlight w:val="none"/>
                      <w14:textFill>
                        <w14:solidFill>
                          <w14:schemeClr w14:val="tx1"/>
                        </w14:solidFill>
                      </w14:textFill>
                    </w:rPr>
                  </w:pPr>
                  <w:r>
                    <w:rPr>
                      <w:rFonts w:hint="default" w:ascii="Times New Roman" w:hAnsi="Times New Roman" w:eastAsia="新宋体" w:cs="Times New Roman"/>
                      <w:color w:val="000000" w:themeColor="text1"/>
                      <w:highlight w:val="none"/>
                      <w14:textFill>
                        <w14:solidFill>
                          <w14:schemeClr w14:val="tx1"/>
                        </w14:solidFill>
                      </w14:textFill>
                    </w:rPr>
                    <w:t>扬尘</w:t>
                  </w:r>
                </w:p>
              </w:tc>
              <w:tc>
                <w:tcPr>
                  <w:tcW w:w="1769" w:type="pct"/>
                  <w:tcBorders>
                    <w:tl2br w:val="nil"/>
                    <w:tr2bl w:val="nil"/>
                  </w:tcBorders>
                  <w:vAlign w:val="center"/>
                </w:tcPr>
                <w:p w14:paraId="0AC5D188">
                  <w:pPr>
                    <w:pStyle w:val="71"/>
                    <w:keepNext w:val="0"/>
                    <w:keepLines w:val="0"/>
                    <w:pageBreakBefore w:val="0"/>
                    <w:widowControl/>
                    <w:kinsoku/>
                    <w:wordWrap/>
                    <w:overflowPunct/>
                    <w:topLinePunct w:val="0"/>
                    <w:bidi w:val="0"/>
                    <w:spacing w:line="240" w:lineRule="auto"/>
                    <w:ind w:left="0" w:leftChars="0" w:firstLine="0" w:firstLineChars="0"/>
                    <w:jc w:val="center"/>
                    <w:rPr>
                      <w:rFonts w:hint="default" w:ascii="Times New Roman" w:hAnsi="Times New Roman" w:eastAsia="新宋体" w:cs="Times New Roman"/>
                      <w:color w:val="000000" w:themeColor="text1"/>
                      <w:highlight w:val="none"/>
                      <w14:textFill>
                        <w14:solidFill>
                          <w14:schemeClr w14:val="tx1"/>
                        </w14:solidFill>
                      </w14:textFill>
                    </w:rPr>
                  </w:pPr>
                  <w:r>
                    <w:rPr>
                      <w:rFonts w:hint="default" w:ascii="Times New Roman" w:hAnsi="Times New Roman" w:eastAsia="新宋体" w:cs="Times New Roman"/>
                      <w:color w:val="000000" w:themeColor="text1"/>
                      <w:highlight w:val="none"/>
                      <w14:textFill>
                        <w14:solidFill>
                          <w14:schemeClr w14:val="tx1"/>
                        </w14:solidFill>
                      </w14:textFill>
                    </w:rPr>
                    <w:t>颗粒物</w:t>
                  </w:r>
                </w:p>
              </w:tc>
            </w:tr>
            <w:tr w14:paraId="281E43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537" w:type="pct"/>
                  <w:vMerge w:val="continue"/>
                  <w:tcBorders>
                    <w:tl2br w:val="nil"/>
                    <w:tr2bl w:val="nil"/>
                  </w:tcBorders>
                  <w:vAlign w:val="center"/>
                </w:tcPr>
                <w:p w14:paraId="5AFE0212">
                  <w:pPr>
                    <w:pStyle w:val="71"/>
                    <w:keepNext w:val="0"/>
                    <w:keepLines w:val="0"/>
                    <w:pageBreakBefore w:val="0"/>
                    <w:widowControl/>
                    <w:kinsoku/>
                    <w:wordWrap/>
                    <w:overflowPunct/>
                    <w:topLinePunct w:val="0"/>
                    <w:bidi w:val="0"/>
                    <w:spacing w:line="240" w:lineRule="auto"/>
                    <w:ind w:left="0" w:leftChars="0" w:firstLine="0" w:firstLineChars="0"/>
                    <w:jc w:val="center"/>
                    <w:rPr>
                      <w:rFonts w:hint="default" w:ascii="Times New Roman" w:hAnsi="Times New Roman" w:eastAsia="新宋体" w:cs="Times New Roman"/>
                      <w:color w:val="000000" w:themeColor="text1"/>
                      <w:highlight w:val="none"/>
                      <w14:textFill>
                        <w14:solidFill>
                          <w14:schemeClr w14:val="tx1"/>
                        </w14:solidFill>
                      </w14:textFill>
                    </w:rPr>
                  </w:pPr>
                </w:p>
              </w:tc>
              <w:tc>
                <w:tcPr>
                  <w:tcW w:w="1465" w:type="pct"/>
                  <w:tcBorders>
                    <w:tl2br w:val="nil"/>
                    <w:tr2bl w:val="nil"/>
                  </w:tcBorders>
                  <w:vAlign w:val="center"/>
                </w:tcPr>
                <w:p w14:paraId="155BF7DF">
                  <w:pPr>
                    <w:pStyle w:val="71"/>
                    <w:keepNext w:val="0"/>
                    <w:keepLines w:val="0"/>
                    <w:pageBreakBefore w:val="0"/>
                    <w:widowControl/>
                    <w:kinsoku/>
                    <w:wordWrap/>
                    <w:overflowPunct/>
                    <w:topLinePunct w:val="0"/>
                    <w:bidi w:val="0"/>
                    <w:spacing w:line="240" w:lineRule="auto"/>
                    <w:ind w:left="0" w:leftChars="0" w:firstLine="0" w:firstLineChars="0"/>
                    <w:jc w:val="center"/>
                    <w:rPr>
                      <w:rFonts w:hint="default" w:ascii="Times New Roman" w:hAnsi="Times New Roman" w:eastAsia="新宋体" w:cs="Times New Roman"/>
                      <w:color w:val="000000" w:themeColor="text1"/>
                      <w:highlight w:val="none"/>
                      <w:lang w:val="en-US" w:eastAsia="zh-CN"/>
                      <w14:textFill>
                        <w14:solidFill>
                          <w14:schemeClr w14:val="tx1"/>
                        </w14:solidFill>
                      </w14:textFill>
                    </w:rPr>
                  </w:pPr>
                  <w:r>
                    <w:rPr>
                      <w:rFonts w:hint="default" w:ascii="Times New Roman" w:hAnsi="Times New Roman" w:eastAsia="新宋体" w:cs="Times New Roman"/>
                      <w:color w:val="000000" w:themeColor="text1"/>
                      <w:highlight w:val="none"/>
                      <w:lang w:val="en-US" w:eastAsia="zh-CN"/>
                      <w14:textFill>
                        <w14:solidFill>
                          <w14:schemeClr w14:val="tx1"/>
                        </w14:solidFill>
                      </w14:textFill>
                    </w:rPr>
                    <w:t>施工车辆</w:t>
                  </w:r>
                </w:p>
              </w:tc>
              <w:tc>
                <w:tcPr>
                  <w:tcW w:w="1226" w:type="pct"/>
                  <w:tcBorders>
                    <w:tl2br w:val="nil"/>
                    <w:tr2bl w:val="nil"/>
                  </w:tcBorders>
                  <w:vAlign w:val="center"/>
                </w:tcPr>
                <w:p w14:paraId="0E1C9855">
                  <w:pPr>
                    <w:pStyle w:val="71"/>
                    <w:keepNext w:val="0"/>
                    <w:keepLines w:val="0"/>
                    <w:pageBreakBefore w:val="0"/>
                    <w:widowControl/>
                    <w:kinsoku/>
                    <w:wordWrap/>
                    <w:overflowPunct/>
                    <w:topLinePunct w:val="0"/>
                    <w:bidi w:val="0"/>
                    <w:spacing w:line="240" w:lineRule="auto"/>
                    <w:ind w:left="0" w:leftChars="0" w:firstLine="0" w:firstLineChars="0"/>
                    <w:jc w:val="center"/>
                    <w:rPr>
                      <w:rFonts w:hint="default" w:ascii="Times New Roman" w:hAnsi="Times New Roman" w:eastAsia="新宋体" w:cs="Times New Roman"/>
                      <w:color w:val="000000" w:themeColor="text1"/>
                      <w:highlight w:val="none"/>
                      <w:lang w:val="en-US" w:eastAsia="zh-CN"/>
                      <w14:textFill>
                        <w14:solidFill>
                          <w14:schemeClr w14:val="tx1"/>
                        </w14:solidFill>
                      </w14:textFill>
                    </w:rPr>
                  </w:pPr>
                  <w:r>
                    <w:rPr>
                      <w:rFonts w:hint="default" w:ascii="Times New Roman" w:hAnsi="Times New Roman" w:eastAsia="新宋体" w:cs="Times New Roman"/>
                      <w:color w:val="000000" w:themeColor="text1"/>
                      <w:highlight w:val="none"/>
                      <w:lang w:val="en-US" w:eastAsia="zh-CN"/>
                      <w14:textFill>
                        <w14:solidFill>
                          <w14:schemeClr w14:val="tx1"/>
                        </w14:solidFill>
                      </w14:textFill>
                    </w:rPr>
                    <w:t>车辆尾气</w:t>
                  </w:r>
                </w:p>
              </w:tc>
              <w:tc>
                <w:tcPr>
                  <w:tcW w:w="1769" w:type="pct"/>
                  <w:tcBorders>
                    <w:tl2br w:val="nil"/>
                    <w:tr2bl w:val="nil"/>
                  </w:tcBorders>
                  <w:vAlign w:val="center"/>
                </w:tcPr>
                <w:p w14:paraId="3E637D64">
                  <w:pPr>
                    <w:pStyle w:val="71"/>
                    <w:keepNext w:val="0"/>
                    <w:keepLines w:val="0"/>
                    <w:pageBreakBefore w:val="0"/>
                    <w:widowControl/>
                    <w:kinsoku/>
                    <w:wordWrap/>
                    <w:overflowPunct/>
                    <w:topLinePunct w:val="0"/>
                    <w:bidi w:val="0"/>
                    <w:spacing w:line="240" w:lineRule="auto"/>
                    <w:ind w:left="0" w:leftChars="0" w:firstLine="0" w:firstLineChars="0"/>
                    <w:jc w:val="center"/>
                    <w:rPr>
                      <w:rFonts w:hint="default" w:ascii="Times New Roman" w:hAnsi="Times New Roman" w:eastAsia="新宋体" w:cs="Times New Roman"/>
                      <w:color w:val="000000" w:themeColor="text1"/>
                      <w:highlight w:val="none"/>
                      <w14:textFill>
                        <w14:solidFill>
                          <w14:schemeClr w14:val="tx1"/>
                        </w14:solidFill>
                      </w14:textFill>
                    </w:rPr>
                  </w:pPr>
                  <w:r>
                    <w:rPr>
                      <w:rFonts w:hint="default" w:ascii="Times New Roman" w:hAnsi="Times New Roman" w:eastAsia="新宋体" w:cs="Times New Roman"/>
                      <w:lang w:val="en-US" w:eastAsia="zh-CN"/>
                    </w:rPr>
                    <w:t>NOx、SO</w:t>
                  </w:r>
                  <w:r>
                    <w:rPr>
                      <w:rFonts w:hint="default" w:ascii="Times New Roman" w:hAnsi="Times New Roman" w:eastAsia="新宋体" w:cs="Times New Roman"/>
                      <w:vertAlign w:val="subscript"/>
                      <w:lang w:val="en-US" w:eastAsia="zh-CN"/>
                    </w:rPr>
                    <w:t>2</w:t>
                  </w:r>
                  <w:r>
                    <w:rPr>
                      <w:rFonts w:hint="default" w:ascii="Times New Roman" w:hAnsi="Times New Roman" w:eastAsia="新宋体" w:cs="Times New Roman"/>
                      <w:lang w:val="en-US" w:eastAsia="zh-CN"/>
                    </w:rPr>
                    <w:t>和CO</w:t>
                  </w:r>
                </w:p>
              </w:tc>
            </w:tr>
            <w:tr w14:paraId="6E49B5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37" w:type="pct"/>
                  <w:vMerge w:val="restart"/>
                  <w:tcBorders>
                    <w:tl2br w:val="nil"/>
                    <w:tr2bl w:val="nil"/>
                  </w:tcBorders>
                  <w:vAlign w:val="center"/>
                </w:tcPr>
                <w:p w14:paraId="59D1D529">
                  <w:pPr>
                    <w:pStyle w:val="71"/>
                    <w:keepNext w:val="0"/>
                    <w:keepLines w:val="0"/>
                    <w:pageBreakBefore w:val="0"/>
                    <w:widowControl/>
                    <w:kinsoku/>
                    <w:wordWrap/>
                    <w:overflowPunct/>
                    <w:topLinePunct w:val="0"/>
                    <w:bidi w:val="0"/>
                    <w:spacing w:line="240" w:lineRule="auto"/>
                    <w:ind w:left="0" w:leftChars="0" w:firstLine="0" w:firstLineChars="0"/>
                    <w:jc w:val="center"/>
                    <w:rPr>
                      <w:rFonts w:hint="default" w:ascii="Times New Roman" w:hAnsi="Times New Roman" w:eastAsia="新宋体" w:cs="Times New Roman"/>
                      <w:color w:val="000000" w:themeColor="text1"/>
                      <w:highlight w:val="none"/>
                      <w14:textFill>
                        <w14:solidFill>
                          <w14:schemeClr w14:val="tx1"/>
                        </w14:solidFill>
                      </w14:textFill>
                    </w:rPr>
                  </w:pPr>
                  <w:r>
                    <w:rPr>
                      <w:rFonts w:hint="default" w:ascii="Times New Roman" w:hAnsi="Times New Roman" w:eastAsia="新宋体" w:cs="Times New Roman"/>
                      <w:color w:val="000000" w:themeColor="text1"/>
                      <w:highlight w:val="none"/>
                      <w14:textFill>
                        <w14:solidFill>
                          <w14:schemeClr w14:val="tx1"/>
                        </w14:solidFill>
                      </w14:textFill>
                    </w:rPr>
                    <w:t>废水</w:t>
                  </w:r>
                </w:p>
              </w:tc>
              <w:tc>
                <w:tcPr>
                  <w:tcW w:w="1465" w:type="pct"/>
                  <w:tcBorders>
                    <w:tl2br w:val="nil"/>
                    <w:tr2bl w:val="nil"/>
                  </w:tcBorders>
                  <w:vAlign w:val="center"/>
                </w:tcPr>
                <w:p w14:paraId="12CE711B">
                  <w:pPr>
                    <w:pStyle w:val="71"/>
                    <w:keepNext w:val="0"/>
                    <w:keepLines w:val="0"/>
                    <w:pageBreakBefore w:val="0"/>
                    <w:widowControl/>
                    <w:kinsoku/>
                    <w:wordWrap/>
                    <w:overflowPunct/>
                    <w:topLinePunct w:val="0"/>
                    <w:bidi w:val="0"/>
                    <w:spacing w:line="240" w:lineRule="auto"/>
                    <w:ind w:left="0" w:leftChars="0" w:firstLine="0" w:firstLineChars="0"/>
                    <w:jc w:val="center"/>
                    <w:rPr>
                      <w:rFonts w:hint="default" w:ascii="Times New Roman" w:hAnsi="Times New Roman" w:eastAsia="新宋体" w:cs="Times New Roman"/>
                      <w:color w:val="000000" w:themeColor="text1"/>
                      <w:highlight w:val="none"/>
                      <w:lang w:val="en-US" w:eastAsia="zh-CN"/>
                      <w14:textFill>
                        <w14:solidFill>
                          <w14:schemeClr w14:val="tx1"/>
                        </w14:solidFill>
                      </w14:textFill>
                    </w:rPr>
                  </w:pPr>
                  <w:r>
                    <w:rPr>
                      <w:rFonts w:hint="default" w:ascii="Times New Roman" w:hAnsi="Times New Roman" w:eastAsia="新宋体" w:cs="Times New Roman"/>
                      <w:color w:val="000000" w:themeColor="text1"/>
                      <w:highlight w:val="none"/>
                      <w:lang w:val="en-US" w:eastAsia="zh-CN"/>
                      <w14:textFill>
                        <w14:solidFill>
                          <w14:schemeClr w14:val="tx1"/>
                        </w14:solidFill>
                      </w14:textFill>
                    </w:rPr>
                    <w:t>施工</w:t>
                  </w:r>
                </w:p>
              </w:tc>
              <w:tc>
                <w:tcPr>
                  <w:tcW w:w="1226" w:type="pct"/>
                  <w:tcBorders>
                    <w:tl2br w:val="nil"/>
                    <w:tr2bl w:val="nil"/>
                  </w:tcBorders>
                  <w:vAlign w:val="center"/>
                </w:tcPr>
                <w:p w14:paraId="7ABB6180">
                  <w:pPr>
                    <w:pStyle w:val="71"/>
                    <w:keepNext w:val="0"/>
                    <w:keepLines w:val="0"/>
                    <w:pageBreakBefore w:val="0"/>
                    <w:widowControl/>
                    <w:kinsoku/>
                    <w:wordWrap/>
                    <w:overflowPunct/>
                    <w:topLinePunct w:val="0"/>
                    <w:bidi w:val="0"/>
                    <w:spacing w:line="240" w:lineRule="auto"/>
                    <w:ind w:left="0" w:leftChars="0" w:firstLine="0" w:firstLineChars="0"/>
                    <w:jc w:val="center"/>
                    <w:rPr>
                      <w:rFonts w:hint="default" w:ascii="Times New Roman" w:hAnsi="Times New Roman" w:eastAsia="新宋体" w:cs="Times New Roman"/>
                      <w:color w:val="000000" w:themeColor="text1"/>
                      <w:highlight w:val="none"/>
                      <w14:textFill>
                        <w14:solidFill>
                          <w14:schemeClr w14:val="tx1"/>
                        </w14:solidFill>
                      </w14:textFill>
                    </w:rPr>
                  </w:pPr>
                  <w:r>
                    <w:rPr>
                      <w:rFonts w:hint="default" w:ascii="Times New Roman" w:hAnsi="Times New Roman" w:eastAsia="新宋体" w:cs="Times New Roman"/>
                      <w:color w:val="000000" w:themeColor="text1"/>
                      <w:highlight w:val="none"/>
                      <w:lang w:val="en-US" w:eastAsia="zh-CN"/>
                      <w14:textFill>
                        <w14:solidFill>
                          <w14:schemeClr w14:val="tx1"/>
                        </w14:solidFill>
                      </w14:textFill>
                    </w:rPr>
                    <w:t>养护废水</w:t>
                  </w:r>
                </w:p>
              </w:tc>
              <w:tc>
                <w:tcPr>
                  <w:tcW w:w="1769" w:type="pct"/>
                  <w:tcBorders>
                    <w:tl2br w:val="nil"/>
                    <w:tr2bl w:val="nil"/>
                  </w:tcBorders>
                  <w:vAlign w:val="center"/>
                </w:tcPr>
                <w:p w14:paraId="571C2C12">
                  <w:pPr>
                    <w:pStyle w:val="71"/>
                    <w:keepNext w:val="0"/>
                    <w:keepLines w:val="0"/>
                    <w:pageBreakBefore w:val="0"/>
                    <w:widowControl/>
                    <w:kinsoku/>
                    <w:wordWrap/>
                    <w:overflowPunct/>
                    <w:topLinePunct w:val="0"/>
                    <w:bidi w:val="0"/>
                    <w:spacing w:line="240" w:lineRule="auto"/>
                    <w:ind w:left="0" w:leftChars="0" w:firstLine="0" w:firstLineChars="0"/>
                    <w:jc w:val="center"/>
                    <w:rPr>
                      <w:rFonts w:hint="default" w:ascii="Times New Roman" w:hAnsi="Times New Roman" w:eastAsia="新宋体" w:cs="Times New Roman"/>
                      <w:color w:val="000000" w:themeColor="text1"/>
                      <w:highlight w:val="none"/>
                      <w:lang w:val="en-US" w:eastAsia="zh-CN"/>
                      <w14:textFill>
                        <w14:solidFill>
                          <w14:schemeClr w14:val="tx1"/>
                        </w14:solidFill>
                      </w14:textFill>
                    </w:rPr>
                  </w:pPr>
                  <w:r>
                    <w:rPr>
                      <w:rFonts w:hint="default" w:ascii="Times New Roman" w:hAnsi="Times New Roman" w:eastAsia="新宋体" w:cs="Times New Roman"/>
                      <w:color w:val="000000" w:themeColor="text1"/>
                      <w:highlight w:val="none"/>
                      <w14:textFill>
                        <w14:solidFill>
                          <w14:schemeClr w14:val="tx1"/>
                        </w14:solidFill>
                      </w14:textFill>
                    </w:rPr>
                    <w:t>SS</w:t>
                  </w:r>
                  <w:r>
                    <w:rPr>
                      <w:rFonts w:hint="default" w:ascii="Times New Roman" w:hAnsi="Times New Roman" w:eastAsia="新宋体" w:cs="Times New Roman"/>
                      <w:color w:val="000000" w:themeColor="text1"/>
                      <w:highlight w:val="none"/>
                      <w:lang w:eastAsia="zh-CN"/>
                      <w14:textFill>
                        <w14:solidFill>
                          <w14:schemeClr w14:val="tx1"/>
                        </w14:solidFill>
                      </w14:textFill>
                    </w:rPr>
                    <w:t>、</w:t>
                  </w:r>
                  <w:r>
                    <w:rPr>
                      <w:rFonts w:hint="default" w:ascii="Times New Roman" w:hAnsi="Times New Roman" w:eastAsia="新宋体" w:cs="Times New Roman"/>
                      <w:color w:val="000000" w:themeColor="text1"/>
                      <w:highlight w:val="none"/>
                      <w:lang w:val="en-US" w:eastAsia="zh-CN"/>
                      <w14:textFill>
                        <w14:solidFill>
                          <w14:schemeClr w14:val="tx1"/>
                        </w14:solidFill>
                      </w14:textFill>
                    </w:rPr>
                    <w:t>石油类</w:t>
                  </w:r>
                </w:p>
              </w:tc>
            </w:tr>
            <w:tr w14:paraId="76CC41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37" w:type="pct"/>
                  <w:vMerge w:val="continue"/>
                  <w:tcBorders>
                    <w:tl2br w:val="nil"/>
                    <w:tr2bl w:val="nil"/>
                  </w:tcBorders>
                  <w:vAlign w:val="center"/>
                </w:tcPr>
                <w:p w14:paraId="5AB6D89A">
                  <w:pPr>
                    <w:pStyle w:val="71"/>
                    <w:keepNext w:val="0"/>
                    <w:keepLines w:val="0"/>
                    <w:pageBreakBefore w:val="0"/>
                    <w:widowControl/>
                    <w:kinsoku/>
                    <w:wordWrap/>
                    <w:overflowPunct/>
                    <w:topLinePunct w:val="0"/>
                    <w:bidi w:val="0"/>
                    <w:spacing w:line="240" w:lineRule="auto"/>
                    <w:ind w:left="0" w:leftChars="0" w:firstLine="0" w:firstLineChars="0"/>
                    <w:jc w:val="center"/>
                    <w:rPr>
                      <w:rFonts w:hint="default" w:ascii="Times New Roman" w:hAnsi="Times New Roman" w:eastAsia="新宋体" w:cs="Times New Roman"/>
                      <w:color w:val="000000" w:themeColor="text1"/>
                      <w:highlight w:val="none"/>
                      <w14:textFill>
                        <w14:solidFill>
                          <w14:schemeClr w14:val="tx1"/>
                        </w14:solidFill>
                      </w14:textFill>
                    </w:rPr>
                  </w:pPr>
                </w:p>
              </w:tc>
              <w:tc>
                <w:tcPr>
                  <w:tcW w:w="1465" w:type="pct"/>
                  <w:tcBorders>
                    <w:tl2br w:val="nil"/>
                    <w:tr2bl w:val="nil"/>
                  </w:tcBorders>
                  <w:vAlign w:val="center"/>
                </w:tcPr>
                <w:p w14:paraId="4812F966">
                  <w:pPr>
                    <w:pStyle w:val="71"/>
                    <w:keepNext w:val="0"/>
                    <w:keepLines w:val="0"/>
                    <w:pageBreakBefore w:val="0"/>
                    <w:widowControl/>
                    <w:kinsoku/>
                    <w:wordWrap/>
                    <w:overflowPunct/>
                    <w:topLinePunct w:val="0"/>
                    <w:bidi w:val="0"/>
                    <w:spacing w:line="240" w:lineRule="auto"/>
                    <w:ind w:left="0" w:leftChars="0" w:firstLine="0" w:firstLineChars="0"/>
                    <w:jc w:val="center"/>
                    <w:rPr>
                      <w:rFonts w:hint="default" w:ascii="Times New Roman" w:hAnsi="Times New Roman" w:eastAsia="新宋体" w:cs="Times New Roman"/>
                      <w:color w:val="000000" w:themeColor="text1"/>
                      <w:highlight w:val="none"/>
                      <w14:textFill>
                        <w14:solidFill>
                          <w14:schemeClr w14:val="tx1"/>
                        </w14:solidFill>
                      </w14:textFill>
                    </w:rPr>
                  </w:pPr>
                  <w:r>
                    <w:rPr>
                      <w:rFonts w:hint="default" w:ascii="Times New Roman" w:hAnsi="Times New Roman" w:eastAsia="新宋体" w:cs="Times New Roman"/>
                      <w:color w:val="000000" w:themeColor="text1"/>
                      <w:highlight w:val="none"/>
                      <w14:textFill>
                        <w14:solidFill>
                          <w14:schemeClr w14:val="tx1"/>
                        </w14:solidFill>
                      </w14:textFill>
                    </w:rPr>
                    <w:t>生活</w:t>
                  </w:r>
                </w:p>
              </w:tc>
              <w:tc>
                <w:tcPr>
                  <w:tcW w:w="1226" w:type="pct"/>
                  <w:tcBorders>
                    <w:tl2br w:val="nil"/>
                    <w:tr2bl w:val="nil"/>
                  </w:tcBorders>
                  <w:vAlign w:val="center"/>
                </w:tcPr>
                <w:p w14:paraId="6570146B">
                  <w:pPr>
                    <w:pStyle w:val="71"/>
                    <w:keepNext w:val="0"/>
                    <w:keepLines w:val="0"/>
                    <w:pageBreakBefore w:val="0"/>
                    <w:widowControl/>
                    <w:kinsoku/>
                    <w:wordWrap/>
                    <w:overflowPunct/>
                    <w:topLinePunct w:val="0"/>
                    <w:bidi w:val="0"/>
                    <w:spacing w:line="240" w:lineRule="auto"/>
                    <w:ind w:left="0" w:leftChars="0" w:firstLine="0" w:firstLineChars="0"/>
                    <w:jc w:val="center"/>
                    <w:rPr>
                      <w:rFonts w:hint="default" w:ascii="Times New Roman" w:hAnsi="Times New Roman" w:eastAsia="新宋体" w:cs="Times New Roman"/>
                      <w:color w:val="000000" w:themeColor="text1"/>
                      <w:highlight w:val="none"/>
                      <w14:textFill>
                        <w14:solidFill>
                          <w14:schemeClr w14:val="tx1"/>
                        </w14:solidFill>
                      </w14:textFill>
                    </w:rPr>
                  </w:pPr>
                  <w:r>
                    <w:rPr>
                      <w:rFonts w:hint="default" w:ascii="Times New Roman" w:hAnsi="Times New Roman" w:eastAsia="新宋体" w:cs="Times New Roman"/>
                      <w:color w:val="000000" w:themeColor="text1"/>
                      <w:highlight w:val="none"/>
                      <w14:textFill>
                        <w14:solidFill>
                          <w14:schemeClr w14:val="tx1"/>
                        </w14:solidFill>
                      </w14:textFill>
                    </w:rPr>
                    <w:t>生活污水</w:t>
                  </w:r>
                </w:p>
              </w:tc>
              <w:tc>
                <w:tcPr>
                  <w:tcW w:w="1769" w:type="pct"/>
                  <w:tcBorders>
                    <w:tl2br w:val="nil"/>
                    <w:tr2bl w:val="nil"/>
                  </w:tcBorders>
                  <w:vAlign w:val="center"/>
                </w:tcPr>
                <w:p w14:paraId="2758DEBD">
                  <w:pPr>
                    <w:pStyle w:val="71"/>
                    <w:keepNext w:val="0"/>
                    <w:keepLines w:val="0"/>
                    <w:pageBreakBefore w:val="0"/>
                    <w:widowControl/>
                    <w:kinsoku/>
                    <w:wordWrap/>
                    <w:overflowPunct/>
                    <w:topLinePunct w:val="0"/>
                    <w:bidi w:val="0"/>
                    <w:spacing w:line="240" w:lineRule="auto"/>
                    <w:ind w:left="0" w:leftChars="0" w:firstLine="0" w:firstLineChars="0"/>
                    <w:jc w:val="center"/>
                    <w:rPr>
                      <w:rFonts w:hint="default" w:ascii="Times New Roman" w:hAnsi="Times New Roman" w:eastAsia="新宋体" w:cs="Times New Roman"/>
                      <w:color w:val="000000" w:themeColor="text1"/>
                      <w:highlight w:val="none"/>
                      <w:lang w:val="en-US" w:eastAsia="zh-CN"/>
                      <w14:textFill>
                        <w14:solidFill>
                          <w14:schemeClr w14:val="tx1"/>
                        </w14:solidFill>
                      </w14:textFill>
                    </w:rPr>
                  </w:pPr>
                  <w:r>
                    <w:rPr>
                      <w:rFonts w:hint="eastAsia" w:eastAsia="新宋体" w:cs="Times New Roman"/>
                      <w:color w:val="000000" w:themeColor="text1"/>
                      <w:highlight w:val="none"/>
                      <w:lang w:val="en-US" w:eastAsia="zh-CN"/>
                      <w14:textFill>
                        <w14:solidFill>
                          <w14:schemeClr w14:val="tx1"/>
                        </w14:solidFill>
                      </w14:textFill>
                    </w:rPr>
                    <w:t>COD、SS、NH</w:t>
                  </w:r>
                  <w:r>
                    <w:rPr>
                      <w:rFonts w:hint="eastAsia" w:eastAsia="新宋体" w:cs="Times New Roman"/>
                      <w:color w:val="000000" w:themeColor="text1"/>
                      <w:highlight w:val="none"/>
                      <w:vertAlign w:val="subscript"/>
                      <w:lang w:val="en-US" w:eastAsia="zh-CN"/>
                      <w14:textFill>
                        <w14:solidFill>
                          <w14:schemeClr w14:val="tx1"/>
                        </w14:solidFill>
                      </w14:textFill>
                    </w:rPr>
                    <w:t>3</w:t>
                  </w:r>
                  <w:r>
                    <w:rPr>
                      <w:rFonts w:hint="eastAsia" w:eastAsia="新宋体" w:cs="Times New Roman"/>
                      <w:color w:val="000000" w:themeColor="text1"/>
                      <w:highlight w:val="none"/>
                      <w:lang w:val="en-US" w:eastAsia="zh-CN"/>
                      <w14:textFill>
                        <w14:solidFill>
                          <w14:schemeClr w14:val="tx1"/>
                        </w14:solidFill>
                      </w14:textFill>
                    </w:rPr>
                    <w:t>-N等</w:t>
                  </w:r>
                </w:p>
              </w:tc>
            </w:tr>
            <w:tr w14:paraId="57B0E7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537" w:type="pct"/>
                  <w:tcBorders>
                    <w:tl2br w:val="nil"/>
                    <w:tr2bl w:val="nil"/>
                  </w:tcBorders>
                  <w:vAlign w:val="center"/>
                </w:tcPr>
                <w:p w14:paraId="0C1CE36F">
                  <w:pPr>
                    <w:pStyle w:val="71"/>
                    <w:keepNext w:val="0"/>
                    <w:keepLines w:val="0"/>
                    <w:pageBreakBefore w:val="0"/>
                    <w:widowControl/>
                    <w:kinsoku/>
                    <w:wordWrap/>
                    <w:overflowPunct/>
                    <w:topLinePunct w:val="0"/>
                    <w:bidi w:val="0"/>
                    <w:spacing w:line="240" w:lineRule="auto"/>
                    <w:ind w:left="0" w:leftChars="0" w:firstLine="0" w:firstLineChars="0"/>
                    <w:jc w:val="center"/>
                    <w:rPr>
                      <w:rFonts w:hint="default" w:ascii="Times New Roman" w:hAnsi="Times New Roman" w:eastAsia="新宋体" w:cs="Times New Roman"/>
                      <w:color w:val="000000" w:themeColor="text1"/>
                      <w:highlight w:val="none"/>
                      <w14:textFill>
                        <w14:solidFill>
                          <w14:schemeClr w14:val="tx1"/>
                        </w14:solidFill>
                      </w14:textFill>
                    </w:rPr>
                  </w:pPr>
                  <w:r>
                    <w:rPr>
                      <w:rFonts w:hint="default" w:ascii="Times New Roman" w:hAnsi="Times New Roman" w:eastAsia="新宋体" w:cs="Times New Roman"/>
                      <w:color w:val="000000" w:themeColor="text1"/>
                      <w:highlight w:val="none"/>
                      <w14:textFill>
                        <w14:solidFill>
                          <w14:schemeClr w14:val="tx1"/>
                        </w14:solidFill>
                      </w14:textFill>
                    </w:rPr>
                    <w:t>噪声</w:t>
                  </w:r>
                </w:p>
              </w:tc>
              <w:tc>
                <w:tcPr>
                  <w:tcW w:w="1465" w:type="pct"/>
                  <w:tcBorders>
                    <w:tl2br w:val="nil"/>
                    <w:tr2bl w:val="nil"/>
                  </w:tcBorders>
                  <w:vAlign w:val="center"/>
                </w:tcPr>
                <w:p w14:paraId="3AA43058">
                  <w:pPr>
                    <w:pStyle w:val="71"/>
                    <w:keepNext w:val="0"/>
                    <w:keepLines w:val="0"/>
                    <w:pageBreakBefore w:val="0"/>
                    <w:widowControl/>
                    <w:kinsoku/>
                    <w:wordWrap/>
                    <w:overflowPunct/>
                    <w:topLinePunct w:val="0"/>
                    <w:bidi w:val="0"/>
                    <w:spacing w:line="240" w:lineRule="auto"/>
                    <w:ind w:left="0" w:leftChars="0" w:firstLine="0" w:firstLineChars="0"/>
                    <w:jc w:val="center"/>
                    <w:rPr>
                      <w:rFonts w:hint="default" w:ascii="Times New Roman" w:hAnsi="Times New Roman" w:eastAsia="新宋体" w:cs="Times New Roman"/>
                      <w:color w:val="000000" w:themeColor="text1"/>
                      <w:highlight w:val="none"/>
                      <w:lang w:val="en-US" w:eastAsia="zh-CN"/>
                      <w14:textFill>
                        <w14:solidFill>
                          <w14:schemeClr w14:val="tx1"/>
                        </w14:solidFill>
                      </w14:textFill>
                    </w:rPr>
                  </w:pPr>
                  <w:r>
                    <w:rPr>
                      <w:rFonts w:hint="default" w:ascii="Times New Roman" w:hAnsi="Times New Roman" w:eastAsia="新宋体" w:cs="Times New Roman"/>
                      <w:color w:val="000000" w:themeColor="text1"/>
                      <w:highlight w:val="none"/>
                      <w14:textFill>
                        <w14:solidFill>
                          <w14:schemeClr w14:val="tx1"/>
                        </w14:solidFill>
                      </w14:textFill>
                    </w:rPr>
                    <w:t>施工</w:t>
                  </w:r>
                  <w:r>
                    <w:rPr>
                      <w:rFonts w:hint="default" w:ascii="Times New Roman" w:hAnsi="Times New Roman" w:eastAsia="新宋体" w:cs="Times New Roman"/>
                      <w:color w:val="000000" w:themeColor="text1"/>
                      <w:highlight w:val="none"/>
                      <w:lang w:val="en-US" w:eastAsia="zh-CN"/>
                      <w14:textFill>
                        <w14:solidFill>
                          <w14:schemeClr w14:val="tx1"/>
                        </w14:solidFill>
                      </w14:textFill>
                    </w:rPr>
                    <w:t>机械</w:t>
                  </w:r>
                </w:p>
              </w:tc>
              <w:tc>
                <w:tcPr>
                  <w:tcW w:w="1226" w:type="pct"/>
                  <w:tcBorders>
                    <w:tl2br w:val="nil"/>
                    <w:tr2bl w:val="nil"/>
                  </w:tcBorders>
                  <w:vAlign w:val="center"/>
                </w:tcPr>
                <w:p w14:paraId="7DCB6B97">
                  <w:pPr>
                    <w:pStyle w:val="71"/>
                    <w:keepNext w:val="0"/>
                    <w:keepLines w:val="0"/>
                    <w:pageBreakBefore w:val="0"/>
                    <w:widowControl/>
                    <w:kinsoku/>
                    <w:wordWrap/>
                    <w:overflowPunct/>
                    <w:topLinePunct w:val="0"/>
                    <w:bidi w:val="0"/>
                    <w:spacing w:line="240" w:lineRule="auto"/>
                    <w:ind w:left="0" w:leftChars="0" w:firstLine="0" w:firstLineChars="0"/>
                    <w:jc w:val="center"/>
                    <w:rPr>
                      <w:rFonts w:hint="default" w:ascii="Times New Roman" w:hAnsi="Times New Roman" w:eastAsia="新宋体" w:cs="Times New Roman"/>
                      <w:color w:val="000000" w:themeColor="text1"/>
                      <w:highlight w:val="none"/>
                      <w14:textFill>
                        <w14:solidFill>
                          <w14:schemeClr w14:val="tx1"/>
                        </w14:solidFill>
                      </w14:textFill>
                    </w:rPr>
                  </w:pPr>
                  <w:r>
                    <w:rPr>
                      <w:rFonts w:hint="default" w:ascii="Times New Roman" w:hAnsi="Times New Roman" w:eastAsia="新宋体" w:cs="Times New Roman"/>
                      <w:color w:val="000000" w:themeColor="text1"/>
                      <w:highlight w:val="none"/>
                      <w14:textFill>
                        <w14:solidFill>
                          <w14:schemeClr w14:val="tx1"/>
                        </w14:solidFill>
                      </w14:textFill>
                    </w:rPr>
                    <w:t>设备噪声</w:t>
                  </w:r>
                </w:p>
              </w:tc>
              <w:tc>
                <w:tcPr>
                  <w:tcW w:w="1769" w:type="pct"/>
                  <w:tcBorders>
                    <w:tl2br w:val="nil"/>
                    <w:tr2bl w:val="nil"/>
                  </w:tcBorders>
                  <w:vAlign w:val="center"/>
                </w:tcPr>
                <w:p w14:paraId="10553A8F">
                  <w:pPr>
                    <w:pStyle w:val="71"/>
                    <w:keepNext w:val="0"/>
                    <w:keepLines w:val="0"/>
                    <w:pageBreakBefore w:val="0"/>
                    <w:widowControl/>
                    <w:kinsoku/>
                    <w:wordWrap/>
                    <w:overflowPunct/>
                    <w:topLinePunct w:val="0"/>
                    <w:bidi w:val="0"/>
                    <w:spacing w:line="240" w:lineRule="auto"/>
                    <w:ind w:left="0" w:leftChars="0" w:firstLine="0" w:firstLineChars="0"/>
                    <w:jc w:val="center"/>
                    <w:rPr>
                      <w:rFonts w:hint="default" w:ascii="Times New Roman" w:hAnsi="Times New Roman" w:eastAsia="新宋体" w:cs="Times New Roman"/>
                      <w:color w:val="000000" w:themeColor="text1"/>
                      <w:highlight w:val="none"/>
                      <w:lang w:eastAsia="zh-CN"/>
                      <w14:textFill>
                        <w14:solidFill>
                          <w14:schemeClr w14:val="tx1"/>
                        </w14:solidFill>
                      </w14:textFill>
                    </w:rPr>
                  </w:pPr>
                  <w:r>
                    <w:rPr>
                      <w:rFonts w:hint="default" w:ascii="Times New Roman" w:hAnsi="Times New Roman" w:eastAsia="新宋体" w:cs="Times New Roman"/>
                      <w:color w:val="000000" w:themeColor="text1"/>
                      <w:highlight w:val="none"/>
                      <w14:textFill>
                        <w14:solidFill>
                          <w14:schemeClr w14:val="tx1"/>
                        </w14:solidFill>
                      </w14:textFill>
                    </w:rPr>
                    <w:t>噪声dB</w:t>
                  </w:r>
                  <w:r>
                    <w:rPr>
                      <w:rFonts w:hint="default" w:ascii="Times New Roman" w:hAnsi="Times New Roman" w:eastAsia="新宋体" w:cs="Times New Roman"/>
                      <w:color w:val="000000" w:themeColor="text1"/>
                      <w:highlight w:val="none"/>
                      <w:lang w:eastAsia="zh-CN"/>
                      <w14:textFill>
                        <w14:solidFill>
                          <w14:schemeClr w14:val="tx1"/>
                        </w14:solidFill>
                      </w14:textFill>
                    </w:rPr>
                    <w:t>（</w:t>
                  </w:r>
                  <w:r>
                    <w:rPr>
                      <w:rFonts w:hint="default" w:ascii="Times New Roman" w:hAnsi="Times New Roman" w:eastAsia="新宋体" w:cs="Times New Roman"/>
                      <w:color w:val="000000" w:themeColor="text1"/>
                      <w:highlight w:val="none"/>
                      <w14:textFill>
                        <w14:solidFill>
                          <w14:schemeClr w14:val="tx1"/>
                        </w14:solidFill>
                      </w14:textFill>
                    </w:rPr>
                    <w:t>A</w:t>
                  </w:r>
                  <w:r>
                    <w:rPr>
                      <w:rFonts w:hint="default" w:ascii="Times New Roman" w:hAnsi="Times New Roman" w:eastAsia="新宋体" w:cs="Times New Roman"/>
                      <w:color w:val="000000" w:themeColor="text1"/>
                      <w:highlight w:val="none"/>
                      <w:lang w:eastAsia="zh-CN"/>
                      <w14:textFill>
                        <w14:solidFill>
                          <w14:schemeClr w14:val="tx1"/>
                        </w14:solidFill>
                      </w14:textFill>
                    </w:rPr>
                    <w:t>）</w:t>
                  </w:r>
                </w:p>
              </w:tc>
            </w:tr>
            <w:tr w14:paraId="64ADB5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37" w:type="pct"/>
                  <w:vMerge w:val="restart"/>
                  <w:tcBorders>
                    <w:tl2br w:val="nil"/>
                    <w:tr2bl w:val="nil"/>
                  </w:tcBorders>
                  <w:vAlign w:val="center"/>
                </w:tcPr>
                <w:p w14:paraId="02A46FFF">
                  <w:pPr>
                    <w:pStyle w:val="71"/>
                    <w:keepNext w:val="0"/>
                    <w:keepLines w:val="0"/>
                    <w:pageBreakBefore w:val="0"/>
                    <w:widowControl/>
                    <w:kinsoku/>
                    <w:wordWrap/>
                    <w:overflowPunct/>
                    <w:topLinePunct w:val="0"/>
                    <w:bidi w:val="0"/>
                    <w:spacing w:line="240" w:lineRule="auto"/>
                    <w:ind w:left="0" w:leftChars="0" w:firstLine="0" w:firstLineChars="0"/>
                    <w:jc w:val="center"/>
                    <w:rPr>
                      <w:rFonts w:hint="default" w:ascii="Times New Roman" w:hAnsi="Times New Roman" w:eastAsia="新宋体" w:cs="Times New Roman"/>
                      <w:color w:val="000000" w:themeColor="text1"/>
                      <w:highlight w:val="none"/>
                      <w:lang w:val="en-US" w:eastAsia="zh-CN"/>
                      <w14:textFill>
                        <w14:solidFill>
                          <w14:schemeClr w14:val="tx1"/>
                        </w14:solidFill>
                      </w14:textFill>
                    </w:rPr>
                  </w:pPr>
                  <w:r>
                    <w:rPr>
                      <w:rFonts w:hint="default" w:ascii="Times New Roman" w:hAnsi="Times New Roman" w:eastAsia="新宋体" w:cs="Times New Roman"/>
                      <w:color w:val="000000" w:themeColor="text1"/>
                      <w:highlight w:val="none"/>
                      <w:lang w:val="en-US" w:eastAsia="zh-CN"/>
                      <w14:textFill>
                        <w14:solidFill>
                          <w14:schemeClr w14:val="tx1"/>
                        </w14:solidFill>
                      </w14:textFill>
                    </w:rPr>
                    <w:t>固废</w:t>
                  </w:r>
                </w:p>
              </w:tc>
              <w:tc>
                <w:tcPr>
                  <w:tcW w:w="1465" w:type="pct"/>
                  <w:tcBorders>
                    <w:tl2br w:val="nil"/>
                    <w:tr2bl w:val="nil"/>
                  </w:tcBorders>
                  <w:vAlign w:val="center"/>
                </w:tcPr>
                <w:p w14:paraId="47800E9B">
                  <w:pPr>
                    <w:pStyle w:val="71"/>
                    <w:keepNext w:val="0"/>
                    <w:keepLines w:val="0"/>
                    <w:pageBreakBefore w:val="0"/>
                    <w:widowControl/>
                    <w:kinsoku/>
                    <w:wordWrap/>
                    <w:overflowPunct/>
                    <w:topLinePunct w:val="0"/>
                    <w:bidi w:val="0"/>
                    <w:spacing w:line="240" w:lineRule="auto"/>
                    <w:ind w:left="0" w:leftChars="0" w:firstLine="0" w:firstLineChars="0"/>
                    <w:jc w:val="center"/>
                    <w:rPr>
                      <w:rFonts w:hint="default" w:ascii="Times New Roman" w:hAnsi="Times New Roman" w:eastAsia="新宋体" w:cs="Times New Roman"/>
                      <w:color w:val="000000" w:themeColor="text1"/>
                      <w:highlight w:val="none"/>
                      <w14:textFill>
                        <w14:solidFill>
                          <w14:schemeClr w14:val="tx1"/>
                        </w14:solidFill>
                      </w14:textFill>
                    </w:rPr>
                  </w:pPr>
                  <w:r>
                    <w:rPr>
                      <w:rFonts w:hint="default" w:ascii="Times New Roman" w:hAnsi="Times New Roman" w:eastAsia="新宋体" w:cs="Times New Roman"/>
                      <w:color w:val="000000" w:themeColor="text1"/>
                      <w:highlight w:val="none"/>
                      <w14:textFill>
                        <w14:solidFill>
                          <w14:schemeClr w14:val="tx1"/>
                        </w14:solidFill>
                      </w14:textFill>
                    </w:rPr>
                    <w:t>建筑垃圾</w:t>
                  </w:r>
                </w:p>
              </w:tc>
              <w:tc>
                <w:tcPr>
                  <w:tcW w:w="1226" w:type="pct"/>
                  <w:tcBorders>
                    <w:tl2br w:val="nil"/>
                    <w:tr2bl w:val="nil"/>
                  </w:tcBorders>
                  <w:vAlign w:val="center"/>
                </w:tcPr>
                <w:p w14:paraId="32B776B2">
                  <w:pPr>
                    <w:pStyle w:val="71"/>
                    <w:keepNext w:val="0"/>
                    <w:keepLines w:val="0"/>
                    <w:pageBreakBefore w:val="0"/>
                    <w:widowControl/>
                    <w:kinsoku/>
                    <w:wordWrap/>
                    <w:overflowPunct/>
                    <w:topLinePunct w:val="0"/>
                    <w:bidi w:val="0"/>
                    <w:spacing w:line="240" w:lineRule="auto"/>
                    <w:ind w:left="0" w:leftChars="0" w:firstLine="0" w:firstLineChars="0"/>
                    <w:jc w:val="center"/>
                    <w:rPr>
                      <w:rFonts w:hint="default" w:ascii="Times New Roman" w:hAnsi="Times New Roman" w:eastAsia="新宋体" w:cs="Times New Roman"/>
                      <w:color w:val="000000" w:themeColor="text1"/>
                      <w:highlight w:val="none"/>
                      <w14:textFill>
                        <w14:solidFill>
                          <w14:schemeClr w14:val="tx1"/>
                        </w14:solidFill>
                      </w14:textFill>
                    </w:rPr>
                  </w:pPr>
                  <w:r>
                    <w:rPr>
                      <w:rFonts w:hint="default" w:ascii="Times New Roman" w:hAnsi="Times New Roman" w:eastAsia="新宋体" w:cs="Times New Roman"/>
                      <w:color w:val="000000" w:themeColor="text1"/>
                      <w:highlight w:val="none"/>
                      <w14:textFill>
                        <w14:solidFill>
                          <w14:schemeClr w14:val="tx1"/>
                        </w14:solidFill>
                      </w14:textFill>
                    </w:rPr>
                    <w:t>固废</w:t>
                  </w:r>
                </w:p>
              </w:tc>
              <w:tc>
                <w:tcPr>
                  <w:tcW w:w="1769" w:type="pct"/>
                  <w:tcBorders>
                    <w:tl2br w:val="nil"/>
                    <w:tr2bl w:val="nil"/>
                  </w:tcBorders>
                </w:tcPr>
                <w:p w14:paraId="76D0AAE9">
                  <w:pPr>
                    <w:pStyle w:val="71"/>
                    <w:keepNext w:val="0"/>
                    <w:keepLines w:val="0"/>
                    <w:pageBreakBefore w:val="0"/>
                    <w:widowControl/>
                    <w:kinsoku/>
                    <w:wordWrap/>
                    <w:overflowPunct/>
                    <w:topLinePunct w:val="0"/>
                    <w:bidi w:val="0"/>
                    <w:spacing w:line="240" w:lineRule="auto"/>
                    <w:ind w:left="0" w:leftChars="0" w:firstLine="0" w:firstLineChars="0"/>
                    <w:jc w:val="center"/>
                    <w:rPr>
                      <w:rFonts w:hint="default" w:ascii="Times New Roman" w:hAnsi="Times New Roman" w:eastAsia="新宋体" w:cs="Times New Roman"/>
                      <w:color w:val="000000" w:themeColor="text1"/>
                      <w:highlight w:val="none"/>
                      <w14:textFill>
                        <w14:solidFill>
                          <w14:schemeClr w14:val="tx1"/>
                        </w14:solidFill>
                      </w14:textFill>
                    </w:rPr>
                  </w:pPr>
                  <w:r>
                    <w:rPr>
                      <w:rFonts w:hint="default" w:ascii="Times New Roman" w:hAnsi="Times New Roman" w:eastAsia="新宋体" w:cs="Times New Roman"/>
                      <w:color w:val="000000" w:themeColor="text1"/>
                      <w:highlight w:val="none"/>
                      <w14:textFill>
                        <w14:solidFill>
                          <w14:schemeClr w14:val="tx1"/>
                        </w14:solidFill>
                      </w14:textFill>
                    </w:rPr>
                    <w:t>一般固废</w:t>
                  </w:r>
                </w:p>
              </w:tc>
            </w:tr>
            <w:tr w14:paraId="7D6BDC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537" w:type="pct"/>
                  <w:vMerge w:val="continue"/>
                  <w:tcBorders>
                    <w:tl2br w:val="nil"/>
                    <w:tr2bl w:val="nil"/>
                  </w:tcBorders>
                  <w:vAlign w:val="center"/>
                </w:tcPr>
                <w:p w14:paraId="0D71B100">
                  <w:pPr>
                    <w:pStyle w:val="71"/>
                    <w:keepNext w:val="0"/>
                    <w:keepLines w:val="0"/>
                    <w:pageBreakBefore w:val="0"/>
                    <w:widowControl/>
                    <w:kinsoku/>
                    <w:wordWrap/>
                    <w:overflowPunct/>
                    <w:topLinePunct w:val="0"/>
                    <w:bidi w:val="0"/>
                    <w:spacing w:line="240" w:lineRule="auto"/>
                    <w:ind w:left="0" w:leftChars="0" w:firstLine="0" w:firstLineChars="0"/>
                    <w:jc w:val="center"/>
                    <w:rPr>
                      <w:rFonts w:hint="default" w:ascii="Times New Roman" w:hAnsi="Times New Roman" w:eastAsia="新宋体" w:cs="Times New Roman"/>
                      <w:color w:val="000000" w:themeColor="text1"/>
                      <w:highlight w:val="none"/>
                      <w14:textFill>
                        <w14:solidFill>
                          <w14:schemeClr w14:val="tx1"/>
                        </w14:solidFill>
                      </w14:textFill>
                    </w:rPr>
                  </w:pPr>
                </w:p>
              </w:tc>
              <w:tc>
                <w:tcPr>
                  <w:tcW w:w="1465" w:type="pct"/>
                  <w:tcBorders>
                    <w:tl2br w:val="nil"/>
                    <w:tr2bl w:val="nil"/>
                  </w:tcBorders>
                  <w:vAlign w:val="center"/>
                </w:tcPr>
                <w:p w14:paraId="4E414C67">
                  <w:pPr>
                    <w:pStyle w:val="71"/>
                    <w:keepNext w:val="0"/>
                    <w:keepLines w:val="0"/>
                    <w:pageBreakBefore w:val="0"/>
                    <w:widowControl/>
                    <w:kinsoku/>
                    <w:wordWrap/>
                    <w:overflowPunct/>
                    <w:topLinePunct w:val="0"/>
                    <w:bidi w:val="0"/>
                    <w:spacing w:line="240" w:lineRule="auto"/>
                    <w:ind w:left="0" w:leftChars="0" w:firstLine="0" w:firstLineChars="0"/>
                    <w:jc w:val="center"/>
                    <w:rPr>
                      <w:rFonts w:hint="default" w:ascii="Times New Roman" w:hAnsi="Times New Roman" w:eastAsia="新宋体" w:cs="Times New Roman"/>
                      <w:color w:val="000000" w:themeColor="text1"/>
                      <w:highlight w:val="none"/>
                      <w:lang w:val="en-US" w:eastAsia="zh-CN"/>
                      <w14:textFill>
                        <w14:solidFill>
                          <w14:schemeClr w14:val="tx1"/>
                        </w14:solidFill>
                      </w14:textFill>
                    </w:rPr>
                  </w:pPr>
                  <w:r>
                    <w:rPr>
                      <w:rFonts w:hint="default" w:ascii="Times New Roman" w:hAnsi="Times New Roman" w:eastAsia="新宋体" w:cs="Times New Roman"/>
                      <w:color w:val="000000" w:themeColor="text1"/>
                      <w:highlight w:val="none"/>
                      <w:lang w:val="en-US" w:eastAsia="zh-CN"/>
                      <w14:textFill>
                        <w14:solidFill>
                          <w14:schemeClr w14:val="tx1"/>
                        </w14:solidFill>
                      </w14:textFill>
                    </w:rPr>
                    <w:t>施工生活</w:t>
                  </w:r>
                </w:p>
              </w:tc>
              <w:tc>
                <w:tcPr>
                  <w:tcW w:w="1226" w:type="pct"/>
                  <w:tcBorders>
                    <w:tl2br w:val="nil"/>
                    <w:tr2bl w:val="nil"/>
                  </w:tcBorders>
                  <w:vAlign w:val="center"/>
                </w:tcPr>
                <w:p w14:paraId="76BE9532">
                  <w:pPr>
                    <w:pStyle w:val="71"/>
                    <w:keepNext w:val="0"/>
                    <w:keepLines w:val="0"/>
                    <w:pageBreakBefore w:val="0"/>
                    <w:widowControl/>
                    <w:kinsoku/>
                    <w:wordWrap/>
                    <w:overflowPunct/>
                    <w:topLinePunct w:val="0"/>
                    <w:bidi w:val="0"/>
                    <w:spacing w:line="240" w:lineRule="auto"/>
                    <w:ind w:left="0" w:leftChars="0" w:firstLine="0" w:firstLineChars="0"/>
                    <w:jc w:val="center"/>
                    <w:rPr>
                      <w:rFonts w:hint="default" w:ascii="Times New Roman" w:hAnsi="Times New Roman" w:eastAsia="新宋体" w:cs="Times New Roman"/>
                      <w:color w:val="000000" w:themeColor="text1"/>
                      <w:highlight w:val="none"/>
                      <w14:textFill>
                        <w14:solidFill>
                          <w14:schemeClr w14:val="tx1"/>
                        </w14:solidFill>
                      </w14:textFill>
                    </w:rPr>
                  </w:pPr>
                  <w:r>
                    <w:rPr>
                      <w:rFonts w:hint="default" w:ascii="Times New Roman" w:hAnsi="Times New Roman" w:eastAsia="新宋体" w:cs="Times New Roman"/>
                      <w:color w:val="000000" w:themeColor="text1"/>
                      <w:highlight w:val="none"/>
                      <w14:textFill>
                        <w14:solidFill>
                          <w14:schemeClr w14:val="tx1"/>
                        </w14:solidFill>
                      </w14:textFill>
                    </w:rPr>
                    <w:t>生活垃圾</w:t>
                  </w:r>
                </w:p>
              </w:tc>
              <w:tc>
                <w:tcPr>
                  <w:tcW w:w="1769" w:type="pct"/>
                  <w:tcBorders>
                    <w:tl2br w:val="nil"/>
                    <w:tr2bl w:val="nil"/>
                  </w:tcBorders>
                </w:tcPr>
                <w:p w14:paraId="6D81C2FE">
                  <w:pPr>
                    <w:pStyle w:val="71"/>
                    <w:keepNext w:val="0"/>
                    <w:keepLines w:val="0"/>
                    <w:pageBreakBefore w:val="0"/>
                    <w:widowControl/>
                    <w:kinsoku/>
                    <w:wordWrap/>
                    <w:overflowPunct/>
                    <w:topLinePunct w:val="0"/>
                    <w:bidi w:val="0"/>
                    <w:spacing w:line="240" w:lineRule="auto"/>
                    <w:ind w:left="0" w:leftChars="0" w:firstLine="0" w:firstLineChars="0"/>
                    <w:jc w:val="center"/>
                    <w:rPr>
                      <w:rFonts w:hint="default" w:ascii="Times New Roman" w:hAnsi="Times New Roman" w:eastAsia="新宋体" w:cs="Times New Roman"/>
                      <w:color w:val="000000" w:themeColor="text1"/>
                      <w:highlight w:val="none"/>
                      <w:lang w:eastAsia="zh-CN"/>
                      <w14:textFill>
                        <w14:solidFill>
                          <w14:schemeClr w14:val="tx1"/>
                        </w14:solidFill>
                      </w14:textFill>
                    </w:rPr>
                  </w:pPr>
                  <w:r>
                    <w:rPr>
                      <w:rFonts w:hint="default" w:ascii="Times New Roman" w:hAnsi="Times New Roman" w:eastAsia="新宋体" w:cs="Times New Roman"/>
                      <w:color w:val="000000" w:themeColor="text1"/>
                      <w:highlight w:val="none"/>
                      <w:lang w:val="en-US" w:eastAsia="zh-CN"/>
                      <w14:textFill>
                        <w14:solidFill>
                          <w14:schemeClr w14:val="tx1"/>
                        </w14:solidFill>
                      </w14:textFill>
                    </w:rPr>
                    <w:t>/</w:t>
                  </w:r>
                </w:p>
              </w:tc>
            </w:tr>
          </w:tbl>
          <w:p w14:paraId="2D64636E">
            <w:pPr>
              <w:pStyle w:val="45"/>
              <w:keepNext w:val="0"/>
              <w:keepLines w:val="0"/>
              <w:pageBreakBefore w:val="0"/>
              <w:widowControl/>
              <w:numPr>
                <w:ilvl w:val="3"/>
                <w:numId w:val="0"/>
              </w:numPr>
              <w:kinsoku/>
              <w:wordWrap/>
              <w:overflowPunct/>
              <w:topLinePunct w:val="0"/>
              <w:bidi w:val="0"/>
              <w:spacing w:line="360" w:lineRule="auto"/>
              <w:ind w:leftChars="200"/>
              <w:jc w:val="both"/>
              <w:rPr>
                <w:rFonts w:hint="default" w:ascii="Times New Roman" w:hAnsi="Times New Roman" w:eastAsia="新宋体" w:cs="Times New Roman"/>
                <w:b/>
                <w:bCs/>
                <w:color w:val="000000" w:themeColor="text1"/>
                <w:kern w:val="2"/>
                <w:szCs w:val="24"/>
                <w:lang w:val="en-US" w:eastAsia="zh-CN"/>
                <w14:textFill>
                  <w14:solidFill>
                    <w14:schemeClr w14:val="tx1"/>
                  </w14:solidFill>
                </w14:textFill>
              </w:rPr>
            </w:pPr>
            <w:r>
              <w:rPr>
                <w:rFonts w:hint="default" w:ascii="Times New Roman" w:hAnsi="Times New Roman" w:eastAsia="新宋体" w:cs="Times New Roman"/>
                <w:b/>
                <w:bCs/>
                <w:color w:val="000000" w:themeColor="text1"/>
                <w:kern w:val="2"/>
                <w:szCs w:val="24"/>
                <w:lang w:val="en-US" w:eastAsia="zh-CN"/>
                <w14:textFill>
                  <w14:solidFill>
                    <w14:schemeClr w14:val="tx1"/>
                  </w14:solidFill>
                </w14:textFill>
              </w:rPr>
              <w:t>2、营运期工艺流程</w:t>
            </w:r>
          </w:p>
          <w:p w14:paraId="4DBCB455">
            <w:pPr>
              <w:pStyle w:val="2"/>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0"/>
              <w:jc w:val="center"/>
              <w:textAlignment w:val="auto"/>
              <w:rPr>
                <w:rFonts w:hint="default" w:ascii="Times New Roman" w:hAnsi="Times New Roman" w:eastAsia="新宋体" w:cs="Times New Roman"/>
                <w:b/>
                <w:bCs/>
                <w:color w:val="000000" w:themeColor="text1"/>
                <w:sz w:val="24"/>
                <w:szCs w:val="24"/>
                <w:highlight w:val="none"/>
                <w:lang w:val="en-US" w:eastAsia="zh-CN"/>
                <w14:textFill>
                  <w14:solidFill>
                    <w14:schemeClr w14:val="tx1"/>
                  </w14:solidFill>
                </w14:textFill>
              </w:rPr>
            </w:pPr>
            <w:r>
              <w:drawing>
                <wp:inline distT="0" distB="0" distL="114300" distR="114300">
                  <wp:extent cx="4147820" cy="4110990"/>
                  <wp:effectExtent l="0" t="0" r="508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4147820" cy="4110990"/>
                          </a:xfrm>
                          <a:prstGeom prst="rect">
                            <a:avLst/>
                          </a:prstGeom>
                          <a:noFill/>
                          <a:ln>
                            <a:noFill/>
                          </a:ln>
                        </pic:spPr>
                      </pic:pic>
                    </a:graphicData>
                  </a:graphic>
                </wp:inline>
              </w:drawing>
            </w:r>
          </w:p>
          <w:p w14:paraId="3BD0C636">
            <w:pPr>
              <w:keepNext w:val="0"/>
              <w:keepLines w:val="0"/>
              <w:pageBreakBefore w:val="0"/>
              <w:widowControl/>
              <w:kinsoku/>
              <w:wordWrap/>
              <w:overflowPunct/>
              <w:topLinePunct w:val="0"/>
              <w:bidi w:val="0"/>
              <w:adjustRightInd w:val="0"/>
              <w:snapToGrid w:val="0"/>
              <w:spacing w:beforeLines="50" w:line="360" w:lineRule="auto"/>
              <w:ind w:left="0" w:leftChars="0" w:firstLine="0" w:firstLineChars="0"/>
              <w:jc w:val="center"/>
              <w:rPr>
                <w:rFonts w:hint="default" w:ascii="Times New Roman" w:hAnsi="Times New Roman" w:eastAsia="新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新宋体" w:cs="Times New Roman"/>
                <w:b/>
                <w:bCs/>
                <w:color w:val="000000" w:themeColor="text1"/>
                <w:sz w:val="21"/>
                <w:szCs w:val="21"/>
                <w:highlight w:val="none"/>
                <w:lang w:val="en-US" w:eastAsia="zh-CN"/>
                <w14:textFill>
                  <w14:solidFill>
                    <w14:schemeClr w14:val="tx1"/>
                  </w14:solidFill>
                </w14:textFill>
              </w:rPr>
              <w:t>图2-</w:t>
            </w:r>
            <w:r>
              <w:rPr>
                <w:rFonts w:hint="eastAsia" w:ascii="Times New Roman" w:hAnsi="Times New Roman" w:eastAsia="新宋体" w:cs="Times New Roman"/>
                <w:b/>
                <w:bCs/>
                <w:color w:val="000000" w:themeColor="text1"/>
                <w:sz w:val="21"/>
                <w:szCs w:val="21"/>
                <w:highlight w:val="none"/>
                <w:lang w:val="en-US" w:eastAsia="zh-CN"/>
                <w14:textFill>
                  <w14:solidFill>
                    <w14:schemeClr w14:val="tx1"/>
                  </w14:solidFill>
                </w14:textFill>
              </w:rPr>
              <w:t>3</w:t>
            </w:r>
            <w:r>
              <w:rPr>
                <w:rFonts w:hint="default" w:ascii="Times New Roman" w:hAnsi="Times New Roman" w:eastAsia="新宋体" w:cs="Times New Roman"/>
                <w:b/>
                <w:bCs/>
                <w:color w:val="000000" w:themeColor="text1"/>
                <w:sz w:val="21"/>
                <w:szCs w:val="21"/>
                <w:highlight w:val="none"/>
                <w:lang w:val="en-US" w:eastAsia="zh-CN"/>
                <w14:textFill>
                  <w14:solidFill>
                    <w14:schemeClr w14:val="tx1"/>
                  </w14:solidFill>
                </w14:textFill>
              </w:rPr>
              <w:t>营运期工艺流程图</w:t>
            </w:r>
          </w:p>
          <w:p w14:paraId="4F1A3541">
            <w:pPr>
              <w:pStyle w:val="2"/>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0" w:firstLine="482" w:firstLineChars="200"/>
              <w:textAlignment w:val="auto"/>
              <w:rPr>
                <w:rFonts w:hint="default" w:ascii="Times New Roman" w:hAnsi="Times New Roman" w:eastAsia="新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新宋体" w:cs="Times New Roman"/>
                <w:b/>
                <w:bCs/>
                <w:color w:val="000000" w:themeColor="text1"/>
                <w:sz w:val="24"/>
                <w:szCs w:val="24"/>
                <w:highlight w:val="none"/>
                <w:lang w:val="en-US" w:eastAsia="zh-CN"/>
                <w14:textFill>
                  <w14:solidFill>
                    <w14:schemeClr w14:val="tx1"/>
                  </w14:solidFill>
                </w14:textFill>
              </w:rPr>
              <w:t>工</w:t>
            </w:r>
            <w:r>
              <w:rPr>
                <w:rFonts w:hint="default" w:ascii="Times New Roman" w:hAnsi="Times New Roman" w:eastAsia="新宋体" w:cs="Times New Roman"/>
                <w:b/>
                <w:bCs/>
                <w:color w:val="000000" w:themeColor="text1"/>
                <w:sz w:val="24"/>
                <w:szCs w:val="24"/>
                <w:highlight w:val="none"/>
                <w:lang w:eastAsia="zh-CN"/>
                <w14:textFill>
                  <w14:solidFill>
                    <w14:schemeClr w14:val="tx1"/>
                  </w14:solidFill>
                </w14:textFill>
              </w:rPr>
              <w:t>艺流程简述：</w:t>
            </w:r>
          </w:p>
          <w:p w14:paraId="5A57E90F">
            <w:pPr>
              <w:pStyle w:val="84"/>
              <w:keepNext w:val="0"/>
              <w:keepLines w:val="0"/>
              <w:pageBreakBefore w:val="0"/>
              <w:widowControl/>
              <w:kinsoku/>
              <w:wordWrap/>
              <w:overflowPunct/>
              <w:topLinePunct w:val="0"/>
              <w:autoSpaceDE/>
              <w:autoSpaceDN/>
              <w:bidi w:val="0"/>
              <w:adjustRightInd/>
              <w:snapToGrid/>
              <w:spacing w:line="360" w:lineRule="auto"/>
              <w:ind w:left="0" w:right="0" w:firstLine="477"/>
              <w:jc w:val="both"/>
              <w:textAlignment w:val="auto"/>
              <w:rPr>
                <w:rFonts w:hint="default"/>
                <w:spacing w:val="1"/>
                <w:lang w:val="en-US" w:eastAsia="zh-CN"/>
              </w:rPr>
            </w:pPr>
            <w:r>
              <w:rPr>
                <w:rFonts w:hint="eastAsia"/>
                <w:spacing w:val="1"/>
                <w:lang w:eastAsia="zh-CN"/>
              </w:rPr>
              <w:t>（</w:t>
            </w:r>
            <w:r>
              <w:rPr>
                <w:rFonts w:hint="eastAsia"/>
                <w:spacing w:val="1"/>
                <w:lang w:val="en-US" w:eastAsia="zh-CN"/>
              </w:rPr>
              <w:t>1</w:t>
            </w:r>
            <w:r>
              <w:rPr>
                <w:rFonts w:hint="eastAsia"/>
                <w:spacing w:val="1"/>
                <w:lang w:eastAsia="zh-CN"/>
              </w:rPr>
              <w:t>）</w:t>
            </w:r>
            <w:r>
              <w:rPr>
                <w:rFonts w:hint="eastAsia"/>
                <w:spacing w:val="1"/>
                <w:lang w:val="en-US" w:eastAsia="zh-CN"/>
              </w:rPr>
              <w:t>原料进厂暂存</w:t>
            </w:r>
          </w:p>
          <w:p w14:paraId="596C9727">
            <w:pPr>
              <w:pStyle w:val="84"/>
              <w:keepNext w:val="0"/>
              <w:keepLines w:val="0"/>
              <w:pageBreakBefore w:val="0"/>
              <w:widowControl/>
              <w:kinsoku/>
              <w:wordWrap/>
              <w:overflowPunct/>
              <w:topLinePunct w:val="0"/>
              <w:autoSpaceDE/>
              <w:autoSpaceDN/>
              <w:bidi w:val="0"/>
              <w:adjustRightInd/>
              <w:snapToGrid/>
              <w:spacing w:line="360" w:lineRule="auto"/>
              <w:ind w:left="0" w:right="0" w:firstLine="477"/>
              <w:jc w:val="both"/>
              <w:textAlignment w:val="auto"/>
              <w:rPr>
                <w:spacing w:val="1"/>
              </w:rPr>
            </w:pPr>
            <w:r>
              <w:rPr>
                <w:spacing w:val="1"/>
              </w:rPr>
              <w:t>水泥</w:t>
            </w:r>
            <w:r>
              <w:rPr>
                <w:rFonts w:hint="eastAsia"/>
                <w:spacing w:val="1"/>
                <w:lang w:eastAsia="zh-CN"/>
              </w:rPr>
              <w:t>、</w:t>
            </w:r>
            <w:r>
              <w:rPr>
                <w:rFonts w:hint="eastAsia"/>
                <w:spacing w:val="1"/>
                <w:lang w:val="en-US" w:eastAsia="zh-CN"/>
              </w:rPr>
              <w:t>沙子</w:t>
            </w:r>
            <w:r>
              <w:rPr>
                <w:spacing w:val="1"/>
              </w:rPr>
              <w:t>：水泥为粉料，包装形式为袋装，</w:t>
            </w:r>
            <w:r>
              <w:rPr>
                <w:rFonts w:hint="eastAsia"/>
                <w:spacing w:val="1"/>
                <w:lang w:val="en-US" w:eastAsia="zh-CN"/>
              </w:rPr>
              <w:t>沙子由厢式货车直接装卸，</w:t>
            </w:r>
            <w:r>
              <w:rPr>
                <w:spacing w:val="1"/>
              </w:rPr>
              <w:t>在全封闭式原料仓库内储存。</w:t>
            </w:r>
          </w:p>
          <w:p w14:paraId="184A95CD">
            <w:pPr>
              <w:pStyle w:val="84"/>
              <w:keepNext w:val="0"/>
              <w:keepLines w:val="0"/>
              <w:pageBreakBefore w:val="0"/>
              <w:widowControl/>
              <w:kinsoku/>
              <w:wordWrap/>
              <w:overflowPunct/>
              <w:topLinePunct w:val="0"/>
              <w:autoSpaceDE/>
              <w:autoSpaceDN/>
              <w:bidi w:val="0"/>
              <w:adjustRightInd/>
              <w:snapToGrid/>
              <w:spacing w:line="360" w:lineRule="auto"/>
              <w:ind w:left="0" w:right="0" w:firstLine="477"/>
              <w:jc w:val="both"/>
              <w:textAlignment w:val="auto"/>
              <w:rPr>
                <w:spacing w:val="1"/>
              </w:rPr>
            </w:pPr>
            <w:r>
              <w:rPr>
                <w:spacing w:val="1"/>
              </w:rPr>
              <w:t>石料堆场：项目设置</w:t>
            </w:r>
            <w:r>
              <w:rPr>
                <w:rFonts w:hint="eastAsia"/>
                <w:spacing w:val="1"/>
                <w:lang w:val="en-US" w:eastAsia="zh-CN"/>
              </w:rPr>
              <w:t>露天</w:t>
            </w:r>
            <w:r>
              <w:rPr>
                <w:spacing w:val="1"/>
              </w:rPr>
              <w:t>石料堆场，使用汽车运送至厂区石料堆场。</w:t>
            </w:r>
          </w:p>
          <w:p w14:paraId="7D50E101">
            <w:pPr>
              <w:pStyle w:val="84"/>
              <w:keepNext w:val="0"/>
              <w:keepLines w:val="0"/>
              <w:pageBreakBefore w:val="0"/>
              <w:widowControl/>
              <w:kinsoku/>
              <w:wordWrap/>
              <w:overflowPunct/>
              <w:topLinePunct w:val="0"/>
              <w:autoSpaceDE/>
              <w:autoSpaceDN/>
              <w:bidi w:val="0"/>
              <w:adjustRightInd/>
              <w:snapToGrid/>
              <w:spacing w:line="360" w:lineRule="auto"/>
              <w:ind w:left="0" w:right="0" w:firstLine="477"/>
              <w:jc w:val="both"/>
              <w:textAlignment w:val="auto"/>
              <w:rPr>
                <w:spacing w:val="1"/>
              </w:rPr>
            </w:pPr>
            <w:r>
              <w:rPr>
                <w:spacing w:val="1"/>
              </w:rPr>
              <w:t>（2）搅拌混合</w:t>
            </w:r>
          </w:p>
          <w:p w14:paraId="0D75B64E">
            <w:pPr>
              <w:pStyle w:val="84"/>
              <w:keepNext w:val="0"/>
              <w:keepLines w:val="0"/>
              <w:pageBreakBefore w:val="0"/>
              <w:widowControl/>
              <w:kinsoku/>
              <w:wordWrap/>
              <w:overflowPunct/>
              <w:topLinePunct w:val="0"/>
              <w:autoSpaceDE/>
              <w:autoSpaceDN/>
              <w:bidi w:val="0"/>
              <w:adjustRightInd/>
              <w:snapToGrid/>
              <w:spacing w:line="360" w:lineRule="auto"/>
              <w:ind w:left="0" w:right="0" w:firstLine="477"/>
              <w:jc w:val="both"/>
              <w:textAlignment w:val="auto"/>
              <w:rPr>
                <w:rFonts w:hint="eastAsia" w:eastAsia="宋体"/>
                <w:spacing w:val="-1"/>
                <w:lang w:eastAsia="zh-CN"/>
              </w:rPr>
            </w:pPr>
            <w:r>
              <w:rPr>
                <w:spacing w:val="1"/>
              </w:rPr>
              <w:t>砂子、石子经料斗提升至自动配料计量系统内，水泥采用人工拆袋后投入自动配料计量系统内，同时加入水，经计量系统计量后，进入搅</w:t>
            </w:r>
            <w:r>
              <w:rPr>
                <w:spacing w:val="-1"/>
              </w:rPr>
              <w:t>拌机内搅拌，经搅拌后的原辅料进入主机料仓内</w:t>
            </w:r>
            <w:r>
              <w:rPr>
                <w:rFonts w:hint="eastAsia"/>
                <w:spacing w:val="-1"/>
                <w:lang w:eastAsia="zh-CN"/>
              </w:rPr>
              <w:t>。</w:t>
            </w:r>
          </w:p>
          <w:p w14:paraId="2735B711">
            <w:pPr>
              <w:pStyle w:val="84"/>
              <w:keepNext w:val="0"/>
              <w:keepLines w:val="0"/>
              <w:pageBreakBefore w:val="0"/>
              <w:widowControl/>
              <w:kinsoku/>
              <w:wordWrap/>
              <w:overflowPunct/>
              <w:topLinePunct w:val="0"/>
              <w:autoSpaceDE/>
              <w:autoSpaceDN/>
              <w:bidi w:val="0"/>
              <w:adjustRightInd/>
              <w:snapToGrid/>
              <w:spacing w:line="360" w:lineRule="auto"/>
              <w:ind w:left="0" w:right="0" w:firstLine="477"/>
              <w:jc w:val="both"/>
              <w:textAlignment w:val="auto"/>
              <w:rPr>
                <w:spacing w:val="1"/>
              </w:rPr>
            </w:pPr>
            <w:r>
              <w:rPr>
                <w:spacing w:val="1"/>
              </w:rPr>
              <w:t>（3）模具成型</w:t>
            </w:r>
          </w:p>
          <w:p w14:paraId="29BC749E">
            <w:pPr>
              <w:pStyle w:val="84"/>
              <w:keepNext w:val="0"/>
              <w:keepLines w:val="0"/>
              <w:pageBreakBefore w:val="0"/>
              <w:widowControl/>
              <w:kinsoku/>
              <w:wordWrap/>
              <w:overflowPunct/>
              <w:topLinePunct w:val="0"/>
              <w:autoSpaceDE/>
              <w:autoSpaceDN/>
              <w:bidi w:val="0"/>
              <w:adjustRightInd/>
              <w:snapToGrid/>
              <w:spacing w:line="360" w:lineRule="auto"/>
              <w:ind w:left="0" w:right="0" w:firstLine="477"/>
              <w:jc w:val="both"/>
              <w:textAlignment w:val="auto"/>
              <w:rPr>
                <w:spacing w:val="1"/>
              </w:rPr>
            </w:pPr>
            <w:r>
              <w:rPr>
                <w:spacing w:val="1"/>
              </w:rPr>
              <w:t>进入料仓后的湿料经主机料仓，同时加入钢筋，进入砌块成型机，通过挤压模具内的湿料成型。</w:t>
            </w:r>
          </w:p>
          <w:p w14:paraId="72413B54">
            <w:pPr>
              <w:pStyle w:val="84"/>
              <w:keepNext w:val="0"/>
              <w:keepLines w:val="0"/>
              <w:pageBreakBefore w:val="0"/>
              <w:widowControl/>
              <w:kinsoku/>
              <w:wordWrap/>
              <w:overflowPunct/>
              <w:topLinePunct w:val="0"/>
              <w:autoSpaceDE/>
              <w:autoSpaceDN/>
              <w:bidi w:val="0"/>
              <w:adjustRightInd/>
              <w:snapToGrid/>
              <w:spacing w:line="360" w:lineRule="auto"/>
              <w:ind w:left="0" w:right="0" w:firstLine="477"/>
              <w:jc w:val="both"/>
              <w:textAlignment w:val="auto"/>
              <w:rPr>
                <w:spacing w:val="1"/>
              </w:rPr>
            </w:pPr>
            <w:r>
              <w:rPr>
                <w:spacing w:val="1"/>
              </w:rPr>
              <w:t>（4）脱模</w:t>
            </w:r>
          </w:p>
          <w:p w14:paraId="7F22AA44">
            <w:pPr>
              <w:pStyle w:val="84"/>
              <w:keepNext w:val="0"/>
              <w:keepLines w:val="0"/>
              <w:pageBreakBefore w:val="0"/>
              <w:widowControl/>
              <w:kinsoku/>
              <w:wordWrap/>
              <w:overflowPunct/>
              <w:topLinePunct w:val="0"/>
              <w:autoSpaceDE/>
              <w:autoSpaceDN/>
              <w:bidi w:val="0"/>
              <w:adjustRightInd/>
              <w:snapToGrid/>
              <w:spacing w:line="360" w:lineRule="auto"/>
              <w:ind w:left="0" w:right="0"/>
              <w:jc w:val="both"/>
              <w:textAlignment w:val="auto"/>
            </w:pPr>
            <w:r>
              <w:rPr>
                <w:spacing w:val="-1"/>
              </w:rPr>
              <w:t>模具内使用棉籽油作为脱模剂，采用人工脱模。</w:t>
            </w:r>
          </w:p>
          <w:p w14:paraId="1CBFACB3">
            <w:pPr>
              <w:pStyle w:val="84"/>
              <w:keepNext w:val="0"/>
              <w:keepLines w:val="0"/>
              <w:pageBreakBefore w:val="0"/>
              <w:widowControl/>
              <w:kinsoku/>
              <w:wordWrap/>
              <w:overflowPunct/>
              <w:topLinePunct w:val="0"/>
              <w:autoSpaceDE/>
              <w:autoSpaceDN/>
              <w:bidi w:val="0"/>
              <w:adjustRightInd/>
              <w:snapToGrid/>
              <w:spacing w:line="360" w:lineRule="auto"/>
              <w:ind w:left="0" w:right="0"/>
              <w:jc w:val="both"/>
              <w:textAlignment w:val="auto"/>
            </w:pPr>
            <w:r>
              <w:rPr>
                <w:spacing w:val="-3"/>
              </w:rPr>
              <w:t>（</w:t>
            </w:r>
            <w:r>
              <w:rPr>
                <w:rFonts w:ascii="Times New Roman" w:hAnsi="Times New Roman" w:eastAsia="Times New Roman" w:cs="Times New Roman"/>
                <w:spacing w:val="-3"/>
              </w:rPr>
              <w:t>5</w:t>
            </w:r>
            <w:r>
              <w:rPr>
                <w:spacing w:val="-3"/>
              </w:rPr>
              <w:t>）</w:t>
            </w:r>
            <w:r>
              <w:rPr>
                <w:rFonts w:hint="eastAsia"/>
                <w:spacing w:val="-3"/>
                <w:lang w:val="en-US" w:eastAsia="zh-CN"/>
              </w:rPr>
              <w:t>自然</w:t>
            </w:r>
            <w:r>
              <w:rPr>
                <w:spacing w:val="-3"/>
              </w:rPr>
              <w:t>养护</w:t>
            </w:r>
          </w:p>
          <w:p w14:paraId="4F7CC2F7">
            <w:pPr>
              <w:pStyle w:val="84"/>
              <w:keepNext w:val="0"/>
              <w:keepLines w:val="0"/>
              <w:pageBreakBefore w:val="0"/>
              <w:widowControl/>
              <w:kinsoku/>
              <w:wordWrap/>
              <w:overflowPunct/>
              <w:topLinePunct w:val="0"/>
              <w:autoSpaceDE/>
              <w:autoSpaceDN/>
              <w:bidi w:val="0"/>
              <w:adjustRightInd/>
              <w:snapToGrid/>
              <w:spacing w:line="360" w:lineRule="auto"/>
              <w:ind w:left="0" w:right="0" w:firstLine="486"/>
              <w:jc w:val="both"/>
              <w:textAlignment w:val="auto"/>
            </w:pPr>
            <w:r>
              <w:rPr>
                <w:rFonts w:hint="eastAsia"/>
                <w:spacing w:val="-5"/>
                <w:lang w:val="en-US" w:eastAsia="zh-CN"/>
              </w:rPr>
              <w:t>空心板、水泥柱</w:t>
            </w:r>
            <w:r>
              <w:rPr>
                <w:spacing w:val="-5"/>
              </w:rPr>
              <w:t>产品经运输至养护池内，</w:t>
            </w:r>
            <w:r>
              <w:rPr>
                <w:rFonts w:hint="eastAsia"/>
                <w:spacing w:val="-5"/>
                <w:lang w:val="en-US" w:eastAsia="zh-CN"/>
              </w:rPr>
              <w:t>彩砖、空心砖人工搬运至养护区，自然</w:t>
            </w:r>
            <w:r>
              <w:rPr>
                <w:spacing w:val="-5"/>
              </w:rPr>
              <w:t>环境下</w:t>
            </w:r>
            <w:r>
              <w:rPr>
                <w:rFonts w:hint="eastAsia"/>
                <w:spacing w:val="-5"/>
                <w:lang w:val="en-US" w:eastAsia="zh-CN"/>
              </w:rPr>
              <w:t>洒水</w:t>
            </w:r>
            <w:r>
              <w:rPr>
                <w:spacing w:val="-5"/>
              </w:rPr>
              <w:t>养护</w:t>
            </w:r>
            <w:r>
              <w:rPr>
                <w:rFonts w:hint="eastAsia" w:ascii="Times New Roman" w:hAnsi="Times New Roman" w:eastAsia="宋体" w:cs="Times New Roman"/>
                <w:spacing w:val="-5"/>
                <w:lang w:val="en-US" w:eastAsia="zh-CN"/>
              </w:rPr>
              <w:t>4-8d（天气较冷约10-15d）</w:t>
            </w:r>
            <w:r>
              <w:rPr>
                <w:spacing w:val="-5"/>
              </w:rPr>
              <w:t>，</w:t>
            </w:r>
            <w:r>
              <w:rPr>
                <w:spacing w:val="1"/>
              </w:rPr>
              <w:t>以促进混凝土的水化和凝固，使其达到脱模程度；成型后的胚未</w:t>
            </w:r>
            <w:r>
              <w:rPr>
                <w:spacing w:val="2"/>
              </w:rPr>
              <w:t>达到相关标准，胚需要</w:t>
            </w:r>
            <w:r>
              <w:rPr>
                <w:rFonts w:hint="eastAsia"/>
                <w:spacing w:val="2"/>
                <w:lang w:val="en-US" w:eastAsia="zh-CN"/>
              </w:rPr>
              <w:t>继续</w:t>
            </w:r>
            <w:r>
              <w:rPr>
                <w:spacing w:val="2"/>
              </w:rPr>
              <w:t>自然晾干才可达到</w:t>
            </w:r>
            <w:r>
              <w:rPr>
                <w:spacing w:val="1"/>
              </w:rPr>
              <w:t>一定强度</w:t>
            </w:r>
            <w:r>
              <w:rPr>
                <w:spacing w:val="-2"/>
              </w:rPr>
              <w:t>。</w:t>
            </w:r>
          </w:p>
          <w:p w14:paraId="23F4B660">
            <w:pPr>
              <w:pStyle w:val="84"/>
              <w:keepNext w:val="0"/>
              <w:keepLines w:val="0"/>
              <w:pageBreakBefore w:val="0"/>
              <w:widowControl/>
              <w:kinsoku/>
              <w:wordWrap/>
              <w:overflowPunct/>
              <w:topLinePunct w:val="0"/>
              <w:autoSpaceDE/>
              <w:autoSpaceDN/>
              <w:bidi w:val="0"/>
              <w:adjustRightInd/>
              <w:snapToGrid/>
              <w:spacing w:line="360" w:lineRule="auto"/>
              <w:ind w:left="0" w:right="0"/>
              <w:jc w:val="both"/>
              <w:textAlignment w:val="auto"/>
            </w:pPr>
            <w:r>
              <w:rPr>
                <w:spacing w:val="-3"/>
              </w:rPr>
              <w:t>（</w:t>
            </w:r>
            <w:r>
              <w:rPr>
                <w:rFonts w:hint="eastAsia" w:ascii="Times New Roman" w:hAnsi="Times New Roman" w:eastAsia="宋体" w:cs="Times New Roman"/>
                <w:spacing w:val="-3"/>
                <w:lang w:val="en-US" w:eastAsia="zh-CN"/>
              </w:rPr>
              <w:t>6</w:t>
            </w:r>
            <w:r>
              <w:rPr>
                <w:spacing w:val="-3"/>
              </w:rPr>
              <w:t>）成品暂存</w:t>
            </w:r>
          </w:p>
          <w:p w14:paraId="1148EE5F">
            <w:pPr>
              <w:keepNext w:val="0"/>
              <w:keepLines w:val="0"/>
              <w:pageBreakBefore w:val="0"/>
              <w:widowControl/>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新宋体" w:cs="Times New Roman"/>
                <w:color w:val="000000" w:themeColor="text1"/>
                <w:sz w:val="24"/>
                <w:szCs w:val="24"/>
                <w:highlight w:val="none"/>
                <w:lang w:val="en-US" w:eastAsia="zh-CN" w:bidi="ar"/>
                <w14:textFill>
                  <w14:solidFill>
                    <w14:schemeClr w14:val="tx1"/>
                  </w14:solidFill>
                </w14:textFill>
              </w:rPr>
            </w:pPr>
            <w:r>
              <w:rPr>
                <w:rFonts w:hint="eastAsia"/>
                <w:spacing w:val="-1"/>
                <w:lang w:val="en-US" w:eastAsia="zh-CN"/>
              </w:rPr>
              <w:t>养护完成即为砼类预制成品，由运输车辆拉运至场外外售</w:t>
            </w:r>
            <w:r>
              <w:rPr>
                <w:spacing w:val="-1"/>
              </w:rPr>
              <w:t>。</w:t>
            </w:r>
          </w:p>
          <w:p w14:paraId="2D51C4ED">
            <w:pPr>
              <w:pStyle w:val="65"/>
              <w:keepNext w:val="0"/>
              <w:keepLines w:val="0"/>
              <w:pageBreakBefore w:val="0"/>
              <w:widowControl/>
              <w:kinsoku/>
              <w:wordWrap/>
              <w:overflowPunct/>
              <w:topLinePunct w:val="0"/>
              <w:autoSpaceDE/>
              <w:autoSpaceDN/>
              <w:bidi w:val="0"/>
              <w:adjustRightInd/>
              <w:snapToGrid/>
              <w:spacing w:beforeLines="0" w:afterLines="0" w:line="360" w:lineRule="auto"/>
              <w:ind w:firstLine="482" w:firstLineChars="200"/>
              <w:jc w:val="left"/>
              <w:textAlignment w:val="auto"/>
              <w:rPr>
                <w:rFonts w:hint="default" w:ascii="Times New Roman" w:hAnsi="Times New Roman" w:eastAsia="新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新宋体" w:cs="Times New Roman"/>
                <w:b/>
                <w:bCs/>
                <w:color w:val="000000" w:themeColor="text1"/>
                <w:kern w:val="2"/>
                <w:sz w:val="24"/>
                <w:szCs w:val="24"/>
                <w:highlight w:val="none"/>
                <w:lang w:val="en-US" w:eastAsia="zh-CN" w:bidi="ar-SA"/>
                <w14:textFill>
                  <w14:solidFill>
                    <w14:schemeClr w14:val="tx1"/>
                  </w14:solidFill>
                </w14:textFill>
              </w:rPr>
              <w:t>主要污染工序及产污节点：</w:t>
            </w:r>
          </w:p>
          <w:p w14:paraId="20707868">
            <w:pPr>
              <w:keepNext w:val="0"/>
              <w:keepLines w:val="0"/>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新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新宋体" w:cs="Times New Roman"/>
                <w:b/>
                <w:bCs/>
                <w:color w:val="000000" w:themeColor="text1"/>
                <w:kern w:val="2"/>
                <w:sz w:val="21"/>
                <w:szCs w:val="21"/>
                <w:highlight w:val="none"/>
                <w:lang w:val="en-US" w:eastAsia="zh-CN" w:bidi="ar-SA"/>
                <w14:textFill>
                  <w14:solidFill>
                    <w14:schemeClr w14:val="tx1"/>
                  </w14:solidFill>
                </w14:textFill>
              </w:rPr>
              <w:t>表2</w:t>
            </w:r>
            <w:r>
              <w:rPr>
                <w:rFonts w:hint="eastAsia" w:ascii="Times New Roman" w:hAnsi="Times New Roman" w:eastAsia="新宋体" w:cs="Times New Roman"/>
                <w:b/>
                <w:bCs/>
                <w:color w:val="000000" w:themeColor="text1"/>
                <w:kern w:val="2"/>
                <w:sz w:val="21"/>
                <w:szCs w:val="21"/>
                <w:highlight w:val="none"/>
                <w:lang w:val="en-US" w:eastAsia="zh-CN" w:bidi="ar-SA"/>
                <w14:textFill>
                  <w14:solidFill>
                    <w14:schemeClr w14:val="tx1"/>
                  </w14:solidFill>
                </w14:textFill>
              </w:rPr>
              <w:t>-6</w:t>
            </w:r>
            <w:r>
              <w:rPr>
                <w:rFonts w:hint="default" w:ascii="Times New Roman" w:hAnsi="Times New Roman" w:eastAsia="新宋体" w:cs="Times New Roman"/>
                <w:b/>
                <w:bCs/>
                <w:color w:val="000000" w:themeColor="text1"/>
                <w:kern w:val="2"/>
                <w:sz w:val="21"/>
                <w:szCs w:val="21"/>
                <w:highlight w:val="none"/>
                <w:lang w:val="en-US" w:eastAsia="zh-CN" w:bidi="ar-SA"/>
                <w14:textFill>
                  <w14:solidFill>
                    <w14:schemeClr w14:val="tx1"/>
                  </w14:solidFill>
                </w14:textFill>
              </w:rPr>
              <w:t>主要污染工序及污染因子一览表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46"/>
              <w:gridCol w:w="1062"/>
              <w:gridCol w:w="2461"/>
              <w:gridCol w:w="2982"/>
            </w:tblGrid>
            <w:tr w14:paraId="4B5E16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6" w:type="dxa"/>
                  <w:tcBorders>
                    <w:tl2br w:val="nil"/>
                    <w:tr2bl w:val="nil"/>
                  </w:tcBorders>
                  <w:noWrap w:val="0"/>
                  <w:vAlign w:val="center"/>
                </w:tcPr>
                <w:p w14:paraId="02D642E1">
                  <w:pPr>
                    <w:pStyle w:val="2"/>
                    <w:keepNext w:val="0"/>
                    <w:keepLines w:val="0"/>
                    <w:pageBreakBefore w:val="0"/>
                    <w:widowControl/>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t>时段</w:t>
                  </w:r>
                </w:p>
              </w:tc>
              <w:tc>
                <w:tcPr>
                  <w:tcW w:w="1184" w:type="dxa"/>
                  <w:tcBorders>
                    <w:tl2br w:val="nil"/>
                    <w:tr2bl w:val="nil"/>
                  </w:tcBorders>
                  <w:noWrap w:val="0"/>
                  <w:vAlign w:val="center"/>
                </w:tcPr>
                <w:p w14:paraId="6D82EAEE">
                  <w:pPr>
                    <w:pStyle w:val="2"/>
                    <w:keepNext w:val="0"/>
                    <w:keepLines w:val="0"/>
                    <w:pageBreakBefore w:val="0"/>
                    <w:widowControl/>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t>污染因素</w:t>
                  </w:r>
                </w:p>
              </w:tc>
              <w:tc>
                <w:tcPr>
                  <w:tcW w:w="2813" w:type="dxa"/>
                  <w:tcBorders>
                    <w:tl2br w:val="nil"/>
                    <w:tr2bl w:val="nil"/>
                  </w:tcBorders>
                  <w:noWrap w:val="0"/>
                  <w:vAlign w:val="center"/>
                </w:tcPr>
                <w:p w14:paraId="53FC061D">
                  <w:pPr>
                    <w:pStyle w:val="2"/>
                    <w:keepNext w:val="0"/>
                    <w:keepLines w:val="0"/>
                    <w:pageBreakBefore w:val="0"/>
                    <w:widowControl/>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t>污染工序</w:t>
                  </w:r>
                </w:p>
              </w:tc>
              <w:tc>
                <w:tcPr>
                  <w:tcW w:w="3357" w:type="dxa"/>
                  <w:tcBorders>
                    <w:tl2br w:val="nil"/>
                    <w:tr2bl w:val="nil"/>
                  </w:tcBorders>
                  <w:noWrap w:val="0"/>
                  <w:vAlign w:val="center"/>
                </w:tcPr>
                <w:p w14:paraId="29E6280F">
                  <w:pPr>
                    <w:pStyle w:val="2"/>
                    <w:keepNext w:val="0"/>
                    <w:keepLines w:val="0"/>
                    <w:pageBreakBefore w:val="0"/>
                    <w:widowControl/>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t>污染因子</w:t>
                  </w:r>
                </w:p>
              </w:tc>
            </w:tr>
            <w:tr w14:paraId="56DA42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46" w:type="dxa"/>
                  <w:vMerge w:val="restart"/>
                  <w:tcBorders>
                    <w:tl2br w:val="nil"/>
                    <w:tr2bl w:val="nil"/>
                  </w:tcBorders>
                  <w:noWrap w:val="0"/>
                  <w:vAlign w:val="center"/>
                </w:tcPr>
                <w:p w14:paraId="298021A8">
                  <w:pPr>
                    <w:pStyle w:val="2"/>
                    <w:keepNext w:val="0"/>
                    <w:keepLines w:val="0"/>
                    <w:pageBreakBefore w:val="0"/>
                    <w:widowControl/>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t>营运期</w:t>
                  </w:r>
                </w:p>
              </w:tc>
              <w:tc>
                <w:tcPr>
                  <w:tcW w:w="1184" w:type="dxa"/>
                  <w:vMerge w:val="restart"/>
                  <w:tcBorders>
                    <w:tl2br w:val="nil"/>
                    <w:tr2bl w:val="nil"/>
                  </w:tcBorders>
                  <w:noWrap w:val="0"/>
                  <w:vAlign w:val="center"/>
                </w:tcPr>
                <w:p w14:paraId="1CC5B1BA">
                  <w:pPr>
                    <w:pStyle w:val="2"/>
                    <w:keepNext w:val="0"/>
                    <w:keepLines w:val="0"/>
                    <w:pageBreakBefore w:val="0"/>
                    <w:widowControl/>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t>废气</w:t>
                  </w:r>
                </w:p>
              </w:tc>
              <w:tc>
                <w:tcPr>
                  <w:tcW w:w="2813" w:type="dxa"/>
                  <w:tcBorders>
                    <w:tl2br w:val="nil"/>
                    <w:tr2bl w:val="nil"/>
                  </w:tcBorders>
                  <w:noWrap w:val="0"/>
                  <w:vAlign w:val="center"/>
                </w:tcPr>
                <w:p w14:paraId="06E6C557">
                  <w:pPr>
                    <w:pStyle w:val="2"/>
                    <w:keepNext w:val="0"/>
                    <w:keepLines w:val="0"/>
                    <w:pageBreakBefore w:val="0"/>
                    <w:widowControl/>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t>原料暂存、投料搅拌、运输</w:t>
                  </w:r>
                </w:p>
              </w:tc>
              <w:tc>
                <w:tcPr>
                  <w:tcW w:w="3357" w:type="dxa"/>
                  <w:tcBorders>
                    <w:tl2br w:val="nil"/>
                    <w:tr2bl w:val="nil"/>
                  </w:tcBorders>
                  <w:noWrap w:val="0"/>
                  <w:vAlign w:val="center"/>
                </w:tcPr>
                <w:p w14:paraId="4EC51F65">
                  <w:pPr>
                    <w:pStyle w:val="2"/>
                    <w:keepNext w:val="0"/>
                    <w:keepLines w:val="0"/>
                    <w:pageBreakBefore w:val="0"/>
                    <w:widowControl/>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t>颗粒物</w:t>
                  </w:r>
                </w:p>
              </w:tc>
            </w:tr>
            <w:tr w14:paraId="55CD42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46" w:type="dxa"/>
                  <w:vMerge w:val="continue"/>
                  <w:tcBorders>
                    <w:tl2br w:val="nil"/>
                    <w:tr2bl w:val="nil"/>
                  </w:tcBorders>
                  <w:noWrap w:val="0"/>
                  <w:vAlign w:val="center"/>
                </w:tcPr>
                <w:p w14:paraId="4AFA94E8">
                  <w:pPr>
                    <w:pStyle w:val="2"/>
                    <w:keepNext w:val="0"/>
                    <w:keepLines w:val="0"/>
                    <w:pageBreakBefore w:val="0"/>
                    <w:widowControl/>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184" w:type="dxa"/>
                  <w:vMerge w:val="continue"/>
                  <w:tcBorders>
                    <w:tl2br w:val="nil"/>
                    <w:tr2bl w:val="nil"/>
                  </w:tcBorders>
                  <w:noWrap w:val="0"/>
                  <w:vAlign w:val="center"/>
                </w:tcPr>
                <w:p w14:paraId="13310F19">
                  <w:pPr>
                    <w:pStyle w:val="2"/>
                    <w:keepNext w:val="0"/>
                    <w:keepLines w:val="0"/>
                    <w:pageBreakBefore w:val="0"/>
                    <w:widowControl/>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2813" w:type="dxa"/>
                  <w:tcBorders>
                    <w:tl2br w:val="nil"/>
                    <w:tr2bl w:val="nil"/>
                  </w:tcBorders>
                  <w:noWrap w:val="0"/>
                  <w:vAlign w:val="center"/>
                </w:tcPr>
                <w:p w14:paraId="1C4ED476">
                  <w:pPr>
                    <w:pStyle w:val="2"/>
                    <w:keepNext w:val="0"/>
                    <w:keepLines w:val="0"/>
                    <w:pageBreakBefore w:val="0"/>
                    <w:widowControl/>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t>运输</w:t>
                  </w:r>
                </w:p>
              </w:tc>
              <w:tc>
                <w:tcPr>
                  <w:tcW w:w="3357" w:type="dxa"/>
                  <w:tcBorders>
                    <w:tl2br w:val="nil"/>
                    <w:tr2bl w:val="nil"/>
                  </w:tcBorders>
                  <w:noWrap w:val="0"/>
                  <w:vAlign w:val="center"/>
                </w:tcPr>
                <w:p w14:paraId="76C4E746">
                  <w:pPr>
                    <w:pStyle w:val="2"/>
                    <w:keepNext w:val="0"/>
                    <w:keepLines w:val="0"/>
                    <w:pageBreakBefore w:val="0"/>
                    <w:widowControl/>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t>汽车尾气（NO</w:t>
                  </w:r>
                  <w:r>
                    <w:rPr>
                      <w:rFonts w:hint="default" w:ascii="Times New Roman" w:hAnsi="Times New Roman" w:eastAsia="新宋体" w:cs="Times New Roman"/>
                      <w:b w:val="0"/>
                      <w:bCs w:val="0"/>
                      <w:color w:val="000000" w:themeColor="text1"/>
                      <w:sz w:val="21"/>
                      <w:szCs w:val="21"/>
                      <w:highlight w:val="none"/>
                      <w:vertAlign w:val="subscript"/>
                      <w:lang w:val="en-US" w:eastAsia="zh-CN"/>
                      <w14:textFill>
                        <w14:solidFill>
                          <w14:schemeClr w14:val="tx1"/>
                        </w14:solidFill>
                      </w14:textFill>
                    </w:rPr>
                    <w:t>X</w:t>
                  </w:r>
                  <w:r>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t>、CO、碳氢化合物）</w:t>
                  </w:r>
                </w:p>
              </w:tc>
            </w:tr>
            <w:tr w14:paraId="58F9BB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046" w:type="dxa"/>
                  <w:vMerge w:val="continue"/>
                  <w:tcBorders>
                    <w:tl2br w:val="nil"/>
                    <w:tr2bl w:val="nil"/>
                  </w:tcBorders>
                  <w:noWrap w:val="0"/>
                  <w:vAlign w:val="center"/>
                </w:tcPr>
                <w:p w14:paraId="066D5EFF">
                  <w:pPr>
                    <w:pStyle w:val="2"/>
                    <w:keepNext w:val="0"/>
                    <w:keepLines w:val="0"/>
                    <w:pageBreakBefore w:val="0"/>
                    <w:widowControl/>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184" w:type="dxa"/>
                  <w:tcBorders>
                    <w:tl2br w:val="nil"/>
                    <w:tr2bl w:val="nil"/>
                  </w:tcBorders>
                  <w:noWrap w:val="0"/>
                  <w:vAlign w:val="center"/>
                </w:tcPr>
                <w:p w14:paraId="06511B84">
                  <w:pPr>
                    <w:pStyle w:val="2"/>
                    <w:keepNext w:val="0"/>
                    <w:keepLines w:val="0"/>
                    <w:pageBreakBefore w:val="0"/>
                    <w:widowControl/>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t>废水</w:t>
                  </w:r>
                </w:p>
              </w:tc>
              <w:tc>
                <w:tcPr>
                  <w:tcW w:w="2813" w:type="dxa"/>
                  <w:tcBorders>
                    <w:tl2br w:val="nil"/>
                    <w:tr2bl w:val="nil"/>
                  </w:tcBorders>
                  <w:noWrap w:val="0"/>
                  <w:vAlign w:val="center"/>
                </w:tcPr>
                <w:p w14:paraId="14341119">
                  <w:pPr>
                    <w:pStyle w:val="2"/>
                    <w:keepNext w:val="0"/>
                    <w:keepLines w:val="0"/>
                    <w:pageBreakBefore w:val="0"/>
                    <w:widowControl/>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t>洗车、养护沉淀池</w:t>
                  </w:r>
                </w:p>
              </w:tc>
              <w:tc>
                <w:tcPr>
                  <w:tcW w:w="3357" w:type="dxa"/>
                  <w:tcBorders>
                    <w:tl2br w:val="nil"/>
                    <w:tr2bl w:val="nil"/>
                  </w:tcBorders>
                  <w:noWrap w:val="0"/>
                  <w:vAlign w:val="center"/>
                </w:tcPr>
                <w:p w14:paraId="5DC645FE">
                  <w:pPr>
                    <w:pStyle w:val="2"/>
                    <w:keepNext w:val="0"/>
                    <w:keepLines w:val="0"/>
                    <w:pageBreakBefore w:val="0"/>
                    <w:widowControl/>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t>SS</w:t>
                  </w:r>
                </w:p>
              </w:tc>
            </w:tr>
            <w:tr w14:paraId="3F1B5D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046" w:type="dxa"/>
                  <w:vMerge w:val="continue"/>
                  <w:tcBorders>
                    <w:tl2br w:val="nil"/>
                    <w:tr2bl w:val="nil"/>
                  </w:tcBorders>
                  <w:noWrap w:val="0"/>
                  <w:vAlign w:val="center"/>
                </w:tcPr>
                <w:p w14:paraId="787367FE">
                  <w:pPr>
                    <w:pStyle w:val="2"/>
                    <w:keepNext w:val="0"/>
                    <w:keepLines w:val="0"/>
                    <w:pageBreakBefore w:val="0"/>
                    <w:widowControl/>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184" w:type="dxa"/>
                  <w:tcBorders>
                    <w:tl2br w:val="nil"/>
                    <w:tr2bl w:val="nil"/>
                  </w:tcBorders>
                  <w:noWrap w:val="0"/>
                  <w:vAlign w:val="center"/>
                </w:tcPr>
                <w:p w14:paraId="0741B9BD">
                  <w:pPr>
                    <w:pStyle w:val="2"/>
                    <w:keepNext w:val="0"/>
                    <w:keepLines w:val="0"/>
                    <w:pageBreakBefore w:val="0"/>
                    <w:widowControl/>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t>噪声</w:t>
                  </w:r>
                </w:p>
              </w:tc>
              <w:tc>
                <w:tcPr>
                  <w:tcW w:w="2813" w:type="dxa"/>
                  <w:tcBorders>
                    <w:tl2br w:val="nil"/>
                    <w:tr2bl w:val="nil"/>
                  </w:tcBorders>
                  <w:noWrap w:val="0"/>
                  <w:vAlign w:val="center"/>
                </w:tcPr>
                <w:p w14:paraId="6BA7A4BB">
                  <w:pPr>
                    <w:pStyle w:val="2"/>
                    <w:keepNext w:val="0"/>
                    <w:keepLines w:val="0"/>
                    <w:pageBreakBefore w:val="0"/>
                    <w:widowControl/>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t>车辆、</w:t>
                  </w:r>
                  <w:r>
                    <w:rPr>
                      <w:rFonts w:hint="eastAsia"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t>生产设备</w:t>
                  </w:r>
                </w:p>
              </w:tc>
              <w:tc>
                <w:tcPr>
                  <w:tcW w:w="3357" w:type="dxa"/>
                  <w:tcBorders>
                    <w:tl2br w:val="nil"/>
                    <w:tr2bl w:val="nil"/>
                  </w:tcBorders>
                  <w:noWrap w:val="0"/>
                  <w:vAlign w:val="center"/>
                </w:tcPr>
                <w:p w14:paraId="25B817B5">
                  <w:pPr>
                    <w:pStyle w:val="2"/>
                    <w:keepNext w:val="0"/>
                    <w:keepLines w:val="0"/>
                    <w:pageBreakBefore w:val="0"/>
                    <w:widowControl/>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t>噪声</w:t>
                  </w:r>
                </w:p>
              </w:tc>
            </w:tr>
            <w:tr w14:paraId="441EF4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046" w:type="dxa"/>
                  <w:vMerge w:val="continue"/>
                  <w:tcBorders>
                    <w:tl2br w:val="nil"/>
                    <w:tr2bl w:val="nil"/>
                  </w:tcBorders>
                  <w:noWrap w:val="0"/>
                  <w:vAlign w:val="center"/>
                </w:tcPr>
                <w:p w14:paraId="68FD8843">
                  <w:pPr>
                    <w:pStyle w:val="2"/>
                    <w:keepNext w:val="0"/>
                    <w:keepLines w:val="0"/>
                    <w:pageBreakBefore w:val="0"/>
                    <w:widowControl/>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184" w:type="dxa"/>
                  <w:vMerge w:val="restart"/>
                  <w:tcBorders>
                    <w:tl2br w:val="nil"/>
                    <w:tr2bl w:val="nil"/>
                  </w:tcBorders>
                  <w:noWrap w:val="0"/>
                  <w:vAlign w:val="center"/>
                </w:tcPr>
                <w:p w14:paraId="50A7FB3B">
                  <w:pPr>
                    <w:pStyle w:val="2"/>
                    <w:keepNext w:val="0"/>
                    <w:keepLines w:val="0"/>
                    <w:pageBreakBefore w:val="0"/>
                    <w:widowControl/>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t>固废</w:t>
                  </w:r>
                </w:p>
              </w:tc>
              <w:tc>
                <w:tcPr>
                  <w:tcW w:w="2813" w:type="dxa"/>
                  <w:tcBorders>
                    <w:tl2br w:val="nil"/>
                    <w:tr2bl w:val="nil"/>
                  </w:tcBorders>
                  <w:noWrap w:val="0"/>
                  <w:vAlign w:val="center"/>
                </w:tcPr>
                <w:p w14:paraId="63E4A97B">
                  <w:pPr>
                    <w:pStyle w:val="2"/>
                    <w:keepNext w:val="0"/>
                    <w:keepLines w:val="0"/>
                    <w:pageBreakBefore w:val="0"/>
                    <w:widowControl/>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t>生活垃圾</w:t>
                  </w:r>
                </w:p>
              </w:tc>
              <w:tc>
                <w:tcPr>
                  <w:tcW w:w="3357" w:type="dxa"/>
                  <w:tcBorders>
                    <w:tl2br w:val="nil"/>
                    <w:tr2bl w:val="nil"/>
                  </w:tcBorders>
                  <w:noWrap w:val="0"/>
                  <w:vAlign w:val="center"/>
                </w:tcPr>
                <w:p w14:paraId="5A25FDD0">
                  <w:pPr>
                    <w:pStyle w:val="2"/>
                    <w:keepNext w:val="0"/>
                    <w:keepLines w:val="0"/>
                    <w:pageBreakBefore w:val="0"/>
                    <w:widowControl/>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t>职工生活</w:t>
                  </w:r>
                </w:p>
              </w:tc>
            </w:tr>
            <w:tr w14:paraId="4EB05C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046" w:type="dxa"/>
                  <w:vMerge w:val="continue"/>
                  <w:tcBorders>
                    <w:tl2br w:val="nil"/>
                    <w:tr2bl w:val="nil"/>
                  </w:tcBorders>
                  <w:noWrap w:val="0"/>
                  <w:vAlign w:val="center"/>
                </w:tcPr>
                <w:p w14:paraId="7A26B095">
                  <w:pPr>
                    <w:pStyle w:val="2"/>
                    <w:keepNext w:val="0"/>
                    <w:keepLines w:val="0"/>
                    <w:pageBreakBefore w:val="0"/>
                    <w:widowControl/>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184" w:type="dxa"/>
                  <w:vMerge w:val="continue"/>
                  <w:tcBorders>
                    <w:tl2br w:val="nil"/>
                    <w:tr2bl w:val="nil"/>
                  </w:tcBorders>
                  <w:noWrap w:val="0"/>
                  <w:vAlign w:val="center"/>
                </w:tcPr>
                <w:p w14:paraId="206756F2">
                  <w:pPr>
                    <w:pStyle w:val="2"/>
                    <w:keepNext w:val="0"/>
                    <w:keepLines w:val="0"/>
                    <w:pageBreakBefore w:val="0"/>
                    <w:widowControl/>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2813" w:type="dxa"/>
                  <w:tcBorders>
                    <w:tl2br w:val="nil"/>
                    <w:tr2bl w:val="nil"/>
                  </w:tcBorders>
                  <w:noWrap w:val="0"/>
                  <w:vAlign w:val="center"/>
                </w:tcPr>
                <w:p w14:paraId="1D35C729">
                  <w:pPr>
                    <w:pStyle w:val="2"/>
                    <w:keepNext w:val="0"/>
                    <w:keepLines w:val="0"/>
                    <w:pageBreakBefore w:val="0"/>
                    <w:widowControl/>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t>生产工艺</w:t>
                  </w:r>
                </w:p>
              </w:tc>
              <w:tc>
                <w:tcPr>
                  <w:tcW w:w="3357" w:type="dxa"/>
                  <w:tcBorders>
                    <w:tl2br w:val="nil"/>
                    <w:tr2bl w:val="nil"/>
                  </w:tcBorders>
                  <w:noWrap w:val="0"/>
                  <w:vAlign w:val="center"/>
                </w:tcPr>
                <w:p w14:paraId="5DA1E527">
                  <w:pPr>
                    <w:pStyle w:val="2"/>
                    <w:keepNext w:val="0"/>
                    <w:keepLines w:val="0"/>
                    <w:pageBreakBefore w:val="0"/>
                    <w:widowControl/>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t>除尘灰、废包装材料</w:t>
                  </w:r>
                </w:p>
              </w:tc>
            </w:tr>
            <w:tr w14:paraId="474AAD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046" w:type="dxa"/>
                  <w:vMerge w:val="continue"/>
                  <w:tcBorders>
                    <w:tl2br w:val="nil"/>
                    <w:tr2bl w:val="nil"/>
                  </w:tcBorders>
                  <w:noWrap w:val="0"/>
                  <w:vAlign w:val="center"/>
                </w:tcPr>
                <w:p w14:paraId="00038FB0">
                  <w:pPr>
                    <w:pStyle w:val="2"/>
                    <w:keepNext w:val="0"/>
                    <w:keepLines w:val="0"/>
                    <w:pageBreakBefore w:val="0"/>
                    <w:widowControl/>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184" w:type="dxa"/>
                  <w:vMerge w:val="continue"/>
                  <w:tcBorders>
                    <w:tl2br w:val="nil"/>
                    <w:tr2bl w:val="nil"/>
                  </w:tcBorders>
                  <w:noWrap w:val="0"/>
                  <w:vAlign w:val="center"/>
                </w:tcPr>
                <w:p w14:paraId="131A3E37">
                  <w:pPr>
                    <w:pStyle w:val="2"/>
                    <w:keepNext w:val="0"/>
                    <w:keepLines w:val="0"/>
                    <w:pageBreakBefore w:val="0"/>
                    <w:widowControl/>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2813" w:type="dxa"/>
                  <w:tcBorders>
                    <w:tl2br w:val="nil"/>
                    <w:tr2bl w:val="nil"/>
                  </w:tcBorders>
                  <w:noWrap w:val="0"/>
                  <w:vAlign w:val="center"/>
                </w:tcPr>
                <w:p w14:paraId="7B44783D">
                  <w:pPr>
                    <w:pStyle w:val="2"/>
                    <w:keepNext w:val="0"/>
                    <w:keepLines w:val="0"/>
                    <w:pageBreakBefore w:val="0"/>
                    <w:widowControl/>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t>废</w:t>
                  </w:r>
                  <w:r>
                    <w:rPr>
                      <w:rFonts w:hint="eastAsia"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t>机</w:t>
                  </w:r>
                  <w:r>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t>油/废油桶</w:t>
                  </w:r>
                </w:p>
              </w:tc>
              <w:tc>
                <w:tcPr>
                  <w:tcW w:w="3357" w:type="dxa"/>
                  <w:tcBorders>
                    <w:tl2br w:val="nil"/>
                    <w:tr2bl w:val="nil"/>
                  </w:tcBorders>
                  <w:noWrap w:val="0"/>
                  <w:vAlign w:val="center"/>
                </w:tcPr>
                <w:p w14:paraId="36DF90BB">
                  <w:pPr>
                    <w:pStyle w:val="2"/>
                    <w:keepNext w:val="0"/>
                    <w:keepLines w:val="0"/>
                    <w:pageBreakBefore w:val="0"/>
                    <w:widowControl/>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t>搅拌机</w:t>
                  </w:r>
                  <w:r>
                    <w:rPr>
                      <w:rFonts w:hint="default" w:ascii="Times New Roman" w:hAnsi="Times New Roman" w:eastAsia="新宋体" w:cs="Times New Roman"/>
                      <w:b w:val="0"/>
                      <w:bCs w:val="0"/>
                      <w:color w:val="000000" w:themeColor="text1"/>
                      <w:sz w:val="21"/>
                      <w:szCs w:val="21"/>
                      <w:highlight w:val="none"/>
                      <w:vertAlign w:val="baseline"/>
                      <w:lang w:val="en-US" w:eastAsia="zh-CN"/>
                      <w14:textFill>
                        <w14:solidFill>
                          <w14:schemeClr w14:val="tx1"/>
                        </w14:solidFill>
                      </w14:textFill>
                    </w:rPr>
                    <w:t>等机械设备维护保养</w:t>
                  </w:r>
                </w:p>
              </w:tc>
            </w:tr>
          </w:tbl>
          <w:p w14:paraId="331C1A03">
            <w:pPr>
              <w:pStyle w:val="65"/>
              <w:keepNext w:val="0"/>
              <w:keepLines w:val="0"/>
              <w:pageBreakBefore w:val="0"/>
              <w:widowControl/>
              <w:kinsoku/>
              <w:wordWrap/>
              <w:overflowPunct/>
              <w:topLinePunct w:val="0"/>
              <w:autoSpaceDE/>
              <w:autoSpaceDN/>
              <w:bidi w:val="0"/>
              <w:adjustRightInd/>
              <w:snapToGrid/>
              <w:spacing w:beforeLines="0" w:afterLines="0" w:line="360" w:lineRule="auto"/>
              <w:ind w:firstLine="482" w:firstLineChars="200"/>
              <w:jc w:val="left"/>
              <w:textAlignment w:val="auto"/>
              <w:rPr>
                <w:rFonts w:hint="default" w:ascii="Times New Roman" w:hAnsi="Times New Roman" w:eastAsia="新宋体" w:cs="Times New Roman"/>
                <w:b/>
                <w:bCs/>
                <w:color w:val="000000" w:themeColor="text1"/>
                <w:kern w:val="2"/>
                <w:sz w:val="24"/>
                <w:szCs w:val="24"/>
                <w:highlight w:val="none"/>
                <w:lang w:val="en-US" w:eastAsia="zh-CN" w:bidi="ar-SA"/>
                <w14:textFill>
                  <w14:solidFill>
                    <w14:schemeClr w14:val="tx1"/>
                  </w14:solidFill>
                </w14:textFill>
              </w:rPr>
            </w:pPr>
          </w:p>
          <w:p w14:paraId="7DCF397F">
            <w:pPr>
              <w:pStyle w:val="65"/>
              <w:keepNext w:val="0"/>
              <w:keepLines w:val="0"/>
              <w:pageBreakBefore w:val="0"/>
              <w:widowControl/>
              <w:kinsoku/>
              <w:wordWrap/>
              <w:overflowPunct/>
              <w:topLinePunct w:val="0"/>
              <w:autoSpaceDE/>
              <w:autoSpaceDN/>
              <w:bidi w:val="0"/>
              <w:adjustRightInd/>
              <w:snapToGrid/>
              <w:spacing w:beforeLines="0" w:afterLines="0" w:line="360" w:lineRule="auto"/>
              <w:ind w:firstLine="482" w:firstLineChars="200"/>
              <w:jc w:val="left"/>
              <w:textAlignment w:val="auto"/>
              <w:rPr>
                <w:rFonts w:hint="default" w:ascii="Times New Roman" w:hAnsi="Times New Roman" w:eastAsia="新宋体" w:cs="Times New Roman"/>
                <w:b/>
                <w:bCs/>
                <w:color w:val="000000" w:themeColor="text1"/>
                <w:kern w:val="2"/>
                <w:sz w:val="24"/>
                <w:szCs w:val="24"/>
                <w:highlight w:val="none"/>
                <w:lang w:val="en-US" w:eastAsia="zh-CN" w:bidi="ar-SA"/>
                <w14:textFill>
                  <w14:solidFill>
                    <w14:schemeClr w14:val="tx1"/>
                  </w14:solidFill>
                </w14:textFill>
              </w:rPr>
            </w:pPr>
          </w:p>
          <w:p w14:paraId="5F3756C3">
            <w:pPr>
              <w:pStyle w:val="24"/>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新宋体" w:cs="Times New Roman"/>
                <w:color w:val="000000" w:themeColor="text1"/>
                <w:kern w:val="2"/>
                <w:sz w:val="24"/>
                <w:szCs w:val="24"/>
                <w:highlight w:val="none"/>
                <w:lang w:val="en-US" w:eastAsia="zh-CN" w:bidi="ar-SA"/>
                <w14:textFill>
                  <w14:solidFill>
                    <w14:schemeClr w14:val="tx1"/>
                  </w14:solidFill>
                </w14:textFill>
              </w:rPr>
            </w:pPr>
          </w:p>
        </w:tc>
      </w:tr>
      <w:tr w14:paraId="068E2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Pr>
          <w:p w14:paraId="5510BF0E">
            <w:pPr>
              <w:pStyle w:val="24"/>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新宋体" w:cs="Times New Roman"/>
                <w:b w:val="0"/>
                <w:bCs w:val="0"/>
                <w:snapToGrid w:val="0"/>
                <w:color w:val="000000"/>
                <w:sz w:val="30"/>
                <w:szCs w:val="30"/>
                <w:vertAlign w:val="baseline"/>
              </w:rPr>
            </w:pPr>
            <w:r>
              <w:rPr>
                <w:rFonts w:hint="default" w:ascii="Times New Roman" w:hAnsi="Times New Roman" w:eastAsia="新宋体" w:cs="Times New Roman"/>
                <w:color w:val="000000" w:themeColor="text1"/>
                <w14:textFill>
                  <w14:solidFill>
                    <w14:schemeClr w14:val="tx1"/>
                  </w14:solidFill>
                </w14:textFill>
              </w:rPr>
              <w:t>与项目有关的原有环境污染问题</w:t>
            </w:r>
          </w:p>
        </w:tc>
        <w:tc>
          <w:tcPr>
            <w:tcW w:w="7613" w:type="dxa"/>
          </w:tcPr>
          <w:p w14:paraId="667FE795">
            <w:pPr>
              <w:keepNext w:val="0"/>
              <w:keepLines w:val="0"/>
              <w:pageBreakBefore w:val="0"/>
              <w:widowControl/>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1、项目</w:t>
            </w:r>
            <w:r>
              <w:rPr>
                <w:rFonts w:hint="eastAsia" w:cs="Times New Roman"/>
                <w:b/>
                <w:bCs/>
                <w:color w:val="auto"/>
                <w:sz w:val="24"/>
                <w:szCs w:val="24"/>
                <w:lang w:val="en-US" w:eastAsia="zh-CN"/>
              </w:rPr>
              <w:t>现有环境</w:t>
            </w:r>
            <w:r>
              <w:rPr>
                <w:rFonts w:hint="eastAsia" w:ascii="Times New Roman" w:hAnsi="Times New Roman" w:eastAsia="宋体" w:cs="Times New Roman"/>
                <w:b/>
                <w:bCs/>
                <w:color w:val="auto"/>
                <w:sz w:val="24"/>
                <w:szCs w:val="24"/>
                <w:lang w:val="en-US" w:eastAsia="zh-CN"/>
              </w:rPr>
              <w:t>问题调查</w:t>
            </w:r>
          </w:p>
          <w:p w14:paraId="4B4E6F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新宋体" w:cs="Times New Roman"/>
                <w:color w:val="000000" w:themeColor="text1"/>
                <w14:textFill>
                  <w14:solidFill>
                    <w14:schemeClr w14:val="tx1"/>
                  </w14:solidFill>
                </w14:textFill>
              </w:rPr>
              <w:t>本项目为</w:t>
            </w:r>
            <w:r>
              <w:rPr>
                <w:rFonts w:hint="eastAsia" w:eastAsia="新宋体" w:cs="Times New Roman"/>
                <w:color w:val="000000" w:themeColor="text1"/>
                <w:lang w:val="en-US" w:eastAsia="zh-CN"/>
                <w14:textFill>
                  <w14:solidFill>
                    <w14:schemeClr w14:val="tx1"/>
                  </w14:solidFill>
                </w14:textFill>
              </w:rPr>
              <w:t>污染影响类</w:t>
            </w:r>
            <w:r>
              <w:rPr>
                <w:rFonts w:hint="default" w:ascii="Times New Roman" w:hAnsi="Times New Roman" w:eastAsia="新宋体" w:cs="Times New Roman"/>
                <w:color w:val="000000" w:themeColor="text1"/>
                <w14:textFill>
                  <w14:solidFill>
                    <w14:schemeClr w14:val="tx1"/>
                  </w14:solidFill>
                </w14:textFill>
              </w:rPr>
              <w:t>新建项目</w:t>
            </w:r>
            <w:r>
              <w:rPr>
                <w:rFonts w:hint="default" w:ascii="Times New Roman" w:hAnsi="Times New Roman" w:eastAsia="新宋体" w:cs="Times New Roman"/>
                <w:color w:val="000000" w:themeColor="text1"/>
                <w:lang w:val="en-US" w:eastAsia="zh-CN"/>
                <w14:textFill>
                  <w14:solidFill>
                    <w14:schemeClr w14:val="tx1"/>
                  </w14:solidFill>
                </w14:textFill>
              </w:rPr>
              <w:t>且存在未批先建情况</w:t>
            </w:r>
            <w:r>
              <w:rPr>
                <w:rFonts w:hint="default" w:ascii="Times New Roman" w:hAnsi="Times New Roman" w:eastAsia="新宋体" w:cs="Times New Roman"/>
                <w:color w:val="000000" w:themeColor="text1"/>
                <w:lang w:eastAsia="zh-CN"/>
                <w14:textFill>
                  <w14:solidFill>
                    <w14:schemeClr w14:val="tx1"/>
                  </w14:solidFill>
                </w14:textFill>
              </w:rPr>
              <w:t>，</w:t>
            </w:r>
            <w:r>
              <w:rPr>
                <w:rFonts w:hint="eastAsia" w:eastAsia="新宋体" w:cs="Times New Roman"/>
                <w:color w:val="000000" w:themeColor="text1"/>
                <w:lang w:eastAsia="zh-CN"/>
                <w14:textFill>
                  <w14:solidFill>
                    <w14:schemeClr w14:val="tx1"/>
                  </w14:solidFill>
                </w14:textFill>
              </w:rPr>
              <w:t>截至202</w:t>
            </w:r>
            <w:r>
              <w:rPr>
                <w:rFonts w:hint="eastAsia" w:eastAsia="新宋体" w:cs="Times New Roman"/>
                <w:color w:val="000000" w:themeColor="text1"/>
                <w:lang w:val="en-US" w:eastAsia="zh-CN"/>
                <w14:textFill>
                  <w14:solidFill>
                    <w14:schemeClr w14:val="tx1"/>
                  </w14:solidFill>
                </w14:textFill>
              </w:rPr>
              <w:t>5</w:t>
            </w:r>
            <w:r>
              <w:rPr>
                <w:rFonts w:hint="eastAsia" w:eastAsia="新宋体" w:cs="Times New Roman"/>
                <w:color w:val="000000" w:themeColor="text1"/>
                <w:lang w:eastAsia="zh-CN"/>
                <w14:textFill>
                  <w14:solidFill>
                    <w14:schemeClr w14:val="tx1"/>
                  </w14:solidFill>
                </w14:textFill>
              </w:rPr>
              <w:t>年</w:t>
            </w:r>
            <w:r>
              <w:rPr>
                <w:rFonts w:hint="eastAsia" w:eastAsia="新宋体" w:cs="Times New Roman"/>
                <w:color w:val="000000" w:themeColor="text1"/>
                <w:lang w:val="en-US" w:eastAsia="zh-CN"/>
                <w14:textFill>
                  <w14:solidFill>
                    <w14:schemeClr w14:val="tx1"/>
                  </w14:solidFill>
                </w14:textFill>
              </w:rPr>
              <w:t>3月，建设单位未办理任何环保手续。</w:t>
            </w:r>
            <w:r>
              <w:rPr>
                <w:rFonts w:hint="default" w:ascii="Times New Roman" w:hAnsi="Times New Roman" w:eastAsia="新宋体" w:cs="Times New Roman"/>
                <w:color w:val="000000" w:themeColor="text1"/>
                <w:lang w:val="en-US" w:eastAsia="zh-CN"/>
                <w14:textFill>
                  <w14:solidFill>
                    <w14:schemeClr w14:val="tx1"/>
                  </w14:solidFill>
                </w14:textFill>
              </w:rPr>
              <w:t>选址范围内已开始生产，周边</w:t>
            </w:r>
            <w:r>
              <w:rPr>
                <w:rFonts w:hint="eastAsia" w:eastAsia="新宋体" w:cs="Times New Roman"/>
                <w:color w:val="000000" w:themeColor="text1"/>
                <w:lang w:val="en-US" w:eastAsia="zh-CN"/>
                <w14:textFill>
                  <w14:solidFill>
                    <w14:schemeClr w14:val="tx1"/>
                  </w14:solidFill>
                </w14:textFill>
              </w:rPr>
              <w:t>相邻</w:t>
            </w:r>
            <w:r>
              <w:rPr>
                <w:rFonts w:hint="default" w:ascii="Times New Roman" w:hAnsi="Times New Roman" w:eastAsia="新宋体" w:cs="Times New Roman"/>
                <w:color w:val="000000" w:themeColor="text1"/>
                <w:lang w:val="en-US" w:eastAsia="zh-CN"/>
                <w14:textFill>
                  <w14:solidFill>
                    <w14:schemeClr w14:val="tx1"/>
                  </w14:solidFill>
                </w14:textFill>
              </w:rPr>
              <w:t>水泥预制件生产企业</w:t>
            </w:r>
            <w:r>
              <w:rPr>
                <w:rFonts w:hint="eastAsia" w:eastAsia="新宋体" w:cs="Times New Roman"/>
                <w:color w:val="000000" w:themeColor="text1"/>
                <w:lang w:val="en-US" w:eastAsia="zh-CN"/>
                <w14:textFill>
                  <w14:solidFill>
                    <w14:schemeClr w14:val="tx1"/>
                  </w14:solidFill>
                </w14:textFill>
              </w:rPr>
              <w:t>和仓储物流企业，</w:t>
            </w:r>
            <w:r>
              <w:rPr>
                <w:rFonts w:hint="default" w:ascii="Times New Roman" w:hAnsi="Times New Roman" w:eastAsia="宋体" w:cs="Times New Roman"/>
                <w:b w:val="0"/>
                <w:bCs w:val="0"/>
                <w:color w:val="auto"/>
                <w:sz w:val="24"/>
                <w:szCs w:val="24"/>
                <w:lang w:val="en-US" w:eastAsia="zh-CN"/>
              </w:rPr>
              <w:t>根据现场踏勘，现有主要环境问题为：</w:t>
            </w:r>
          </w:p>
          <w:p w14:paraId="2BA8D69E">
            <w:pPr>
              <w:keepNext w:val="0"/>
              <w:keepLines w:val="0"/>
              <w:pageBreakBefore w:val="0"/>
              <w:widowControl/>
              <w:kinsoku/>
              <w:wordWrap/>
              <w:overflowPunct/>
              <w:topLinePunct w:val="0"/>
              <w:bidi w:val="0"/>
              <w:adjustRightInd w:val="0"/>
              <w:snapToGrid w:val="0"/>
              <w:ind w:firstLine="480"/>
              <w:rPr>
                <w:rFonts w:hint="default"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1.1</w:t>
            </w:r>
            <w:r>
              <w:rPr>
                <w:rFonts w:hint="eastAsia" w:cs="Times New Roman"/>
                <w:b/>
                <w:bCs/>
                <w:color w:val="000000"/>
                <w:kern w:val="0"/>
                <w:sz w:val="24"/>
                <w:szCs w:val="24"/>
                <w:lang w:val="en-US" w:eastAsia="zh-CN" w:bidi="ar"/>
              </w:rPr>
              <w:t>废气排放及治理措施</w:t>
            </w:r>
          </w:p>
          <w:p w14:paraId="07B4D63C">
            <w:pPr>
              <w:keepNext w:val="0"/>
              <w:keepLines w:val="0"/>
              <w:pageBreakBefore w:val="0"/>
              <w:widowControl/>
              <w:kinsoku/>
              <w:wordWrap/>
              <w:overflowPunct/>
              <w:topLinePunct w:val="0"/>
              <w:bidi w:val="0"/>
              <w:adjustRightInd w:val="0"/>
              <w:snapToGrid w:val="0"/>
              <w:ind w:firstLine="480"/>
              <w:rPr>
                <w:rFonts w:hint="default" w:cs="Times New Roman"/>
                <w:b w:val="0"/>
                <w:bCs w:val="0"/>
                <w:color w:val="000000"/>
                <w:kern w:val="0"/>
                <w:sz w:val="24"/>
                <w:szCs w:val="24"/>
                <w:lang w:val="en-US" w:eastAsia="zh-CN" w:bidi="ar"/>
              </w:rPr>
            </w:pPr>
            <w:r>
              <w:rPr>
                <w:rFonts w:hint="eastAsia" w:cs="Times New Roman"/>
                <w:b w:val="0"/>
                <w:bCs w:val="0"/>
                <w:color w:val="000000"/>
                <w:kern w:val="0"/>
                <w:sz w:val="24"/>
                <w:szCs w:val="24"/>
                <w:lang w:val="en-US" w:eastAsia="zh-CN" w:bidi="ar"/>
              </w:rPr>
              <w:t>（1）堆场</w:t>
            </w:r>
          </w:p>
          <w:p w14:paraId="41749837">
            <w:pPr>
              <w:keepNext w:val="0"/>
              <w:keepLines w:val="0"/>
              <w:pageBreakBefore w:val="0"/>
              <w:widowControl/>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drawing>
                <wp:inline distT="0" distB="0" distL="114300" distR="114300">
                  <wp:extent cx="3599815" cy="2700655"/>
                  <wp:effectExtent l="0" t="0" r="635" b="4445"/>
                  <wp:docPr id="3" name="图片 3" descr="14b7f60638654547ab5eba9d69b1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4b7f60638654547ab5eba9d69b110b"/>
                          <pic:cNvPicPr>
                            <a:picLocks noChangeAspect="1"/>
                          </pic:cNvPicPr>
                        </pic:nvPicPr>
                        <pic:blipFill>
                          <a:blip r:embed="rId12"/>
                          <a:stretch>
                            <a:fillRect/>
                          </a:stretch>
                        </pic:blipFill>
                        <pic:spPr>
                          <a:xfrm>
                            <a:off x="0" y="0"/>
                            <a:ext cx="3599815" cy="2700655"/>
                          </a:xfrm>
                          <a:prstGeom prst="rect">
                            <a:avLst/>
                          </a:prstGeom>
                        </pic:spPr>
                      </pic:pic>
                    </a:graphicData>
                  </a:graphic>
                </wp:inline>
              </w:drawing>
            </w:r>
          </w:p>
          <w:p w14:paraId="1630C36D">
            <w:pPr>
              <w:keepNext w:val="0"/>
              <w:keepLines w:val="0"/>
              <w:pageBreakBefore w:val="0"/>
              <w:widowControl/>
              <w:kinsoku/>
              <w:wordWrap/>
              <w:overflowPunct/>
              <w:topLinePunct w:val="0"/>
              <w:bidi w:val="0"/>
              <w:adjustRightInd w:val="0"/>
              <w:snapToGrid w:val="0"/>
              <w:ind w:left="0" w:leftChars="0" w:firstLine="0" w:firstLineChars="0"/>
              <w:jc w:val="center"/>
              <w:rPr>
                <w:rFonts w:hint="default" w:cs="Times New Roman"/>
                <w:b w:val="0"/>
                <w:bCs w:val="0"/>
                <w:color w:val="auto"/>
                <w:sz w:val="24"/>
                <w:szCs w:val="24"/>
                <w:lang w:val="en-US" w:eastAsia="zh-CN"/>
              </w:rPr>
            </w:pPr>
            <w:r>
              <w:rPr>
                <w:rFonts w:hint="default" w:ascii="Times New Roman" w:hAnsi="Times New Roman" w:eastAsia="新宋体" w:cs="Times New Roman"/>
                <w:b/>
                <w:bCs/>
                <w:color w:val="000000" w:themeColor="text1"/>
                <w:sz w:val="21"/>
                <w:szCs w:val="21"/>
                <w:highlight w:val="none"/>
                <w:lang w:val="en-US" w:eastAsia="zh-CN"/>
                <w14:textFill>
                  <w14:solidFill>
                    <w14:schemeClr w14:val="tx1"/>
                  </w14:solidFill>
                </w14:textFill>
              </w:rPr>
              <w:t>图2-</w:t>
            </w:r>
            <w:r>
              <w:rPr>
                <w:rFonts w:hint="eastAsia" w:eastAsia="新宋体" w:cs="Times New Roman"/>
                <w:b/>
                <w:bCs/>
                <w:color w:val="000000" w:themeColor="text1"/>
                <w:sz w:val="21"/>
                <w:szCs w:val="21"/>
                <w:highlight w:val="none"/>
                <w:lang w:val="en-US" w:eastAsia="zh-CN"/>
                <w14:textFill>
                  <w14:solidFill>
                    <w14:schemeClr w14:val="tx1"/>
                  </w14:solidFill>
                </w14:textFill>
              </w:rPr>
              <w:t>4堆场现状</w:t>
            </w:r>
          </w:p>
          <w:p w14:paraId="4B8FC1DC">
            <w:pPr>
              <w:keepNext w:val="0"/>
              <w:keepLines w:val="0"/>
              <w:pageBreakBefore w:val="0"/>
              <w:widowControl/>
              <w:kinsoku/>
              <w:wordWrap/>
              <w:overflowPunct/>
              <w:topLinePunct w:val="0"/>
              <w:bidi w:val="0"/>
              <w:adjustRightInd w:val="0"/>
              <w:snapToGrid w:val="0"/>
              <w:ind w:firstLine="480"/>
              <w:rPr>
                <w:rFonts w:hint="default" w:cs="Times New Roman"/>
                <w:b w:val="0"/>
                <w:bCs w:val="0"/>
                <w:color w:val="000000"/>
                <w:kern w:val="0"/>
                <w:sz w:val="24"/>
                <w:szCs w:val="24"/>
                <w:lang w:val="en-US" w:eastAsia="zh-CN" w:bidi="ar"/>
              </w:rPr>
            </w:pPr>
            <w:r>
              <w:rPr>
                <w:rFonts w:hint="eastAsia" w:cs="Times New Roman"/>
                <w:b w:val="0"/>
                <w:bCs w:val="0"/>
                <w:color w:val="auto"/>
                <w:sz w:val="24"/>
                <w:szCs w:val="24"/>
                <w:lang w:val="en-US" w:eastAsia="zh-CN"/>
              </w:rPr>
              <w:t>水泥、沙子堆场设置在项目区南侧，袋装成品水泥，沙子表面遮盖抑尘网，定期表面洒水。</w:t>
            </w:r>
          </w:p>
          <w:p w14:paraId="083B4541">
            <w:pPr>
              <w:keepNext w:val="0"/>
              <w:keepLines w:val="0"/>
              <w:pageBreakBefore w:val="0"/>
              <w:widowControl/>
              <w:kinsoku/>
              <w:wordWrap/>
              <w:overflowPunct/>
              <w:topLinePunct w:val="0"/>
              <w:bidi w:val="0"/>
              <w:adjustRightInd w:val="0"/>
              <w:snapToGrid w:val="0"/>
              <w:ind w:firstLine="480"/>
              <w:rPr>
                <w:rFonts w:hint="default" w:cs="Times New Roman"/>
                <w:b w:val="0"/>
                <w:bCs w:val="0"/>
                <w:color w:val="000000"/>
                <w:kern w:val="0"/>
                <w:sz w:val="24"/>
                <w:szCs w:val="24"/>
                <w:lang w:val="en-US" w:eastAsia="zh-CN" w:bidi="ar"/>
              </w:rPr>
            </w:pPr>
            <w:r>
              <w:rPr>
                <w:rFonts w:hint="eastAsia" w:cs="Times New Roman"/>
                <w:b w:val="0"/>
                <w:bCs w:val="0"/>
                <w:color w:val="000000"/>
                <w:kern w:val="0"/>
                <w:sz w:val="24"/>
                <w:szCs w:val="24"/>
                <w:lang w:val="en-US" w:eastAsia="zh-CN" w:bidi="ar"/>
              </w:rPr>
              <w:t>（2）投料、搅拌</w:t>
            </w:r>
          </w:p>
          <w:p w14:paraId="5DE7332C">
            <w:pPr>
              <w:keepNext w:val="0"/>
              <w:keepLines w:val="0"/>
              <w:pageBreakBefore w:val="0"/>
              <w:widowControl/>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新宋体" w:cs="Times New Roman"/>
                <w:color w:val="000000" w:themeColor="text1"/>
                <w:lang w:eastAsia="zh-CN"/>
                <w14:textFill>
                  <w14:solidFill>
                    <w14:schemeClr w14:val="tx1"/>
                  </w14:solidFill>
                </w14:textFill>
              </w:rPr>
              <w:drawing>
                <wp:inline distT="0" distB="0" distL="114300" distR="114300">
                  <wp:extent cx="3599815" cy="2700655"/>
                  <wp:effectExtent l="0" t="0" r="635" b="4445"/>
                  <wp:docPr id="5" name="图片 5" descr="c6aeb9a37e3e88908fdb5fbc3c98a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6aeb9a37e3e88908fdb5fbc3c98a9e"/>
                          <pic:cNvPicPr>
                            <a:picLocks noChangeAspect="1"/>
                          </pic:cNvPicPr>
                        </pic:nvPicPr>
                        <pic:blipFill>
                          <a:blip r:embed="rId13"/>
                          <a:stretch>
                            <a:fillRect/>
                          </a:stretch>
                        </pic:blipFill>
                        <pic:spPr>
                          <a:xfrm>
                            <a:off x="0" y="0"/>
                            <a:ext cx="3599815" cy="2700655"/>
                          </a:xfrm>
                          <a:prstGeom prst="rect">
                            <a:avLst/>
                          </a:prstGeom>
                        </pic:spPr>
                      </pic:pic>
                    </a:graphicData>
                  </a:graphic>
                </wp:inline>
              </w:drawing>
            </w:r>
          </w:p>
          <w:p w14:paraId="0E398B2A">
            <w:pPr>
              <w:keepNext w:val="0"/>
              <w:keepLines w:val="0"/>
              <w:pageBreakBefore w:val="0"/>
              <w:widowControl/>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新宋体" w:cs="Times New Roman"/>
                <w:b/>
                <w:bCs/>
                <w:color w:val="000000" w:themeColor="text1"/>
                <w:sz w:val="21"/>
                <w:szCs w:val="21"/>
                <w:highlight w:val="none"/>
                <w:lang w:val="en-US" w:eastAsia="zh-CN"/>
                <w14:textFill>
                  <w14:solidFill>
                    <w14:schemeClr w14:val="tx1"/>
                  </w14:solidFill>
                </w14:textFill>
              </w:rPr>
              <w:t>图2-</w:t>
            </w:r>
            <w:r>
              <w:rPr>
                <w:rFonts w:hint="eastAsia" w:eastAsia="新宋体" w:cs="Times New Roman"/>
                <w:b/>
                <w:bCs/>
                <w:color w:val="000000" w:themeColor="text1"/>
                <w:sz w:val="21"/>
                <w:szCs w:val="21"/>
                <w:highlight w:val="none"/>
                <w:lang w:val="en-US" w:eastAsia="zh-CN"/>
                <w14:textFill>
                  <w14:solidFill>
                    <w14:schemeClr w14:val="tx1"/>
                  </w14:solidFill>
                </w14:textFill>
              </w:rPr>
              <w:t>5混料机及露天厂房现状</w:t>
            </w:r>
          </w:p>
          <w:p w14:paraId="43A18BCA">
            <w:pPr>
              <w:keepNext w:val="0"/>
              <w:keepLines w:val="0"/>
              <w:pageBreakBefore w:val="0"/>
              <w:widowControl/>
              <w:kinsoku/>
              <w:wordWrap/>
              <w:overflowPunct/>
              <w:topLinePunct w:val="0"/>
              <w:bidi w:val="0"/>
              <w:adjustRightInd w:val="0"/>
              <w:snapToGrid w:val="0"/>
              <w:ind w:firstLine="480"/>
              <w:rPr>
                <w:rFonts w:hint="default"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auto"/>
                <w:sz w:val="24"/>
                <w:szCs w:val="24"/>
                <w:lang w:val="en-US" w:eastAsia="zh-CN"/>
              </w:rPr>
              <w:t>项目</w:t>
            </w:r>
            <w:r>
              <w:rPr>
                <w:rFonts w:hint="eastAsia" w:cs="Times New Roman"/>
                <w:b w:val="0"/>
                <w:bCs w:val="0"/>
                <w:color w:val="auto"/>
                <w:sz w:val="24"/>
                <w:szCs w:val="24"/>
                <w:lang w:val="en-US" w:eastAsia="zh-CN"/>
              </w:rPr>
              <w:t>区内</w:t>
            </w:r>
            <w:r>
              <w:rPr>
                <w:rFonts w:hint="default" w:ascii="Times New Roman" w:hAnsi="Times New Roman" w:eastAsia="宋体" w:cs="Times New Roman"/>
                <w:b w:val="0"/>
                <w:bCs w:val="0"/>
                <w:color w:val="auto"/>
                <w:sz w:val="24"/>
                <w:szCs w:val="24"/>
                <w:lang w:val="en-US" w:eastAsia="zh-CN"/>
              </w:rPr>
              <w:t>现有一条</w:t>
            </w:r>
            <w:r>
              <w:rPr>
                <w:rFonts w:hint="eastAsia" w:cs="Times New Roman"/>
                <w:b w:val="0"/>
                <w:bCs w:val="0"/>
                <w:color w:val="auto"/>
                <w:sz w:val="24"/>
                <w:szCs w:val="24"/>
                <w:lang w:val="en-US" w:eastAsia="zh-CN"/>
              </w:rPr>
              <w:t>彩砖、路沿石和一条空心板和水泥柱生产线</w:t>
            </w:r>
            <w:r>
              <w:rPr>
                <w:rFonts w:hint="default" w:ascii="Times New Roman" w:hAnsi="Times New Roman" w:eastAsia="宋体" w:cs="Times New Roman"/>
                <w:b w:val="0"/>
                <w:bCs w:val="0"/>
                <w:color w:val="auto"/>
                <w:sz w:val="24"/>
                <w:szCs w:val="24"/>
                <w:lang w:val="en-US" w:eastAsia="zh-CN"/>
              </w:rPr>
              <w:t>，</w:t>
            </w:r>
            <w:r>
              <w:rPr>
                <w:rFonts w:hint="eastAsia" w:cs="Times New Roman"/>
                <w:b w:val="0"/>
                <w:bCs w:val="0"/>
                <w:color w:val="auto"/>
                <w:sz w:val="24"/>
                <w:szCs w:val="24"/>
                <w:lang w:val="en-US" w:eastAsia="zh-CN"/>
              </w:rPr>
              <w:t>投料口设置在项目区西侧三面围挡棚内，采用湿法上料作业方式；混料运输采用U型铁槽输送，未采取密闭措施；搅拌工序设置在项目区中部密闭罐体内；成型机未设置任何抑尘措施。</w:t>
            </w:r>
          </w:p>
          <w:p w14:paraId="24A71E41">
            <w:pPr>
              <w:keepNext w:val="0"/>
              <w:keepLines w:val="0"/>
              <w:pageBreakBefore w:val="0"/>
              <w:widowControl/>
              <w:kinsoku/>
              <w:wordWrap/>
              <w:overflowPunct/>
              <w:topLinePunct w:val="0"/>
              <w:bidi w:val="0"/>
              <w:adjustRightInd w:val="0"/>
              <w:snapToGrid w:val="0"/>
              <w:ind w:firstLine="480"/>
              <w:rPr>
                <w:rFonts w:hint="default" w:ascii="Times New Roman" w:hAnsi="Times New Roman" w:eastAsia="宋体"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1.2废水排放及治理措施</w:t>
            </w:r>
          </w:p>
          <w:p w14:paraId="0F469BB3">
            <w:pPr>
              <w:keepNext w:val="0"/>
              <w:keepLines w:val="0"/>
              <w:pageBreakBefore w:val="0"/>
              <w:widowControl/>
              <w:kinsoku/>
              <w:wordWrap/>
              <w:overflowPunct/>
              <w:topLinePunct w:val="0"/>
              <w:bidi w:val="0"/>
              <w:adjustRightInd w:val="0"/>
              <w:snapToGrid w:val="0"/>
              <w:ind w:left="0" w:leftChars="0" w:firstLine="0" w:firstLineChars="0"/>
              <w:jc w:val="center"/>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drawing>
                <wp:inline distT="0" distB="0" distL="114300" distR="114300">
                  <wp:extent cx="2700655" cy="3599815"/>
                  <wp:effectExtent l="0" t="0" r="635" b="4445"/>
                  <wp:docPr id="9" name="图片 9" descr="79ed991c9178293ccbe8c0119460a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9ed991c9178293ccbe8c0119460a27"/>
                          <pic:cNvPicPr>
                            <a:picLocks noChangeAspect="1"/>
                          </pic:cNvPicPr>
                        </pic:nvPicPr>
                        <pic:blipFill>
                          <a:blip r:embed="rId14"/>
                          <a:stretch>
                            <a:fillRect/>
                          </a:stretch>
                        </pic:blipFill>
                        <pic:spPr>
                          <a:xfrm rot="5400000">
                            <a:off x="0" y="0"/>
                            <a:ext cx="2700655" cy="3599815"/>
                          </a:xfrm>
                          <a:prstGeom prst="rect">
                            <a:avLst/>
                          </a:prstGeom>
                        </pic:spPr>
                      </pic:pic>
                    </a:graphicData>
                  </a:graphic>
                </wp:inline>
              </w:drawing>
            </w:r>
          </w:p>
          <w:p w14:paraId="2CF8F0D6">
            <w:pPr>
              <w:keepNext w:val="0"/>
              <w:keepLines w:val="0"/>
              <w:pageBreakBefore w:val="0"/>
              <w:widowControl/>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新宋体" w:cs="Times New Roman"/>
                <w:b/>
                <w:bCs/>
                <w:color w:val="000000" w:themeColor="text1"/>
                <w:sz w:val="21"/>
                <w:szCs w:val="21"/>
                <w:highlight w:val="none"/>
                <w:lang w:val="en-US" w:eastAsia="zh-CN"/>
                <w14:textFill>
                  <w14:solidFill>
                    <w14:schemeClr w14:val="tx1"/>
                  </w14:solidFill>
                </w14:textFill>
              </w:rPr>
              <w:t>图2-</w:t>
            </w:r>
            <w:r>
              <w:rPr>
                <w:rFonts w:hint="eastAsia" w:eastAsia="新宋体" w:cs="Times New Roman"/>
                <w:b/>
                <w:bCs/>
                <w:color w:val="000000" w:themeColor="text1"/>
                <w:sz w:val="21"/>
                <w:szCs w:val="21"/>
                <w:highlight w:val="none"/>
                <w:lang w:val="en-US" w:eastAsia="zh-CN"/>
                <w14:textFill>
                  <w14:solidFill>
                    <w14:schemeClr w14:val="tx1"/>
                  </w14:solidFill>
                </w14:textFill>
              </w:rPr>
              <w:t>6养护区现状</w:t>
            </w:r>
          </w:p>
          <w:p w14:paraId="287835B9">
            <w:pPr>
              <w:keepNext w:val="0"/>
              <w:keepLines w:val="0"/>
              <w:pageBreakBefore w:val="0"/>
              <w:widowControl/>
              <w:kinsoku/>
              <w:wordWrap/>
              <w:overflowPunct/>
              <w:topLinePunct w:val="0"/>
              <w:bidi w:val="0"/>
              <w:adjustRightInd w:val="0"/>
              <w:snapToGrid w:val="0"/>
              <w:ind w:firstLine="480"/>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生活废水排入防渗旱厕，生产用养护废水自然蒸发，未设置沉淀池。</w:t>
            </w:r>
          </w:p>
          <w:p w14:paraId="496C90A0">
            <w:pPr>
              <w:keepNext w:val="0"/>
              <w:keepLines w:val="0"/>
              <w:pageBreakBefore w:val="0"/>
              <w:widowControl/>
              <w:kinsoku/>
              <w:wordWrap/>
              <w:overflowPunct/>
              <w:topLinePunct w:val="0"/>
              <w:bidi w:val="0"/>
              <w:adjustRightInd w:val="0"/>
              <w:snapToGrid w:val="0"/>
              <w:ind w:firstLine="480"/>
              <w:rPr>
                <w:rFonts w:hint="default"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1.3噪声排放及治理措施</w:t>
            </w:r>
          </w:p>
          <w:p w14:paraId="03B7BC0E">
            <w:pPr>
              <w:keepNext w:val="0"/>
              <w:keepLines w:val="0"/>
              <w:pageBreakBefore w:val="0"/>
              <w:widowControl/>
              <w:kinsoku/>
              <w:wordWrap/>
              <w:overflowPunct/>
              <w:topLinePunct w:val="0"/>
              <w:bidi w:val="0"/>
              <w:adjustRightInd w:val="0"/>
              <w:snapToGrid w:val="0"/>
              <w:ind w:left="0" w:leftChars="0" w:firstLine="0" w:firstLineChars="0"/>
              <w:jc w:val="center"/>
              <w:rPr>
                <w:rFonts w:hint="eastAsia" w:cs="Times New Roman"/>
                <w:b w:val="0"/>
                <w:bCs w:val="0"/>
                <w:color w:val="000000"/>
                <w:kern w:val="0"/>
                <w:sz w:val="24"/>
                <w:szCs w:val="24"/>
                <w:lang w:val="en-US" w:eastAsia="zh-CN" w:bidi="ar"/>
              </w:rPr>
            </w:pPr>
            <w:r>
              <w:rPr>
                <w:rFonts w:hint="eastAsia" w:cs="Times New Roman"/>
                <w:b w:val="0"/>
                <w:bCs w:val="0"/>
                <w:color w:val="000000"/>
                <w:kern w:val="0"/>
                <w:sz w:val="24"/>
                <w:szCs w:val="24"/>
                <w:lang w:val="en-US" w:eastAsia="zh-CN" w:bidi="ar"/>
              </w:rPr>
              <w:drawing>
                <wp:inline distT="0" distB="0" distL="114300" distR="114300">
                  <wp:extent cx="3599815" cy="2700020"/>
                  <wp:effectExtent l="0" t="0" r="635" b="5080"/>
                  <wp:docPr id="10" name="图片 10" descr="c139542bde1be788d86f9f351cca1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139542bde1be788d86f9f351cca1e7"/>
                          <pic:cNvPicPr>
                            <a:picLocks noChangeAspect="1"/>
                          </pic:cNvPicPr>
                        </pic:nvPicPr>
                        <pic:blipFill>
                          <a:blip r:embed="rId15"/>
                          <a:stretch>
                            <a:fillRect/>
                          </a:stretch>
                        </pic:blipFill>
                        <pic:spPr>
                          <a:xfrm>
                            <a:off x="0" y="0"/>
                            <a:ext cx="3599815" cy="2700020"/>
                          </a:xfrm>
                          <a:prstGeom prst="rect">
                            <a:avLst/>
                          </a:prstGeom>
                        </pic:spPr>
                      </pic:pic>
                    </a:graphicData>
                  </a:graphic>
                </wp:inline>
              </w:drawing>
            </w:r>
          </w:p>
          <w:p w14:paraId="576F2630">
            <w:pPr>
              <w:keepNext w:val="0"/>
              <w:keepLines w:val="0"/>
              <w:pageBreakBefore w:val="0"/>
              <w:widowControl/>
              <w:kinsoku/>
              <w:wordWrap/>
              <w:overflowPunct/>
              <w:topLinePunct w:val="0"/>
              <w:bidi w:val="0"/>
              <w:adjustRightInd w:val="0"/>
              <w:snapToGrid w:val="0"/>
              <w:ind w:left="0" w:leftChars="0" w:firstLine="0" w:firstLineChars="0"/>
              <w:jc w:val="center"/>
              <w:rPr>
                <w:rFonts w:hint="default" w:cs="Times New Roman"/>
                <w:b w:val="0"/>
                <w:bCs w:val="0"/>
                <w:color w:val="000000"/>
                <w:kern w:val="0"/>
                <w:sz w:val="24"/>
                <w:szCs w:val="24"/>
                <w:lang w:val="en-US" w:eastAsia="zh-CN" w:bidi="ar"/>
              </w:rPr>
            </w:pPr>
            <w:r>
              <w:rPr>
                <w:rFonts w:hint="default" w:ascii="Times New Roman" w:hAnsi="Times New Roman" w:eastAsia="新宋体" w:cs="Times New Roman"/>
                <w:b/>
                <w:bCs/>
                <w:color w:val="000000" w:themeColor="text1"/>
                <w:sz w:val="21"/>
                <w:szCs w:val="21"/>
                <w:highlight w:val="none"/>
                <w:lang w:val="en-US" w:eastAsia="zh-CN"/>
                <w14:textFill>
                  <w14:solidFill>
                    <w14:schemeClr w14:val="tx1"/>
                  </w14:solidFill>
                </w14:textFill>
              </w:rPr>
              <w:t>图2-</w:t>
            </w:r>
            <w:r>
              <w:rPr>
                <w:rFonts w:hint="eastAsia" w:eastAsia="新宋体" w:cs="Times New Roman"/>
                <w:b/>
                <w:bCs/>
                <w:color w:val="000000" w:themeColor="text1"/>
                <w:sz w:val="21"/>
                <w:szCs w:val="21"/>
                <w:highlight w:val="none"/>
                <w:lang w:val="en-US" w:eastAsia="zh-CN"/>
                <w14:textFill>
                  <w14:solidFill>
                    <w14:schemeClr w14:val="tx1"/>
                  </w14:solidFill>
                </w14:textFill>
              </w:rPr>
              <w:t>7钢筋调直机墙体隔声</w:t>
            </w:r>
          </w:p>
          <w:p w14:paraId="5BBE62BD">
            <w:pPr>
              <w:keepNext w:val="0"/>
              <w:keepLines w:val="0"/>
              <w:pageBreakBefore w:val="0"/>
              <w:widowControl/>
              <w:kinsoku/>
              <w:wordWrap/>
              <w:overflowPunct/>
              <w:topLinePunct w:val="0"/>
              <w:bidi w:val="0"/>
              <w:adjustRightInd w:val="0"/>
              <w:snapToGrid w:val="0"/>
              <w:ind w:firstLine="480"/>
              <w:rPr>
                <w:rFonts w:hint="default" w:cs="Times New Roman"/>
                <w:b w:val="0"/>
                <w:bCs w:val="0"/>
                <w:color w:val="000000"/>
                <w:kern w:val="0"/>
                <w:sz w:val="24"/>
                <w:szCs w:val="24"/>
                <w:lang w:val="en-US" w:eastAsia="zh-CN" w:bidi="ar"/>
              </w:rPr>
            </w:pPr>
            <w:r>
              <w:rPr>
                <w:rFonts w:hint="eastAsia" w:cs="Times New Roman"/>
                <w:b w:val="0"/>
                <w:bCs w:val="0"/>
                <w:color w:val="000000"/>
                <w:kern w:val="0"/>
                <w:sz w:val="24"/>
                <w:szCs w:val="24"/>
                <w:lang w:val="en-US" w:eastAsia="zh-CN" w:bidi="ar"/>
              </w:rPr>
              <w:t>项目区现有高噪声设备主要有钢筋调直机、搅拌混料机和成型机。调直机水泥墙屏障隔声，其余机械未采取基础减振、隔声减振等措施</w:t>
            </w:r>
          </w:p>
          <w:p w14:paraId="46898996">
            <w:pPr>
              <w:keepNext w:val="0"/>
              <w:keepLines w:val="0"/>
              <w:pageBreakBefore w:val="0"/>
              <w:widowControl/>
              <w:kinsoku/>
              <w:wordWrap/>
              <w:overflowPunct/>
              <w:topLinePunct w:val="0"/>
              <w:bidi w:val="0"/>
              <w:adjustRightInd w:val="0"/>
              <w:snapToGrid w:val="0"/>
              <w:ind w:firstLine="480"/>
              <w:rPr>
                <w:rFonts w:hint="default"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1.4固体废物排放及治理措施</w:t>
            </w:r>
          </w:p>
          <w:p w14:paraId="0B9D8A21">
            <w:pPr>
              <w:keepNext w:val="0"/>
              <w:keepLines w:val="0"/>
              <w:pageBreakBefore w:val="0"/>
              <w:widowControl/>
              <w:kinsoku/>
              <w:wordWrap/>
              <w:overflowPunct/>
              <w:topLinePunct w:val="0"/>
              <w:bidi w:val="0"/>
              <w:adjustRightInd w:val="0"/>
              <w:snapToGrid w:val="0"/>
              <w:ind w:firstLine="480"/>
              <w:rPr>
                <w:rFonts w:hint="default" w:cs="Times New Roman"/>
                <w:b w:val="0"/>
                <w:bCs w:val="0"/>
                <w:color w:val="000000"/>
                <w:kern w:val="0"/>
                <w:sz w:val="24"/>
                <w:szCs w:val="24"/>
                <w:lang w:val="en-US" w:eastAsia="zh-CN" w:bidi="ar"/>
              </w:rPr>
            </w:pPr>
            <w:r>
              <w:rPr>
                <w:rFonts w:hint="eastAsia" w:cs="Times New Roman"/>
                <w:b w:val="0"/>
                <w:bCs w:val="0"/>
                <w:color w:val="000000"/>
                <w:kern w:val="0"/>
                <w:sz w:val="24"/>
                <w:szCs w:val="24"/>
                <w:lang w:val="en-US" w:eastAsia="zh-CN" w:bidi="ar"/>
              </w:rPr>
              <w:t>项目区生产营运过程中产生的固体废物有：废包装袋、废包装桶，维修保养产生的废机油、废油桶等。</w:t>
            </w:r>
          </w:p>
          <w:p w14:paraId="46FC494C">
            <w:pPr>
              <w:keepNext w:val="0"/>
              <w:keepLines w:val="0"/>
              <w:pageBreakBefore w:val="0"/>
              <w:widowControl/>
              <w:kinsoku/>
              <w:wordWrap/>
              <w:overflowPunct/>
              <w:topLinePunct w:val="0"/>
              <w:bidi w:val="0"/>
              <w:adjustRightInd w:val="0"/>
              <w:snapToGrid w:val="0"/>
              <w:ind w:firstLine="480"/>
              <w:rPr>
                <w:rFonts w:hint="default"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1.5土壤及地下水防渗</w:t>
            </w:r>
          </w:p>
          <w:p w14:paraId="5A5BA2FA">
            <w:pPr>
              <w:keepNext w:val="0"/>
              <w:keepLines w:val="0"/>
              <w:pageBreakBefore w:val="0"/>
              <w:widowControl/>
              <w:kinsoku/>
              <w:wordWrap/>
              <w:overflowPunct/>
              <w:topLinePunct w:val="0"/>
              <w:bidi w:val="0"/>
              <w:adjustRightInd w:val="0"/>
              <w:snapToGrid w:val="0"/>
              <w:ind w:firstLine="480"/>
              <w:rPr>
                <w:rFonts w:hint="default" w:ascii="Times New Roman" w:hAnsi="Times New Roman" w:eastAsia="新宋体" w:cs="Times New Roman"/>
                <w:color w:val="000000" w:themeColor="text1"/>
                <w:lang w:val="en-US" w:eastAsia="zh-CN"/>
                <w14:textFill>
                  <w14:solidFill>
                    <w14:schemeClr w14:val="tx1"/>
                  </w14:solidFill>
                </w14:textFill>
              </w:rPr>
            </w:pPr>
            <w:r>
              <w:rPr>
                <w:rFonts w:hint="default" w:ascii="Times New Roman" w:hAnsi="Times New Roman" w:eastAsia="新宋体" w:cs="Times New Roman"/>
                <w:color w:val="000000" w:themeColor="text1"/>
                <w:lang w:val="en-US" w:eastAsia="zh-CN"/>
                <w14:textFill>
                  <w14:solidFill>
                    <w14:schemeClr w14:val="tx1"/>
                  </w14:solidFill>
                </w14:textFill>
              </w:rPr>
              <w:t>项目区</w:t>
            </w:r>
            <w:r>
              <w:rPr>
                <w:rFonts w:hint="eastAsia" w:eastAsia="新宋体" w:cs="Times New Roman"/>
                <w:color w:val="000000" w:themeColor="text1"/>
                <w:lang w:val="en-US" w:eastAsia="zh-CN"/>
                <w14:textFill>
                  <w14:solidFill>
                    <w14:schemeClr w14:val="tx1"/>
                  </w14:solidFill>
                </w14:textFill>
              </w:rPr>
              <w:t>未做重点防渗，养护区、生产作业区已做简单水泥硬化，生活区、彩砖养护区、出口道路两侧未做防渗处理，见图2-5。</w:t>
            </w:r>
          </w:p>
          <w:p w14:paraId="680FF2EA">
            <w:pPr>
              <w:keepNext w:val="0"/>
              <w:keepLines w:val="0"/>
              <w:pageBreakBefore w:val="0"/>
              <w:widowControl/>
              <w:kinsoku/>
              <w:wordWrap/>
              <w:overflowPunct/>
              <w:topLinePunct w:val="0"/>
              <w:bidi w:val="0"/>
              <w:adjustRightInd w:val="0"/>
              <w:snapToGrid w:val="0"/>
              <w:ind w:left="480" w:leftChars="200" w:firstLine="0" w:firstLineChars="0"/>
              <w:jc w:val="both"/>
              <w:rPr>
                <w:rFonts w:hint="eastAsia" w:eastAsia="新宋体" w:cs="Times New Roman"/>
                <w:b/>
                <w:bCs/>
                <w:color w:val="000000" w:themeColor="text1"/>
                <w:lang w:val="en-US" w:eastAsia="zh-CN"/>
                <w14:textFill>
                  <w14:solidFill>
                    <w14:schemeClr w14:val="tx1"/>
                  </w14:solidFill>
                </w14:textFill>
              </w:rPr>
            </w:pPr>
            <w:r>
              <w:rPr>
                <w:rFonts w:hint="eastAsia" w:eastAsia="新宋体" w:cs="Times New Roman"/>
                <w:b/>
                <w:bCs/>
                <w:color w:val="000000" w:themeColor="text1"/>
                <w:lang w:val="en-US" w:eastAsia="zh-CN"/>
                <w14:textFill>
                  <w14:solidFill>
                    <w14:schemeClr w14:val="tx1"/>
                  </w14:solidFill>
                </w14:textFill>
              </w:rPr>
              <w:t>2、整改措施</w:t>
            </w:r>
          </w:p>
          <w:p w14:paraId="4A24B68C">
            <w:pPr>
              <w:keepNext w:val="0"/>
              <w:keepLines w:val="0"/>
              <w:pageBreakBefore w:val="0"/>
              <w:widowControl/>
              <w:kinsoku/>
              <w:wordWrap/>
              <w:overflowPunct/>
              <w:topLinePunct w:val="0"/>
              <w:autoSpaceDE/>
              <w:autoSpaceDN/>
              <w:bidi w:val="0"/>
              <w:adjustRightInd w:val="0"/>
              <w:snapToGrid w:val="0"/>
              <w:ind w:left="0" w:leftChars="0" w:firstLine="480" w:firstLineChars="200"/>
              <w:jc w:val="both"/>
              <w:textAlignment w:val="auto"/>
              <w:rPr>
                <w:rFonts w:hint="eastAsia" w:eastAsia="新宋体" w:cs="Times New Roman"/>
                <w:color w:val="000000" w:themeColor="text1"/>
                <w:lang w:val="en-US" w:eastAsia="zh-CN"/>
                <w14:textFill>
                  <w14:solidFill>
                    <w14:schemeClr w14:val="tx1"/>
                  </w14:solidFill>
                </w14:textFill>
              </w:rPr>
            </w:pPr>
            <w:r>
              <w:rPr>
                <w:rFonts w:hint="eastAsia" w:eastAsia="新宋体" w:cs="Times New Roman"/>
                <w:color w:val="000000" w:themeColor="text1"/>
                <w:lang w:val="en-US" w:eastAsia="zh-CN"/>
                <w14:textFill>
                  <w14:solidFill>
                    <w14:schemeClr w14:val="tx1"/>
                  </w14:solidFill>
                </w14:textFill>
              </w:rPr>
              <w:t>建设单位生产主要问题是受当地大风影响</w:t>
            </w:r>
            <w:r>
              <w:rPr>
                <w:rFonts w:hint="eastAsia" w:cs="Times New Roman"/>
                <w:b w:val="0"/>
                <w:bCs w:val="0"/>
                <w:color w:val="auto"/>
                <w:kern w:val="0"/>
                <w:sz w:val="24"/>
                <w:szCs w:val="24"/>
                <w:lang w:val="en-US" w:eastAsia="zh-CN"/>
              </w:rPr>
              <w:t>部分生产厂房破损坍塌，生产线已停产并做断电处理，粉尘无法密闭收集且存在安全隐患。</w:t>
            </w:r>
          </w:p>
          <w:p w14:paraId="27BC3A27">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b/>
                <w:bCs/>
                <w:color w:val="auto"/>
                <w:spacing w:val="-26"/>
                <w:sz w:val="21"/>
                <w:szCs w:val="21"/>
              </w:rPr>
            </w:pPr>
            <w:r>
              <w:rPr>
                <w:b/>
                <w:bCs/>
                <w:color w:val="auto"/>
                <w:spacing w:val="-26"/>
                <w:sz w:val="21"/>
                <w:szCs w:val="21"/>
              </w:rPr>
              <w:t>表</w:t>
            </w:r>
            <w:r>
              <w:rPr>
                <w:rFonts w:hint="eastAsia"/>
                <w:b/>
                <w:bCs/>
                <w:color w:val="auto"/>
                <w:spacing w:val="-26"/>
                <w:sz w:val="21"/>
                <w:szCs w:val="21"/>
                <w:lang w:val="en-US" w:eastAsia="zh-CN"/>
              </w:rPr>
              <w:t>2-7环境问题整改措施</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0"/>
              <w:gridCol w:w="1111"/>
              <w:gridCol w:w="5737"/>
            </w:tblGrid>
            <w:tr w14:paraId="3C7A8B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tcBorders>
                    <w:tl2br w:val="nil"/>
                    <w:tr2bl w:val="nil"/>
                  </w:tcBorders>
                  <w:vAlign w:val="center"/>
                </w:tcPr>
                <w:p w14:paraId="7600757E">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新宋体" w:cs="Times New Roman"/>
                      <w:color w:val="000000" w:themeColor="text1"/>
                      <w:kern w:val="2"/>
                      <w:sz w:val="21"/>
                      <w:szCs w:val="21"/>
                      <w:lang w:val="en-US" w:eastAsia="zh-CN" w:bidi="ar-SA"/>
                      <w14:textFill>
                        <w14:solidFill>
                          <w14:schemeClr w14:val="tx1"/>
                        </w14:solidFill>
                      </w14:textFill>
                    </w:rPr>
                    <w:t>序号</w:t>
                  </w:r>
                </w:p>
              </w:tc>
              <w:tc>
                <w:tcPr>
                  <w:tcW w:w="746" w:type="pct"/>
                  <w:tcBorders>
                    <w:tl2br w:val="nil"/>
                    <w:tr2bl w:val="nil"/>
                  </w:tcBorders>
                  <w:vAlign w:val="center"/>
                </w:tcPr>
                <w:p w14:paraId="6AD469FE">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新宋体" w:cs="Times New Roman"/>
                      <w:color w:val="000000" w:themeColor="text1"/>
                      <w:kern w:val="2"/>
                      <w:sz w:val="21"/>
                      <w:szCs w:val="21"/>
                      <w:lang w:val="en-US" w:eastAsia="zh-CN" w:bidi="ar-SA"/>
                      <w14:textFill>
                        <w14:solidFill>
                          <w14:schemeClr w14:val="tx1"/>
                        </w14:solidFill>
                      </w14:textFill>
                    </w:rPr>
                    <w:t>环境问题</w:t>
                  </w:r>
                </w:p>
              </w:tc>
              <w:tc>
                <w:tcPr>
                  <w:tcW w:w="3850" w:type="pct"/>
                  <w:tcBorders>
                    <w:tl2br w:val="nil"/>
                    <w:tr2bl w:val="nil"/>
                  </w:tcBorders>
                  <w:vAlign w:val="center"/>
                </w:tcPr>
                <w:p w14:paraId="1C50E94B">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新宋体" w:cs="Times New Roman"/>
                      <w:color w:val="000000" w:themeColor="text1"/>
                      <w:kern w:val="2"/>
                      <w:sz w:val="21"/>
                      <w:szCs w:val="21"/>
                      <w:lang w:val="en-US" w:eastAsia="zh-CN" w:bidi="ar-SA"/>
                      <w14:textFill>
                        <w14:solidFill>
                          <w14:schemeClr w14:val="tx1"/>
                        </w14:solidFill>
                      </w14:textFill>
                    </w:rPr>
                    <w:t>整改措施</w:t>
                  </w:r>
                </w:p>
              </w:tc>
            </w:tr>
            <w:tr w14:paraId="10BEC9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restart"/>
                  <w:tcBorders>
                    <w:tl2br w:val="nil"/>
                    <w:tr2bl w:val="nil"/>
                  </w:tcBorders>
                  <w:vAlign w:val="center"/>
                </w:tcPr>
                <w:p w14:paraId="25626501">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eastAsia" w:eastAsia="新宋体" w:cs="Times New Roman"/>
                      <w:color w:val="000000" w:themeColor="text1"/>
                      <w:kern w:val="2"/>
                      <w:sz w:val="21"/>
                      <w:szCs w:val="21"/>
                      <w:lang w:val="en-US" w:eastAsia="zh-CN" w:bidi="ar-SA"/>
                      <w14:textFill>
                        <w14:solidFill>
                          <w14:schemeClr w14:val="tx1"/>
                        </w14:solidFill>
                      </w14:textFill>
                    </w:rPr>
                    <w:t>1</w:t>
                  </w:r>
                </w:p>
              </w:tc>
              <w:tc>
                <w:tcPr>
                  <w:tcW w:w="746" w:type="pct"/>
                  <w:vMerge w:val="restart"/>
                  <w:tcBorders>
                    <w:tl2br w:val="nil"/>
                    <w:tr2bl w:val="nil"/>
                  </w:tcBorders>
                  <w:vAlign w:val="center"/>
                </w:tcPr>
                <w:p w14:paraId="54B82643">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新宋体" w:cs="Times New Roman"/>
                      <w:color w:val="000000" w:themeColor="text1"/>
                      <w:kern w:val="2"/>
                      <w:sz w:val="21"/>
                      <w:szCs w:val="21"/>
                      <w:lang w:val="en-US" w:eastAsia="zh-CN" w:bidi="ar-SA"/>
                      <w14:textFill>
                        <w14:solidFill>
                          <w14:schemeClr w14:val="tx1"/>
                        </w14:solidFill>
                      </w14:textFill>
                    </w:rPr>
                    <w:t>废气治理</w:t>
                  </w:r>
                </w:p>
              </w:tc>
              <w:tc>
                <w:tcPr>
                  <w:tcW w:w="3850" w:type="pct"/>
                  <w:tcBorders>
                    <w:tl2br w:val="nil"/>
                    <w:tr2bl w:val="nil"/>
                  </w:tcBorders>
                  <w:vAlign w:val="center"/>
                </w:tcPr>
                <w:p w14:paraId="412F72A2">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eastAsia" w:eastAsia="新宋体" w:cs="Times New Roman"/>
                      <w:color w:val="000000" w:themeColor="text1"/>
                      <w:kern w:val="2"/>
                      <w:sz w:val="21"/>
                      <w:szCs w:val="21"/>
                      <w:lang w:val="en-US" w:eastAsia="zh-CN" w:bidi="ar-SA"/>
                      <w14:textFill>
                        <w14:solidFill>
                          <w14:schemeClr w14:val="tx1"/>
                        </w14:solidFill>
                      </w14:textFill>
                    </w:rPr>
                    <w:t>投料、搅拌工序顶部安装集气装置并设置有组织排放</w:t>
                  </w:r>
                </w:p>
              </w:tc>
            </w:tr>
            <w:tr w14:paraId="0395A1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tcBorders>
                    <w:tl2br w:val="nil"/>
                    <w:tr2bl w:val="nil"/>
                  </w:tcBorders>
                  <w:vAlign w:val="center"/>
                </w:tcPr>
                <w:p w14:paraId="642906C2">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新宋体" w:cs="Times New Roman"/>
                      <w:color w:val="000000" w:themeColor="text1"/>
                      <w:kern w:val="2"/>
                      <w:sz w:val="21"/>
                      <w:szCs w:val="21"/>
                      <w:lang w:val="en-US" w:eastAsia="zh-CN" w:bidi="ar-SA"/>
                      <w14:textFill>
                        <w14:solidFill>
                          <w14:schemeClr w14:val="tx1"/>
                        </w14:solidFill>
                      </w14:textFill>
                    </w:rPr>
                  </w:pPr>
                </w:p>
              </w:tc>
              <w:tc>
                <w:tcPr>
                  <w:tcW w:w="746" w:type="pct"/>
                  <w:vMerge w:val="continue"/>
                  <w:tcBorders>
                    <w:tl2br w:val="nil"/>
                    <w:tr2bl w:val="nil"/>
                  </w:tcBorders>
                  <w:vAlign w:val="center"/>
                </w:tcPr>
                <w:p w14:paraId="0506C7B7">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新宋体" w:cs="Times New Roman"/>
                      <w:color w:val="000000" w:themeColor="text1"/>
                      <w:kern w:val="2"/>
                      <w:sz w:val="21"/>
                      <w:szCs w:val="21"/>
                      <w:lang w:val="en-US" w:eastAsia="zh-CN" w:bidi="ar-SA"/>
                      <w14:textFill>
                        <w14:solidFill>
                          <w14:schemeClr w14:val="tx1"/>
                        </w14:solidFill>
                      </w14:textFill>
                    </w:rPr>
                  </w:pPr>
                </w:p>
              </w:tc>
              <w:tc>
                <w:tcPr>
                  <w:tcW w:w="3850" w:type="pct"/>
                  <w:tcBorders>
                    <w:tl2br w:val="nil"/>
                    <w:tr2bl w:val="nil"/>
                  </w:tcBorders>
                  <w:vAlign w:val="center"/>
                </w:tcPr>
                <w:p w14:paraId="522445D2">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新宋体" w:cs="Times New Roman"/>
                      <w:color w:val="000000" w:themeColor="text1"/>
                      <w:kern w:val="2"/>
                      <w:sz w:val="21"/>
                      <w:szCs w:val="21"/>
                      <w:lang w:val="en-US" w:eastAsia="zh-CN" w:bidi="ar-SA"/>
                      <w14:textFill>
                        <w14:solidFill>
                          <w14:schemeClr w14:val="tx1"/>
                        </w14:solidFill>
                      </w14:textFill>
                    </w:rPr>
                    <w:t>拆除</w:t>
                  </w:r>
                  <w:r>
                    <w:rPr>
                      <w:rFonts w:hint="eastAsia" w:eastAsia="新宋体" w:cs="Times New Roman"/>
                      <w:color w:val="000000" w:themeColor="text1"/>
                      <w:kern w:val="2"/>
                      <w:sz w:val="21"/>
                      <w:szCs w:val="21"/>
                      <w:lang w:val="en-US" w:eastAsia="zh-CN" w:bidi="ar-SA"/>
                      <w14:textFill>
                        <w14:solidFill>
                          <w14:schemeClr w14:val="tx1"/>
                        </w14:solidFill>
                      </w14:textFill>
                    </w:rPr>
                    <w:t>现有</w:t>
                  </w:r>
                  <w:r>
                    <w:rPr>
                      <w:rFonts w:hint="eastAsia" w:ascii="Times New Roman" w:hAnsi="Times New Roman" w:eastAsia="新宋体" w:cs="Times New Roman"/>
                      <w:color w:val="000000" w:themeColor="text1"/>
                      <w:kern w:val="2"/>
                      <w:sz w:val="21"/>
                      <w:szCs w:val="21"/>
                      <w:lang w:val="en-US" w:eastAsia="zh-CN" w:bidi="ar-SA"/>
                      <w14:textFill>
                        <w14:solidFill>
                          <w14:schemeClr w14:val="tx1"/>
                        </w14:solidFill>
                      </w14:textFill>
                    </w:rPr>
                    <w:t>生产设备厂房，生产线设置全封闭厂房作业，</w:t>
                  </w:r>
                  <w:r>
                    <w:rPr>
                      <w:rFonts w:hint="eastAsia" w:eastAsia="新宋体" w:cs="Times New Roman"/>
                      <w:color w:val="000000" w:themeColor="text1"/>
                      <w:kern w:val="2"/>
                      <w:sz w:val="21"/>
                      <w:szCs w:val="21"/>
                      <w:lang w:val="en-US" w:eastAsia="zh-CN" w:bidi="ar-SA"/>
                      <w14:textFill>
                        <w14:solidFill>
                          <w14:schemeClr w14:val="tx1"/>
                        </w14:solidFill>
                      </w14:textFill>
                    </w:rPr>
                    <w:t>生产作业过程配备雾炮机降尘</w:t>
                  </w:r>
                </w:p>
              </w:tc>
            </w:tr>
            <w:tr w14:paraId="2D0074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tcBorders>
                    <w:tl2br w:val="nil"/>
                    <w:tr2bl w:val="nil"/>
                  </w:tcBorders>
                  <w:vAlign w:val="center"/>
                </w:tcPr>
                <w:p w14:paraId="1DD20A6F">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新宋体" w:cs="Times New Roman"/>
                      <w:color w:val="000000" w:themeColor="text1"/>
                      <w:kern w:val="2"/>
                      <w:sz w:val="21"/>
                      <w:szCs w:val="21"/>
                      <w:lang w:val="en-US" w:eastAsia="zh-CN" w:bidi="ar-SA"/>
                      <w14:textFill>
                        <w14:solidFill>
                          <w14:schemeClr w14:val="tx1"/>
                        </w14:solidFill>
                      </w14:textFill>
                    </w:rPr>
                  </w:pPr>
                </w:p>
              </w:tc>
              <w:tc>
                <w:tcPr>
                  <w:tcW w:w="746" w:type="pct"/>
                  <w:vMerge w:val="continue"/>
                  <w:tcBorders>
                    <w:tl2br w:val="nil"/>
                    <w:tr2bl w:val="nil"/>
                  </w:tcBorders>
                  <w:vAlign w:val="center"/>
                </w:tcPr>
                <w:p w14:paraId="5F36C0B4">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新宋体" w:cs="Times New Roman"/>
                      <w:color w:val="000000" w:themeColor="text1"/>
                      <w:kern w:val="2"/>
                      <w:sz w:val="21"/>
                      <w:szCs w:val="21"/>
                      <w:lang w:val="en-US" w:eastAsia="zh-CN" w:bidi="ar-SA"/>
                      <w14:textFill>
                        <w14:solidFill>
                          <w14:schemeClr w14:val="tx1"/>
                        </w14:solidFill>
                      </w14:textFill>
                    </w:rPr>
                  </w:pPr>
                </w:p>
              </w:tc>
              <w:tc>
                <w:tcPr>
                  <w:tcW w:w="3850" w:type="pct"/>
                  <w:tcBorders>
                    <w:tl2br w:val="nil"/>
                    <w:tr2bl w:val="nil"/>
                  </w:tcBorders>
                  <w:vAlign w:val="center"/>
                </w:tcPr>
                <w:p w14:paraId="1644BA90">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eastAsia" w:eastAsia="新宋体" w:cs="Times New Roman"/>
                      <w:color w:val="000000" w:themeColor="text1"/>
                      <w:kern w:val="2"/>
                      <w:sz w:val="21"/>
                      <w:szCs w:val="21"/>
                      <w:lang w:val="en-US" w:eastAsia="zh-CN" w:bidi="ar-SA"/>
                      <w14:textFill>
                        <w14:solidFill>
                          <w14:schemeClr w14:val="tx1"/>
                        </w14:solidFill>
                      </w14:textFill>
                    </w:rPr>
                    <w:t>进厂道路全部硬化处理</w:t>
                  </w:r>
                </w:p>
              </w:tc>
            </w:tr>
            <w:tr w14:paraId="3071CD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vMerge w:val="continue"/>
                  <w:tcBorders>
                    <w:tl2br w:val="nil"/>
                    <w:tr2bl w:val="nil"/>
                  </w:tcBorders>
                  <w:vAlign w:val="center"/>
                </w:tcPr>
                <w:p w14:paraId="5244F03D">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新宋体" w:cs="Times New Roman"/>
                      <w:color w:val="000000" w:themeColor="text1"/>
                      <w:kern w:val="2"/>
                      <w:sz w:val="21"/>
                      <w:szCs w:val="21"/>
                      <w:lang w:val="en-US" w:eastAsia="zh-CN" w:bidi="ar-SA"/>
                      <w14:textFill>
                        <w14:solidFill>
                          <w14:schemeClr w14:val="tx1"/>
                        </w14:solidFill>
                      </w14:textFill>
                    </w:rPr>
                  </w:pPr>
                </w:p>
              </w:tc>
              <w:tc>
                <w:tcPr>
                  <w:tcW w:w="746" w:type="pct"/>
                  <w:vMerge w:val="continue"/>
                  <w:tcBorders>
                    <w:tl2br w:val="nil"/>
                    <w:tr2bl w:val="nil"/>
                  </w:tcBorders>
                  <w:vAlign w:val="center"/>
                </w:tcPr>
                <w:p w14:paraId="0D95DF08">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新宋体" w:cs="Times New Roman"/>
                      <w:color w:val="000000" w:themeColor="text1"/>
                      <w:kern w:val="2"/>
                      <w:sz w:val="21"/>
                      <w:szCs w:val="21"/>
                      <w:lang w:val="en-US" w:eastAsia="zh-CN" w:bidi="ar-SA"/>
                      <w14:textFill>
                        <w14:solidFill>
                          <w14:schemeClr w14:val="tx1"/>
                        </w14:solidFill>
                      </w14:textFill>
                    </w:rPr>
                  </w:pPr>
                </w:p>
              </w:tc>
              <w:tc>
                <w:tcPr>
                  <w:tcW w:w="3850" w:type="pct"/>
                  <w:tcBorders>
                    <w:tl2br w:val="nil"/>
                    <w:tr2bl w:val="nil"/>
                  </w:tcBorders>
                  <w:vAlign w:val="center"/>
                </w:tcPr>
                <w:p w14:paraId="1330523F">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eastAsia" w:eastAsia="新宋体" w:cs="Times New Roman"/>
                      <w:color w:val="000000" w:themeColor="text1"/>
                      <w:kern w:val="2"/>
                      <w:sz w:val="21"/>
                      <w:szCs w:val="21"/>
                      <w:lang w:val="en-US" w:eastAsia="zh-CN" w:bidi="ar-SA"/>
                      <w14:textFill>
                        <w14:solidFill>
                          <w14:schemeClr w14:val="tx1"/>
                        </w14:solidFill>
                      </w14:textFill>
                    </w:rPr>
                    <w:t>沙子、水泥</w:t>
                  </w:r>
                  <w:r>
                    <w:rPr>
                      <w:rFonts w:hint="eastAsia" w:ascii="Times New Roman" w:hAnsi="Times New Roman" w:eastAsia="新宋体" w:cs="Times New Roman"/>
                      <w:color w:val="000000" w:themeColor="text1"/>
                      <w:kern w:val="2"/>
                      <w:sz w:val="21"/>
                      <w:szCs w:val="21"/>
                      <w:lang w:val="en-US" w:eastAsia="zh-CN" w:bidi="ar-SA"/>
                      <w14:textFill>
                        <w14:solidFill>
                          <w14:schemeClr w14:val="tx1"/>
                        </w14:solidFill>
                      </w14:textFill>
                    </w:rPr>
                    <w:t>分区设置在封闭厂房内，控制堆存高度、及时清运，表面洒水并遮盖苫布</w:t>
                  </w:r>
                </w:p>
              </w:tc>
            </w:tr>
            <w:tr w14:paraId="7C476E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tcBorders>
                    <w:tl2br w:val="nil"/>
                    <w:tr2bl w:val="nil"/>
                  </w:tcBorders>
                  <w:vAlign w:val="center"/>
                </w:tcPr>
                <w:p w14:paraId="3CA3C7A7">
                  <w:pPr>
                    <w:keepNext w:val="0"/>
                    <w:keepLines w:val="0"/>
                    <w:pageBreakBefore w:val="0"/>
                    <w:widowControl/>
                    <w:kinsoku/>
                    <w:wordWrap/>
                    <w:overflowPunct/>
                    <w:topLinePunct w:val="0"/>
                    <w:autoSpaceDE/>
                    <w:autoSpaceDN/>
                    <w:bidi w:val="0"/>
                    <w:spacing w:line="240" w:lineRule="auto"/>
                    <w:ind w:firstLine="0" w:firstLineChars="0"/>
                    <w:jc w:val="center"/>
                    <w:rPr>
                      <w:rFonts w:hint="default" w:eastAsia="新宋体" w:cs="Times New Roman"/>
                      <w:color w:val="000000" w:themeColor="text1"/>
                      <w:kern w:val="2"/>
                      <w:sz w:val="21"/>
                      <w:szCs w:val="21"/>
                      <w:lang w:val="en-US" w:eastAsia="zh-CN" w:bidi="ar-SA"/>
                      <w14:textFill>
                        <w14:solidFill>
                          <w14:schemeClr w14:val="tx1"/>
                        </w14:solidFill>
                      </w14:textFill>
                    </w:rPr>
                  </w:pPr>
                  <w:r>
                    <w:rPr>
                      <w:rFonts w:hint="eastAsia" w:eastAsia="新宋体" w:cs="Times New Roman"/>
                      <w:color w:val="000000" w:themeColor="text1"/>
                      <w:kern w:val="2"/>
                      <w:sz w:val="21"/>
                      <w:szCs w:val="21"/>
                      <w:lang w:val="en-US" w:eastAsia="zh-CN" w:bidi="ar-SA"/>
                      <w14:textFill>
                        <w14:solidFill>
                          <w14:schemeClr w14:val="tx1"/>
                        </w14:solidFill>
                      </w14:textFill>
                    </w:rPr>
                    <w:t>2</w:t>
                  </w:r>
                </w:p>
              </w:tc>
              <w:tc>
                <w:tcPr>
                  <w:tcW w:w="746" w:type="pct"/>
                  <w:tcBorders>
                    <w:tl2br w:val="nil"/>
                    <w:tr2bl w:val="nil"/>
                  </w:tcBorders>
                  <w:vAlign w:val="center"/>
                </w:tcPr>
                <w:p w14:paraId="550E5180">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eastAsia" w:eastAsia="新宋体" w:cs="Times New Roman"/>
                      <w:color w:val="000000" w:themeColor="text1"/>
                      <w:kern w:val="2"/>
                      <w:sz w:val="21"/>
                      <w:szCs w:val="21"/>
                      <w:lang w:val="en-US" w:eastAsia="zh-CN" w:bidi="ar-SA"/>
                      <w14:textFill>
                        <w14:solidFill>
                          <w14:schemeClr w14:val="tx1"/>
                        </w14:solidFill>
                      </w14:textFill>
                    </w:rPr>
                    <w:t>废水治理</w:t>
                  </w:r>
                </w:p>
              </w:tc>
              <w:tc>
                <w:tcPr>
                  <w:tcW w:w="3850" w:type="pct"/>
                  <w:tcBorders>
                    <w:tl2br w:val="nil"/>
                    <w:tr2bl w:val="nil"/>
                  </w:tcBorders>
                  <w:vAlign w:val="center"/>
                </w:tcPr>
                <w:p w14:paraId="4043B9D5">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eastAsia" w:eastAsia="新宋体" w:cs="Times New Roman"/>
                      <w:color w:val="000000" w:themeColor="text1"/>
                      <w:kern w:val="2"/>
                      <w:sz w:val="21"/>
                      <w:szCs w:val="21"/>
                      <w:lang w:val="en-US" w:eastAsia="zh-CN" w:bidi="ar-SA"/>
                      <w14:textFill>
                        <w14:solidFill>
                          <w14:schemeClr w14:val="tx1"/>
                        </w14:solidFill>
                      </w14:textFill>
                    </w:rPr>
                    <w:t>养护区，出口洗车平台设置沉淀池，沉淀泥沙回用生产，沉淀水回用养护或地表抑尘</w:t>
                  </w:r>
                </w:p>
              </w:tc>
            </w:tr>
            <w:tr w14:paraId="146158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tcBorders>
                    <w:tl2br w:val="nil"/>
                    <w:tr2bl w:val="nil"/>
                  </w:tcBorders>
                  <w:vAlign w:val="center"/>
                </w:tcPr>
                <w:p w14:paraId="253EBE4E">
                  <w:pPr>
                    <w:keepNext w:val="0"/>
                    <w:keepLines w:val="0"/>
                    <w:pageBreakBefore w:val="0"/>
                    <w:widowControl/>
                    <w:kinsoku/>
                    <w:wordWrap/>
                    <w:overflowPunct/>
                    <w:topLinePunct w:val="0"/>
                    <w:autoSpaceDE/>
                    <w:autoSpaceDN/>
                    <w:bidi w:val="0"/>
                    <w:spacing w:line="240" w:lineRule="auto"/>
                    <w:ind w:firstLine="0" w:firstLineChars="0"/>
                    <w:jc w:val="center"/>
                    <w:rPr>
                      <w:rFonts w:hint="default" w:eastAsia="新宋体" w:cs="Times New Roman"/>
                      <w:color w:val="000000" w:themeColor="text1"/>
                      <w:kern w:val="2"/>
                      <w:sz w:val="21"/>
                      <w:szCs w:val="21"/>
                      <w:lang w:val="en-US" w:eastAsia="zh-CN" w:bidi="ar-SA"/>
                      <w14:textFill>
                        <w14:solidFill>
                          <w14:schemeClr w14:val="tx1"/>
                        </w14:solidFill>
                      </w14:textFill>
                    </w:rPr>
                  </w:pPr>
                  <w:r>
                    <w:rPr>
                      <w:rFonts w:hint="eastAsia" w:eastAsia="新宋体" w:cs="Times New Roman"/>
                      <w:color w:val="000000" w:themeColor="text1"/>
                      <w:kern w:val="2"/>
                      <w:sz w:val="21"/>
                      <w:szCs w:val="21"/>
                      <w:lang w:val="en-US" w:eastAsia="zh-CN" w:bidi="ar-SA"/>
                      <w14:textFill>
                        <w14:solidFill>
                          <w14:schemeClr w14:val="tx1"/>
                        </w14:solidFill>
                      </w14:textFill>
                    </w:rPr>
                    <w:t>3</w:t>
                  </w:r>
                </w:p>
              </w:tc>
              <w:tc>
                <w:tcPr>
                  <w:tcW w:w="746" w:type="pct"/>
                  <w:tcBorders>
                    <w:tl2br w:val="nil"/>
                    <w:tr2bl w:val="nil"/>
                  </w:tcBorders>
                  <w:vAlign w:val="center"/>
                </w:tcPr>
                <w:p w14:paraId="0488412E">
                  <w:pPr>
                    <w:keepNext w:val="0"/>
                    <w:keepLines w:val="0"/>
                    <w:pageBreakBefore w:val="0"/>
                    <w:widowControl/>
                    <w:kinsoku/>
                    <w:wordWrap/>
                    <w:overflowPunct/>
                    <w:topLinePunct w:val="0"/>
                    <w:autoSpaceDE/>
                    <w:autoSpaceDN/>
                    <w:bidi w:val="0"/>
                    <w:spacing w:line="240" w:lineRule="auto"/>
                    <w:ind w:firstLine="0" w:firstLineChars="0"/>
                    <w:jc w:val="center"/>
                    <w:rPr>
                      <w:rFonts w:hint="default" w:eastAsia="新宋体" w:cs="Times New Roman"/>
                      <w:color w:val="000000" w:themeColor="text1"/>
                      <w:kern w:val="2"/>
                      <w:sz w:val="21"/>
                      <w:szCs w:val="21"/>
                      <w:lang w:val="en-US" w:eastAsia="zh-CN" w:bidi="ar-SA"/>
                      <w14:textFill>
                        <w14:solidFill>
                          <w14:schemeClr w14:val="tx1"/>
                        </w14:solidFill>
                      </w14:textFill>
                    </w:rPr>
                  </w:pPr>
                  <w:r>
                    <w:rPr>
                      <w:rFonts w:hint="eastAsia" w:eastAsia="新宋体" w:cs="Times New Roman"/>
                      <w:color w:val="000000" w:themeColor="text1"/>
                      <w:kern w:val="2"/>
                      <w:sz w:val="21"/>
                      <w:szCs w:val="21"/>
                      <w:lang w:val="en-US" w:eastAsia="zh-CN" w:bidi="ar-SA"/>
                      <w14:textFill>
                        <w14:solidFill>
                          <w14:schemeClr w14:val="tx1"/>
                        </w14:solidFill>
                      </w14:textFill>
                    </w:rPr>
                    <w:t>噪声治理</w:t>
                  </w:r>
                </w:p>
              </w:tc>
              <w:tc>
                <w:tcPr>
                  <w:tcW w:w="3850" w:type="pct"/>
                  <w:tcBorders>
                    <w:tl2br w:val="nil"/>
                    <w:tr2bl w:val="nil"/>
                  </w:tcBorders>
                  <w:vAlign w:val="center"/>
                </w:tcPr>
                <w:p w14:paraId="06D18EF9">
                  <w:pPr>
                    <w:keepNext w:val="0"/>
                    <w:keepLines w:val="0"/>
                    <w:pageBreakBefore w:val="0"/>
                    <w:widowControl/>
                    <w:kinsoku/>
                    <w:wordWrap/>
                    <w:overflowPunct/>
                    <w:topLinePunct w:val="0"/>
                    <w:autoSpaceDE/>
                    <w:autoSpaceDN/>
                    <w:bidi w:val="0"/>
                    <w:spacing w:line="240" w:lineRule="auto"/>
                    <w:ind w:firstLine="0" w:firstLineChars="0"/>
                    <w:jc w:val="center"/>
                    <w:rPr>
                      <w:rFonts w:hint="default" w:eastAsia="新宋体" w:cs="Times New Roman"/>
                      <w:color w:val="000000" w:themeColor="text1"/>
                      <w:kern w:val="2"/>
                      <w:sz w:val="21"/>
                      <w:szCs w:val="21"/>
                      <w:lang w:val="en-US" w:eastAsia="zh-CN" w:bidi="ar-SA"/>
                      <w14:textFill>
                        <w14:solidFill>
                          <w14:schemeClr w14:val="tx1"/>
                        </w14:solidFill>
                      </w14:textFill>
                    </w:rPr>
                  </w:pPr>
                  <w:r>
                    <w:rPr>
                      <w:rFonts w:hint="eastAsia" w:eastAsia="新宋体" w:cs="Times New Roman"/>
                      <w:color w:val="000000" w:themeColor="text1"/>
                      <w:kern w:val="2"/>
                      <w:sz w:val="21"/>
                      <w:szCs w:val="21"/>
                      <w:lang w:val="en-US" w:eastAsia="zh-CN" w:bidi="ar-SA"/>
                      <w14:textFill>
                        <w14:solidFill>
                          <w14:schemeClr w14:val="tx1"/>
                        </w14:solidFill>
                      </w14:textFill>
                    </w:rPr>
                    <w:t>高噪声设备基础减震、厂房隔声处理</w:t>
                  </w:r>
                </w:p>
              </w:tc>
            </w:tr>
            <w:tr w14:paraId="12AB58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tcBorders>
                    <w:tl2br w:val="nil"/>
                    <w:tr2bl w:val="nil"/>
                  </w:tcBorders>
                  <w:vAlign w:val="center"/>
                </w:tcPr>
                <w:p w14:paraId="75B176DF">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eastAsia" w:eastAsia="新宋体" w:cs="Times New Roman"/>
                      <w:color w:val="000000" w:themeColor="text1"/>
                      <w:kern w:val="2"/>
                      <w:sz w:val="21"/>
                      <w:szCs w:val="21"/>
                      <w:lang w:val="en-US" w:eastAsia="zh-CN" w:bidi="ar-SA"/>
                      <w14:textFill>
                        <w14:solidFill>
                          <w14:schemeClr w14:val="tx1"/>
                        </w14:solidFill>
                      </w14:textFill>
                    </w:rPr>
                    <w:t>4</w:t>
                  </w:r>
                </w:p>
              </w:tc>
              <w:tc>
                <w:tcPr>
                  <w:tcW w:w="746" w:type="pct"/>
                  <w:tcBorders>
                    <w:tl2br w:val="nil"/>
                    <w:tr2bl w:val="nil"/>
                  </w:tcBorders>
                  <w:vAlign w:val="center"/>
                </w:tcPr>
                <w:p w14:paraId="0BE9BF3B">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eastAsia" w:eastAsia="新宋体" w:cs="Times New Roman"/>
                      <w:color w:val="000000" w:themeColor="text1"/>
                      <w:kern w:val="2"/>
                      <w:sz w:val="21"/>
                      <w:szCs w:val="21"/>
                      <w:lang w:val="en-US" w:eastAsia="zh-CN" w:bidi="ar-SA"/>
                      <w14:textFill>
                        <w14:solidFill>
                          <w14:schemeClr w14:val="tx1"/>
                        </w14:solidFill>
                      </w14:textFill>
                    </w:rPr>
                    <w:t>固废治理</w:t>
                  </w:r>
                </w:p>
              </w:tc>
              <w:tc>
                <w:tcPr>
                  <w:tcW w:w="3850" w:type="pct"/>
                  <w:tcBorders>
                    <w:tl2br w:val="nil"/>
                    <w:tr2bl w:val="nil"/>
                  </w:tcBorders>
                  <w:vAlign w:val="center"/>
                </w:tcPr>
                <w:p w14:paraId="06BDEE0C">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eastAsia" w:eastAsia="新宋体" w:cs="Times New Roman"/>
                      <w:color w:val="000000" w:themeColor="text1"/>
                      <w:kern w:val="2"/>
                      <w:sz w:val="21"/>
                      <w:szCs w:val="21"/>
                      <w:lang w:val="en-US" w:eastAsia="zh-CN" w:bidi="ar-SA"/>
                      <w14:textFill>
                        <w14:solidFill>
                          <w14:schemeClr w14:val="tx1"/>
                        </w14:solidFill>
                      </w14:textFill>
                    </w:rPr>
                    <w:t>设置一般固废堆场，设置危废暂存间</w:t>
                  </w:r>
                </w:p>
              </w:tc>
            </w:tr>
            <w:tr w14:paraId="27A5DA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tcBorders>
                    <w:tl2br w:val="nil"/>
                    <w:tr2bl w:val="nil"/>
                  </w:tcBorders>
                  <w:vAlign w:val="center"/>
                </w:tcPr>
                <w:p w14:paraId="284266F6">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eastAsia" w:eastAsia="新宋体" w:cs="Times New Roman"/>
                      <w:color w:val="000000" w:themeColor="text1"/>
                      <w:kern w:val="2"/>
                      <w:sz w:val="21"/>
                      <w:szCs w:val="21"/>
                      <w:lang w:val="en-US" w:eastAsia="zh-CN" w:bidi="ar-SA"/>
                      <w14:textFill>
                        <w14:solidFill>
                          <w14:schemeClr w14:val="tx1"/>
                        </w14:solidFill>
                      </w14:textFill>
                    </w:rPr>
                    <w:t>5</w:t>
                  </w:r>
                </w:p>
              </w:tc>
              <w:tc>
                <w:tcPr>
                  <w:tcW w:w="746" w:type="pct"/>
                  <w:tcBorders>
                    <w:tl2br w:val="nil"/>
                    <w:tr2bl w:val="nil"/>
                  </w:tcBorders>
                  <w:vAlign w:val="center"/>
                </w:tcPr>
                <w:p w14:paraId="1E48CD61">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新宋体" w:cs="Times New Roman"/>
                      <w:color w:val="000000" w:themeColor="text1"/>
                      <w:kern w:val="2"/>
                      <w:sz w:val="21"/>
                      <w:szCs w:val="21"/>
                      <w:lang w:val="en-US" w:eastAsia="zh-CN" w:bidi="ar-SA"/>
                      <w14:textFill>
                        <w14:solidFill>
                          <w14:schemeClr w14:val="tx1"/>
                        </w14:solidFill>
                      </w14:textFill>
                    </w:rPr>
                    <w:t>环保手续</w:t>
                  </w:r>
                </w:p>
              </w:tc>
              <w:tc>
                <w:tcPr>
                  <w:tcW w:w="3850" w:type="pct"/>
                  <w:tcBorders>
                    <w:tl2br w:val="nil"/>
                    <w:tr2bl w:val="nil"/>
                  </w:tcBorders>
                  <w:vAlign w:val="center"/>
                </w:tcPr>
                <w:p w14:paraId="1E3904E3">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新宋体" w:cs="Times New Roman"/>
                      <w:color w:val="000000" w:themeColor="text1"/>
                      <w:kern w:val="2"/>
                      <w:sz w:val="21"/>
                      <w:szCs w:val="21"/>
                      <w:lang w:val="en-US" w:eastAsia="zh-CN" w:bidi="ar-SA"/>
                      <w14:textFill>
                        <w14:solidFill>
                          <w14:schemeClr w14:val="tx1"/>
                        </w14:solidFill>
                      </w14:textFill>
                    </w:rPr>
                    <w:t>按照“</w:t>
                  </w:r>
                  <w:r>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t>登记管理</w:t>
                  </w:r>
                  <w:r>
                    <w:rPr>
                      <w:rFonts w:hint="eastAsia" w:ascii="Times New Roman" w:hAnsi="Times New Roman" w:eastAsia="新宋体"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t>申报排污许可证</w:t>
                  </w:r>
                </w:p>
              </w:tc>
            </w:tr>
          </w:tbl>
          <w:p w14:paraId="4141AEDE">
            <w:pPr>
              <w:pStyle w:val="24"/>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新宋体" w:cs="Times New Roman"/>
                <w:color w:val="000000" w:themeColor="text1"/>
                <w:kern w:val="2"/>
                <w:sz w:val="24"/>
                <w:szCs w:val="24"/>
                <w:highlight w:val="none"/>
                <w:lang w:val="en-US" w:eastAsia="zh-CN" w:bidi="ar-SA"/>
                <w14:textFill>
                  <w14:solidFill>
                    <w14:schemeClr w14:val="tx1"/>
                  </w14:solidFill>
                </w14:textFill>
              </w:rPr>
            </w:pPr>
          </w:p>
        </w:tc>
      </w:tr>
    </w:tbl>
    <w:p w14:paraId="7864C490">
      <w:pPr>
        <w:rPr>
          <w:rFonts w:hint="default" w:ascii="Times New Roman" w:hAnsi="Times New Roman" w:eastAsia="新宋体" w:cs="Times New Roman"/>
          <w:snapToGrid w:val="0"/>
          <w:color w:val="000000" w:themeColor="text1"/>
          <w14:textFill>
            <w14:solidFill>
              <w14:schemeClr w14:val="tx1"/>
            </w14:solidFill>
          </w14:textFill>
        </w:rPr>
      </w:pPr>
      <w:r>
        <w:rPr>
          <w:rFonts w:hint="default" w:ascii="Times New Roman" w:hAnsi="Times New Roman" w:eastAsia="新宋体" w:cs="Times New Roman"/>
          <w:snapToGrid w:val="0"/>
          <w:color w:val="000000" w:themeColor="text1"/>
          <w14:textFill>
            <w14:solidFill>
              <w14:schemeClr w14:val="tx1"/>
            </w14:solidFill>
          </w14:textFill>
        </w:rPr>
        <w:br w:type="page"/>
      </w:r>
    </w:p>
    <w:p w14:paraId="6572AD5E">
      <w:pPr>
        <w:ind w:firstLine="600"/>
        <w:jc w:val="center"/>
        <w:outlineLvl w:val="0"/>
        <w:rPr>
          <w:rFonts w:hint="default" w:ascii="Times New Roman" w:hAnsi="Times New Roman" w:eastAsia="新宋体" w:cs="Times New Roman"/>
          <w:snapToGrid w:val="0"/>
          <w:color w:val="000000" w:themeColor="text1"/>
          <w:sz w:val="30"/>
          <w:szCs w:val="30"/>
          <w14:textFill>
            <w14:solidFill>
              <w14:schemeClr w14:val="tx1"/>
            </w14:solidFill>
          </w14:textFill>
        </w:rPr>
      </w:pPr>
      <w:r>
        <w:rPr>
          <w:rFonts w:hint="default" w:ascii="Times New Roman" w:hAnsi="Times New Roman" w:eastAsia="新宋体" w:cs="Times New Roman"/>
          <w:snapToGrid w:val="0"/>
          <w:color w:val="000000" w:themeColor="text1"/>
          <w:sz w:val="30"/>
          <w:szCs w:val="30"/>
          <w14:textFill>
            <w14:solidFill>
              <w14:schemeClr w14:val="tx1"/>
            </w14:solidFill>
          </w14:textFill>
        </w:rPr>
        <w:t>三、区域环境质量现状、环境保护目标及评价标准</w:t>
      </w:r>
    </w:p>
    <w:tbl>
      <w:tblPr>
        <w:tblStyle w:val="28"/>
        <w:tblW w:w="9061"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633"/>
        <w:gridCol w:w="8428"/>
      </w:tblGrid>
      <w:tr w14:paraId="1F08E5B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92" w:hRule="atLeast"/>
          <w:jc w:val="center"/>
        </w:trPr>
        <w:tc>
          <w:tcPr>
            <w:tcW w:w="633" w:type="dxa"/>
            <w:tcBorders>
              <w:tl2br w:val="nil"/>
              <w:tr2bl w:val="nil"/>
            </w:tcBorders>
            <w:vAlign w:val="center"/>
          </w:tcPr>
          <w:p w14:paraId="6C960153">
            <w:pPr>
              <w:adjustRightInd w:val="0"/>
              <w:snapToGrid w:val="0"/>
              <w:ind w:firstLine="0" w:firstLineChars="0"/>
              <w:jc w:val="center"/>
              <w:rPr>
                <w:rFonts w:hint="default" w:ascii="Times New Roman" w:hAnsi="Times New Roman" w:eastAsia="新宋体" w:cs="Times New Roman"/>
                <w:color w:val="000000" w:themeColor="text1"/>
                <w14:textFill>
                  <w14:solidFill>
                    <w14:schemeClr w14:val="tx1"/>
                  </w14:solidFill>
                </w14:textFill>
              </w:rPr>
            </w:pPr>
            <w:r>
              <w:rPr>
                <w:rFonts w:hint="default" w:ascii="Times New Roman" w:hAnsi="Times New Roman" w:eastAsia="新宋体" w:cs="Times New Roman"/>
                <w:color w:val="000000" w:themeColor="text1"/>
                <w14:textFill>
                  <w14:solidFill>
                    <w14:schemeClr w14:val="tx1"/>
                  </w14:solidFill>
                </w14:textFill>
              </w:rPr>
              <w:t>区域</w:t>
            </w:r>
          </w:p>
          <w:p w14:paraId="68462486">
            <w:pPr>
              <w:adjustRightInd w:val="0"/>
              <w:snapToGrid w:val="0"/>
              <w:ind w:firstLine="0" w:firstLineChars="0"/>
              <w:jc w:val="center"/>
              <w:rPr>
                <w:rFonts w:hint="default" w:ascii="Times New Roman" w:hAnsi="Times New Roman" w:eastAsia="新宋体" w:cs="Times New Roman"/>
                <w:color w:val="000000" w:themeColor="text1"/>
                <w14:textFill>
                  <w14:solidFill>
                    <w14:schemeClr w14:val="tx1"/>
                  </w14:solidFill>
                </w14:textFill>
              </w:rPr>
            </w:pPr>
            <w:r>
              <w:rPr>
                <w:rFonts w:hint="default" w:ascii="Times New Roman" w:hAnsi="Times New Roman" w:eastAsia="新宋体" w:cs="Times New Roman"/>
                <w:color w:val="000000" w:themeColor="text1"/>
                <w14:textFill>
                  <w14:solidFill>
                    <w14:schemeClr w14:val="tx1"/>
                  </w14:solidFill>
                </w14:textFill>
              </w:rPr>
              <w:t>环境</w:t>
            </w:r>
          </w:p>
          <w:p w14:paraId="5BEDBED9">
            <w:pPr>
              <w:adjustRightInd w:val="0"/>
              <w:snapToGrid w:val="0"/>
              <w:ind w:firstLine="0" w:firstLineChars="0"/>
              <w:jc w:val="center"/>
              <w:rPr>
                <w:rFonts w:hint="default" w:ascii="Times New Roman" w:hAnsi="Times New Roman" w:eastAsia="新宋体" w:cs="Times New Roman"/>
                <w:color w:val="000000" w:themeColor="text1"/>
                <w14:textFill>
                  <w14:solidFill>
                    <w14:schemeClr w14:val="tx1"/>
                  </w14:solidFill>
                </w14:textFill>
              </w:rPr>
            </w:pPr>
            <w:r>
              <w:rPr>
                <w:rFonts w:hint="default" w:ascii="Times New Roman" w:hAnsi="Times New Roman" w:eastAsia="新宋体" w:cs="Times New Roman"/>
                <w:color w:val="000000" w:themeColor="text1"/>
                <w14:textFill>
                  <w14:solidFill>
                    <w14:schemeClr w14:val="tx1"/>
                  </w14:solidFill>
                </w14:textFill>
              </w:rPr>
              <w:t>质量</w:t>
            </w:r>
          </w:p>
          <w:p w14:paraId="75F28C65">
            <w:pPr>
              <w:adjustRightInd w:val="0"/>
              <w:snapToGrid w:val="0"/>
              <w:ind w:firstLine="0" w:firstLineChars="0"/>
              <w:jc w:val="center"/>
              <w:rPr>
                <w:rFonts w:hint="default" w:ascii="Times New Roman" w:hAnsi="Times New Roman" w:eastAsia="新宋体" w:cs="Times New Roman"/>
                <w:color w:val="000000" w:themeColor="text1"/>
                <w:kern w:val="0"/>
                <w:szCs w:val="21"/>
                <w14:textFill>
                  <w14:solidFill>
                    <w14:schemeClr w14:val="tx1"/>
                  </w14:solidFill>
                </w14:textFill>
              </w:rPr>
            </w:pPr>
            <w:r>
              <w:rPr>
                <w:rFonts w:hint="default" w:ascii="Times New Roman" w:hAnsi="Times New Roman" w:eastAsia="新宋体" w:cs="Times New Roman"/>
                <w:color w:val="000000" w:themeColor="text1"/>
                <w14:textFill>
                  <w14:solidFill>
                    <w14:schemeClr w14:val="tx1"/>
                  </w14:solidFill>
                </w14:textFill>
              </w:rPr>
              <w:t>现状</w:t>
            </w:r>
          </w:p>
        </w:tc>
        <w:tc>
          <w:tcPr>
            <w:tcW w:w="8428" w:type="dxa"/>
            <w:tcBorders>
              <w:tl2br w:val="nil"/>
              <w:tr2bl w:val="nil"/>
            </w:tcBorders>
            <w:vAlign w:val="center"/>
          </w:tcPr>
          <w:p w14:paraId="4A5D5E2C">
            <w:pPr>
              <w:spacing w:line="360" w:lineRule="auto"/>
              <w:jc w:val="left"/>
              <w:rPr>
                <w:rFonts w:hint="default" w:ascii="Times New Roman" w:hAnsi="Times New Roman" w:eastAsia="新宋体" w:cs="Times New Roman"/>
                <w:b/>
                <w:color w:val="000000" w:themeColor="text1"/>
                <w:sz w:val="24"/>
                <w:lang w:val="en-US" w:eastAsia="zh-CN"/>
                <w14:textFill>
                  <w14:solidFill>
                    <w14:schemeClr w14:val="tx1"/>
                  </w14:solidFill>
                </w14:textFill>
              </w:rPr>
            </w:pPr>
            <w:r>
              <w:rPr>
                <w:rFonts w:hint="default" w:ascii="Times New Roman" w:hAnsi="Times New Roman" w:eastAsia="新宋体" w:cs="Times New Roman"/>
                <w:b/>
                <w:color w:val="000000" w:themeColor="text1"/>
                <w:sz w:val="24"/>
                <w:lang w:val="en-US" w:eastAsia="zh-CN"/>
                <w14:textFill>
                  <w14:solidFill>
                    <w14:schemeClr w14:val="tx1"/>
                  </w14:solidFill>
                </w14:textFill>
              </w:rPr>
              <w:t>1、大气质量环境现状</w:t>
            </w:r>
          </w:p>
          <w:p w14:paraId="0EEE5D1A">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新宋体" w:cs="Times New Roman"/>
                <w:b/>
                <w:bCs/>
                <w:color w:val="000000" w:themeColor="text1"/>
                <w:sz w:val="24"/>
                <w:lang w:val="en-US" w:eastAsia="zh-CN"/>
                <w14:textFill>
                  <w14:solidFill>
                    <w14:schemeClr w14:val="tx1"/>
                  </w14:solidFill>
                </w14:textFill>
              </w:rPr>
            </w:pPr>
            <w:r>
              <w:rPr>
                <w:rFonts w:hint="default" w:ascii="Times New Roman" w:hAnsi="Times New Roman" w:eastAsia="新宋体" w:cs="Times New Roman"/>
                <w:b/>
                <w:bCs/>
                <w:color w:val="000000" w:themeColor="text1"/>
                <w:sz w:val="24"/>
                <w:lang w:val="en-US" w:eastAsia="zh-CN"/>
                <w14:textFill>
                  <w14:solidFill>
                    <w14:schemeClr w14:val="tx1"/>
                  </w14:solidFill>
                </w14:textFill>
              </w:rPr>
              <w:t>1.1基本污染物质量现状</w:t>
            </w:r>
          </w:p>
          <w:p w14:paraId="55D5BD71">
            <w:pPr>
              <w:spacing w:line="360" w:lineRule="auto"/>
              <w:ind w:firstLine="480" w:firstLineChars="200"/>
              <w:rPr>
                <w:rFonts w:hint="default" w:ascii="Times New Roman" w:hAnsi="Times New Roman" w:eastAsia="新宋体" w:cs="Times New Roman"/>
                <w:color w:val="000000" w:themeColor="text1"/>
                <w:sz w:val="24"/>
                <w14:textFill>
                  <w14:solidFill>
                    <w14:schemeClr w14:val="tx1"/>
                  </w14:solidFill>
                </w14:textFill>
              </w:rPr>
            </w:pPr>
            <w:r>
              <w:rPr>
                <w:rFonts w:hint="default" w:ascii="Times New Roman" w:hAnsi="Times New Roman" w:eastAsia="新宋体" w:cs="Times New Roman"/>
                <w:color w:val="000000" w:themeColor="text1"/>
                <w:sz w:val="24"/>
                <w14:textFill>
                  <w14:solidFill>
                    <w14:schemeClr w14:val="tx1"/>
                  </w14:solidFill>
                </w14:textFill>
              </w:rPr>
              <w:t>（1）数据来源</w:t>
            </w:r>
          </w:p>
          <w:p w14:paraId="19CD9F7B">
            <w:pPr>
              <w:spacing w:line="360" w:lineRule="auto"/>
              <w:ind w:firstLine="480" w:firstLineChars="200"/>
              <w:rPr>
                <w:rFonts w:hint="default" w:ascii="Times New Roman" w:hAnsi="Times New Roman" w:eastAsia="新宋体" w:cs="Times New Roman"/>
                <w:color w:val="000000" w:themeColor="text1"/>
                <w:sz w:val="24"/>
                <w14:textFill>
                  <w14:solidFill>
                    <w14:schemeClr w14:val="tx1"/>
                  </w14:solidFill>
                </w14:textFill>
              </w:rPr>
            </w:pPr>
            <w:r>
              <w:rPr>
                <w:rFonts w:hint="default" w:ascii="Times New Roman" w:hAnsi="Times New Roman" w:eastAsia="新宋体" w:cs="Times New Roman"/>
                <w:color w:val="000000" w:themeColor="text1"/>
                <w:sz w:val="24"/>
                <w14:textFill>
                  <w14:solidFill>
                    <w14:schemeClr w14:val="tx1"/>
                  </w14:solidFill>
                </w14:textFill>
              </w:rPr>
              <w:t>根据《环境影响评价技术导则-大气环境》（HJ2.2-2018），本项目进行空气环境达标区的判定和区域各污染物的环境质量现状评价。本项目位于新疆维吾尔自治区巴音郭楞蒙古自治州</w:t>
            </w:r>
            <w:r>
              <w:rPr>
                <w:rFonts w:hint="eastAsia" w:eastAsia="新宋体" w:cs="Times New Roman"/>
                <w:color w:val="000000" w:themeColor="text1"/>
                <w:sz w:val="24"/>
                <w:lang w:val="en-US" w:eastAsia="zh-CN"/>
                <w14:textFill>
                  <w14:solidFill>
                    <w14:schemeClr w14:val="tx1"/>
                  </w14:solidFill>
                </w14:textFill>
              </w:rPr>
              <w:t>和硕</w:t>
            </w:r>
            <w:r>
              <w:rPr>
                <w:rFonts w:hint="default" w:ascii="Times New Roman" w:hAnsi="Times New Roman" w:eastAsia="新宋体" w:cs="Times New Roman"/>
                <w:color w:val="000000" w:themeColor="text1"/>
                <w:sz w:val="24"/>
                <w14:textFill>
                  <w14:solidFill>
                    <w14:schemeClr w14:val="tx1"/>
                  </w14:solidFill>
                </w14:textFill>
              </w:rPr>
              <w:t>县，本次选取</w:t>
            </w:r>
            <w:r>
              <w:rPr>
                <w:rFonts w:hint="eastAsia" w:eastAsia="新宋体" w:cs="Times New Roman"/>
                <w:color w:val="000000" w:themeColor="text1"/>
                <w:sz w:val="24"/>
                <w:lang w:val="en-US" w:eastAsia="zh-CN"/>
                <w14:textFill>
                  <w14:solidFill>
                    <w14:schemeClr w14:val="tx1"/>
                  </w14:solidFill>
                </w14:textFill>
              </w:rPr>
              <w:t>和硕县自动</w:t>
            </w:r>
            <w:r>
              <w:rPr>
                <w:rFonts w:hint="default" w:ascii="Times New Roman" w:hAnsi="Times New Roman" w:eastAsia="新宋体" w:cs="Times New Roman"/>
                <w:color w:val="000000" w:themeColor="text1"/>
                <w:sz w:val="24"/>
                <w14:textFill>
                  <w14:solidFill>
                    <w14:schemeClr w14:val="tx1"/>
                  </w14:solidFill>
                </w14:textFill>
              </w:rPr>
              <w:t>监测站202</w:t>
            </w:r>
            <w:r>
              <w:rPr>
                <w:rFonts w:hint="eastAsia" w:eastAsia="新宋体" w:cs="Times New Roman"/>
                <w:color w:val="000000" w:themeColor="text1"/>
                <w:sz w:val="24"/>
                <w:lang w:val="en-US" w:eastAsia="zh-CN"/>
                <w14:textFill>
                  <w14:solidFill>
                    <w14:schemeClr w14:val="tx1"/>
                  </w14:solidFill>
                </w14:textFill>
              </w:rPr>
              <w:t>2</w:t>
            </w:r>
            <w:r>
              <w:rPr>
                <w:rFonts w:hint="default" w:ascii="Times New Roman" w:hAnsi="Times New Roman" w:eastAsia="新宋体" w:cs="Times New Roman"/>
                <w:color w:val="000000" w:themeColor="text1"/>
                <w:sz w:val="24"/>
                <w14:textFill>
                  <w14:solidFill>
                    <w14:schemeClr w14:val="tx1"/>
                  </w14:solidFill>
                </w14:textFill>
              </w:rPr>
              <w:t>年的监测数据，作为本项目环境空气现状评价基本污染物SO</w:t>
            </w:r>
            <w:r>
              <w:rPr>
                <w:rFonts w:hint="default" w:ascii="Times New Roman" w:hAnsi="Times New Roman" w:eastAsia="新宋体" w:cs="Times New Roman"/>
                <w:color w:val="000000" w:themeColor="text1"/>
                <w:sz w:val="24"/>
                <w:vertAlign w:val="subscript"/>
                <w14:textFill>
                  <w14:solidFill>
                    <w14:schemeClr w14:val="tx1"/>
                  </w14:solidFill>
                </w14:textFill>
              </w:rPr>
              <w:t>2</w:t>
            </w:r>
            <w:r>
              <w:rPr>
                <w:rFonts w:hint="default" w:ascii="Times New Roman" w:hAnsi="Times New Roman" w:eastAsia="新宋体" w:cs="Times New Roman"/>
                <w:color w:val="000000" w:themeColor="text1"/>
                <w:sz w:val="24"/>
                <w14:textFill>
                  <w14:solidFill>
                    <w14:schemeClr w14:val="tx1"/>
                  </w14:solidFill>
                </w14:textFill>
              </w:rPr>
              <w:t>、NO</w:t>
            </w:r>
            <w:r>
              <w:rPr>
                <w:rFonts w:hint="default" w:ascii="Times New Roman" w:hAnsi="Times New Roman" w:eastAsia="新宋体" w:cs="Times New Roman"/>
                <w:color w:val="000000" w:themeColor="text1"/>
                <w:sz w:val="24"/>
                <w:vertAlign w:val="subscript"/>
                <w14:textFill>
                  <w14:solidFill>
                    <w14:schemeClr w14:val="tx1"/>
                  </w14:solidFill>
                </w14:textFill>
              </w:rPr>
              <w:t>2</w:t>
            </w:r>
            <w:r>
              <w:rPr>
                <w:rFonts w:hint="default" w:ascii="Times New Roman" w:hAnsi="Times New Roman" w:eastAsia="新宋体" w:cs="Times New Roman"/>
                <w:color w:val="000000" w:themeColor="text1"/>
                <w:sz w:val="24"/>
                <w14:textFill>
                  <w14:solidFill>
                    <w14:schemeClr w14:val="tx1"/>
                  </w14:solidFill>
                </w14:textFill>
              </w:rPr>
              <w:t>、PM</w:t>
            </w:r>
            <w:r>
              <w:rPr>
                <w:rFonts w:hint="default" w:ascii="Times New Roman" w:hAnsi="Times New Roman" w:eastAsia="新宋体" w:cs="Times New Roman"/>
                <w:color w:val="000000" w:themeColor="text1"/>
                <w:sz w:val="24"/>
                <w:vertAlign w:val="subscript"/>
                <w14:textFill>
                  <w14:solidFill>
                    <w14:schemeClr w14:val="tx1"/>
                  </w14:solidFill>
                </w14:textFill>
              </w:rPr>
              <w:t>10</w:t>
            </w:r>
            <w:r>
              <w:rPr>
                <w:rFonts w:hint="default" w:ascii="Times New Roman" w:hAnsi="Times New Roman" w:eastAsia="新宋体" w:cs="Times New Roman"/>
                <w:color w:val="000000" w:themeColor="text1"/>
                <w:sz w:val="24"/>
                <w14:textFill>
                  <w14:solidFill>
                    <w14:schemeClr w14:val="tx1"/>
                  </w14:solidFill>
                </w14:textFill>
              </w:rPr>
              <w:t>、PM</w:t>
            </w:r>
            <w:r>
              <w:rPr>
                <w:rFonts w:hint="default" w:ascii="Times New Roman" w:hAnsi="Times New Roman" w:eastAsia="新宋体" w:cs="Times New Roman"/>
                <w:color w:val="000000" w:themeColor="text1"/>
                <w:sz w:val="24"/>
                <w:vertAlign w:val="subscript"/>
                <w14:textFill>
                  <w14:solidFill>
                    <w14:schemeClr w14:val="tx1"/>
                  </w14:solidFill>
                </w14:textFill>
              </w:rPr>
              <w:t>2.5</w:t>
            </w:r>
            <w:r>
              <w:rPr>
                <w:rFonts w:hint="default" w:ascii="Times New Roman" w:hAnsi="Times New Roman" w:eastAsia="新宋体" w:cs="Times New Roman"/>
                <w:color w:val="000000" w:themeColor="text1"/>
                <w:sz w:val="24"/>
                <w14:textFill>
                  <w14:solidFill>
                    <w14:schemeClr w14:val="tx1"/>
                  </w14:solidFill>
                </w14:textFill>
              </w:rPr>
              <w:t>、CO和O</w:t>
            </w:r>
            <w:r>
              <w:rPr>
                <w:rFonts w:hint="default" w:ascii="Times New Roman" w:hAnsi="Times New Roman" w:eastAsia="新宋体" w:cs="Times New Roman"/>
                <w:color w:val="000000" w:themeColor="text1"/>
                <w:sz w:val="24"/>
                <w:vertAlign w:val="subscript"/>
                <w14:textFill>
                  <w14:solidFill>
                    <w14:schemeClr w14:val="tx1"/>
                  </w14:solidFill>
                </w14:textFill>
              </w:rPr>
              <w:t>3</w:t>
            </w:r>
            <w:r>
              <w:rPr>
                <w:rFonts w:hint="default" w:ascii="Times New Roman" w:hAnsi="Times New Roman" w:eastAsia="新宋体" w:cs="Times New Roman"/>
                <w:color w:val="000000" w:themeColor="text1"/>
                <w:sz w:val="24"/>
                <w14:textFill>
                  <w14:solidFill>
                    <w14:schemeClr w14:val="tx1"/>
                  </w14:solidFill>
                </w14:textFill>
              </w:rPr>
              <w:t>的数据来源。202</w:t>
            </w:r>
            <w:r>
              <w:rPr>
                <w:rFonts w:hint="eastAsia" w:eastAsia="新宋体" w:cs="Times New Roman"/>
                <w:color w:val="000000" w:themeColor="text1"/>
                <w:sz w:val="24"/>
                <w:lang w:val="en-US" w:eastAsia="zh-CN"/>
                <w14:textFill>
                  <w14:solidFill>
                    <w14:schemeClr w14:val="tx1"/>
                  </w14:solidFill>
                </w14:textFill>
              </w:rPr>
              <w:t>2</w:t>
            </w:r>
            <w:r>
              <w:rPr>
                <w:rFonts w:hint="default" w:ascii="Times New Roman" w:hAnsi="Times New Roman" w:eastAsia="新宋体" w:cs="Times New Roman"/>
                <w:color w:val="000000" w:themeColor="text1"/>
                <w:sz w:val="24"/>
                <w14:textFill>
                  <w14:solidFill>
                    <w14:schemeClr w14:val="tx1"/>
                  </w14:solidFill>
                </w14:textFill>
              </w:rPr>
              <w:t>年</w:t>
            </w:r>
            <w:r>
              <w:rPr>
                <w:rFonts w:hint="eastAsia" w:eastAsia="新宋体" w:cs="Times New Roman"/>
                <w:color w:val="000000" w:themeColor="text1"/>
                <w:sz w:val="24"/>
                <w:lang w:val="en-US" w:eastAsia="zh-CN"/>
                <w14:textFill>
                  <w14:solidFill>
                    <w14:schemeClr w14:val="tx1"/>
                  </w14:solidFill>
                </w14:textFill>
              </w:rPr>
              <w:t>和硕县</w:t>
            </w:r>
            <w:r>
              <w:rPr>
                <w:rFonts w:hint="default" w:ascii="Times New Roman" w:hAnsi="Times New Roman" w:eastAsia="新宋体" w:cs="Times New Roman"/>
                <w:color w:val="000000" w:themeColor="text1"/>
                <w:sz w:val="24"/>
                <w14:textFill>
                  <w14:solidFill>
                    <w14:schemeClr w14:val="tx1"/>
                  </w14:solidFill>
                </w14:textFill>
              </w:rPr>
              <w:t>环境空气质量见表</w:t>
            </w:r>
            <w:r>
              <w:rPr>
                <w:rFonts w:hint="default" w:ascii="Times New Roman" w:hAnsi="Times New Roman" w:eastAsia="新宋体" w:cs="Times New Roman"/>
                <w:color w:val="000000" w:themeColor="text1"/>
                <w:sz w:val="24"/>
                <w:lang w:val="en-US" w:eastAsia="zh-CN"/>
                <w14:textFill>
                  <w14:solidFill>
                    <w14:schemeClr w14:val="tx1"/>
                  </w14:solidFill>
                </w14:textFill>
              </w:rPr>
              <w:t>3-1</w:t>
            </w:r>
            <w:r>
              <w:rPr>
                <w:rFonts w:hint="default" w:ascii="Times New Roman" w:hAnsi="Times New Roman" w:eastAsia="新宋体" w:cs="Times New Roman"/>
                <w:color w:val="000000" w:themeColor="text1"/>
                <w:sz w:val="24"/>
                <w14:textFill>
                  <w14:solidFill>
                    <w14:schemeClr w14:val="tx1"/>
                  </w14:solidFill>
                </w14:textFill>
              </w:rPr>
              <w:t>。</w:t>
            </w:r>
          </w:p>
          <w:p w14:paraId="226A18D3">
            <w:pPr>
              <w:keepNext w:val="0"/>
              <w:keepLines w:val="0"/>
              <w:suppressLineNumbers w:val="0"/>
              <w:spacing w:before="0" w:beforeLines="0" w:beforeAutospacing="0" w:after="0" w:afterLines="0" w:afterAutospacing="0" w:line="240" w:lineRule="auto"/>
              <w:ind w:left="0" w:right="0"/>
              <w:jc w:val="center"/>
              <w:textAlignment w:val="center"/>
              <w:rPr>
                <w:rFonts w:hint="default" w:ascii="Times New Roman" w:hAnsi="Times New Roman" w:eastAsia="新宋体" w:cs="Times New Roman"/>
                <w:b/>
                <w:color w:val="000000" w:themeColor="text1"/>
                <w:sz w:val="21"/>
                <w:szCs w:val="24"/>
                <w:lang w:val="en-US" w:eastAsia="zh-CN"/>
                <w14:textFill>
                  <w14:solidFill>
                    <w14:schemeClr w14:val="tx1"/>
                  </w14:solidFill>
                </w14:textFill>
              </w:rPr>
            </w:pPr>
            <w:r>
              <w:rPr>
                <w:rFonts w:hint="default" w:ascii="Times New Roman" w:hAnsi="Times New Roman" w:eastAsia="新宋体" w:cs="Times New Roman"/>
                <w:b/>
                <w:color w:val="000000" w:themeColor="text1"/>
                <w:sz w:val="21"/>
                <w:szCs w:val="24"/>
                <w:lang w:val="en-US" w:eastAsia="zh-CN"/>
                <w14:textFill>
                  <w14:solidFill>
                    <w14:schemeClr w14:val="tx1"/>
                  </w14:solidFill>
                </w14:textFill>
              </w:rPr>
              <w:t>表3-1区域空气质量现状评价表</w:t>
            </w:r>
          </w:p>
          <w:tbl>
            <w:tblPr>
              <w:tblStyle w:val="83"/>
              <w:tblW w:w="820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003"/>
              <w:gridCol w:w="2804"/>
              <w:gridCol w:w="1730"/>
              <w:gridCol w:w="1556"/>
              <w:gridCol w:w="1111"/>
            </w:tblGrid>
            <w:tr w14:paraId="59D247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7" w:hRule="atLeast"/>
                <w:jc w:val="center"/>
              </w:trPr>
              <w:tc>
                <w:tcPr>
                  <w:tcW w:w="611" w:type="pct"/>
                  <w:tcBorders>
                    <w:tl2br w:val="nil"/>
                    <w:tr2bl w:val="nil"/>
                  </w:tcBorders>
                  <w:vAlign w:val="center"/>
                </w:tcPr>
                <w:p w14:paraId="4EB81093">
                  <w:pPr>
                    <w:autoSpaceDE/>
                    <w:autoSpaceDN/>
                    <w:spacing w:line="240" w:lineRule="auto"/>
                    <w:ind w:firstLine="0" w:firstLineChars="0"/>
                    <w:jc w:val="cente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t>评价因子</w:t>
                  </w:r>
                </w:p>
              </w:tc>
              <w:tc>
                <w:tcPr>
                  <w:tcW w:w="1708" w:type="pct"/>
                  <w:tcBorders>
                    <w:tl2br w:val="nil"/>
                    <w:tr2bl w:val="nil"/>
                  </w:tcBorders>
                  <w:vAlign w:val="center"/>
                </w:tcPr>
                <w:p w14:paraId="634FC888">
                  <w:pPr>
                    <w:autoSpaceDE/>
                    <w:autoSpaceDN/>
                    <w:spacing w:line="240" w:lineRule="auto"/>
                    <w:ind w:firstLine="0" w:firstLineChars="0"/>
                    <w:jc w:val="cente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t>年评价指标</w:t>
                  </w:r>
                </w:p>
              </w:tc>
              <w:tc>
                <w:tcPr>
                  <w:tcW w:w="1054" w:type="pct"/>
                  <w:tcBorders>
                    <w:tl2br w:val="nil"/>
                    <w:tr2bl w:val="nil"/>
                  </w:tcBorders>
                  <w:vAlign w:val="center"/>
                </w:tcPr>
                <w:p w14:paraId="519C8385">
                  <w:pPr>
                    <w:autoSpaceDE/>
                    <w:autoSpaceDN/>
                    <w:spacing w:line="240" w:lineRule="auto"/>
                    <w:ind w:firstLine="0" w:firstLineChars="0"/>
                    <w:jc w:val="cente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t>现状浓度</w:t>
                  </w:r>
                </w:p>
                <w:p w14:paraId="73480738">
                  <w:pPr>
                    <w:autoSpaceDE/>
                    <w:autoSpaceDN/>
                    <w:spacing w:line="240" w:lineRule="auto"/>
                    <w:ind w:firstLine="0" w:firstLineChars="0"/>
                    <w:jc w:val="cente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pPr>
                  <w:r>
                    <w:rPr>
                      <w:rFonts w:hint="eastAsia" w:eastAsia="新宋体"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t>μg/m</w:t>
                  </w:r>
                  <w:r>
                    <w:rPr>
                      <w:rFonts w:hint="default" w:ascii="Times New Roman" w:hAnsi="Times New Roman" w:eastAsia="新宋体" w:cs="Times New Roman"/>
                      <w:color w:val="000000" w:themeColor="text1"/>
                      <w:kern w:val="2"/>
                      <w:sz w:val="21"/>
                      <w:szCs w:val="21"/>
                      <w:vertAlign w:val="superscript"/>
                      <w:lang w:val="en-US" w:bidi="ar-SA"/>
                      <w14:textFill>
                        <w14:solidFill>
                          <w14:schemeClr w14:val="tx1"/>
                        </w14:solidFill>
                      </w14:textFill>
                    </w:rPr>
                    <w:t>3</w:t>
                  </w:r>
                  <w:r>
                    <w:rPr>
                      <w:rFonts w:hint="eastAsia" w:eastAsia="新宋体" w:cs="Times New Roman"/>
                      <w:color w:val="000000" w:themeColor="text1"/>
                      <w:kern w:val="2"/>
                      <w:sz w:val="21"/>
                      <w:szCs w:val="21"/>
                      <w:lang w:val="en-US" w:eastAsia="zh-CN" w:bidi="ar-SA"/>
                      <w14:textFill>
                        <w14:solidFill>
                          <w14:schemeClr w14:val="tx1"/>
                        </w14:solidFill>
                      </w14:textFill>
                    </w:rPr>
                    <w:t>）</w:t>
                  </w:r>
                </w:p>
              </w:tc>
              <w:tc>
                <w:tcPr>
                  <w:tcW w:w="948" w:type="pct"/>
                  <w:tcBorders>
                    <w:tl2br w:val="nil"/>
                    <w:tr2bl w:val="nil"/>
                  </w:tcBorders>
                  <w:vAlign w:val="center"/>
                </w:tcPr>
                <w:p w14:paraId="1A8C7557">
                  <w:pPr>
                    <w:autoSpaceDE/>
                    <w:autoSpaceDN/>
                    <w:spacing w:line="240" w:lineRule="auto"/>
                    <w:ind w:firstLine="0" w:firstLineChars="0"/>
                    <w:jc w:val="cente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t>标准限值</w:t>
                  </w:r>
                  <w:r>
                    <w:rPr>
                      <w:rFonts w:hint="eastAsia" w:eastAsia="新宋体"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t>μg/m</w:t>
                  </w:r>
                  <w:r>
                    <w:rPr>
                      <w:rFonts w:hint="default" w:ascii="Times New Roman" w:hAnsi="Times New Roman" w:eastAsia="新宋体" w:cs="Times New Roman"/>
                      <w:color w:val="000000" w:themeColor="text1"/>
                      <w:kern w:val="2"/>
                      <w:sz w:val="21"/>
                      <w:szCs w:val="21"/>
                      <w:vertAlign w:val="superscript"/>
                      <w:lang w:val="en-US" w:bidi="ar-SA"/>
                      <w14:textFill>
                        <w14:solidFill>
                          <w14:schemeClr w14:val="tx1"/>
                        </w14:solidFill>
                      </w14:textFill>
                    </w:rPr>
                    <w:t>3</w:t>
                  </w:r>
                  <w:r>
                    <w:rPr>
                      <w:rFonts w:hint="eastAsia" w:eastAsia="新宋体" w:cs="Times New Roman"/>
                      <w:color w:val="000000" w:themeColor="text1"/>
                      <w:kern w:val="2"/>
                      <w:sz w:val="21"/>
                      <w:szCs w:val="21"/>
                      <w:lang w:val="en-US" w:eastAsia="zh-CN" w:bidi="ar-SA"/>
                      <w14:textFill>
                        <w14:solidFill>
                          <w14:schemeClr w14:val="tx1"/>
                        </w14:solidFill>
                      </w14:textFill>
                    </w:rPr>
                    <w:t>）</w:t>
                  </w:r>
                </w:p>
              </w:tc>
              <w:tc>
                <w:tcPr>
                  <w:tcW w:w="677" w:type="pct"/>
                  <w:tcBorders>
                    <w:tl2br w:val="nil"/>
                    <w:tr2bl w:val="nil"/>
                  </w:tcBorders>
                  <w:vAlign w:val="center"/>
                </w:tcPr>
                <w:p w14:paraId="5C5EF86D">
                  <w:pPr>
                    <w:autoSpaceDE/>
                    <w:autoSpaceDN/>
                    <w:spacing w:line="240" w:lineRule="auto"/>
                    <w:ind w:firstLine="0" w:firstLineChars="0"/>
                    <w:jc w:val="cente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t>达标情况</w:t>
                  </w:r>
                </w:p>
              </w:tc>
            </w:tr>
            <w:tr w14:paraId="69BB45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611" w:type="pct"/>
                  <w:tcBorders>
                    <w:tl2br w:val="nil"/>
                    <w:tr2bl w:val="nil"/>
                  </w:tcBorders>
                  <w:vAlign w:val="center"/>
                </w:tcPr>
                <w:p w14:paraId="3E93619A">
                  <w:pPr>
                    <w:autoSpaceDE/>
                    <w:autoSpaceDN/>
                    <w:spacing w:line="240" w:lineRule="auto"/>
                    <w:ind w:firstLine="0" w:firstLineChars="0"/>
                    <w:jc w:val="cente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t>SO</w:t>
                  </w:r>
                  <w:r>
                    <w:rPr>
                      <w:rFonts w:hint="default" w:ascii="Times New Roman" w:hAnsi="Times New Roman" w:eastAsia="新宋体" w:cs="Times New Roman"/>
                      <w:color w:val="000000" w:themeColor="text1"/>
                      <w:kern w:val="2"/>
                      <w:sz w:val="21"/>
                      <w:szCs w:val="21"/>
                      <w:vertAlign w:val="subscript"/>
                      <w:lang w:val="en-US" w:bidi="ar-SA"/>
                      <w14:textFill>
                        <w14:solidFill>
                          <w14:schemeClr w14:val="tx1"/>
                        </w14:solidFill>
                      </w14:textFill>
                    </w:rPr>
                    <w:t>2</w:t>
                  </w:r>
                </w:p>
              </w:tc>
              <w:tc>
                <w:tcPr>
                  <w:tcW w:w="1708" w:type="pct"/>
                  <w:tcBorders>
                    <w:tl2br w:val="nil"/>
                    <w:tr2bl w:val="nil"/>
                  </w:tcBorders>
                  <w:vAlign w:val="center"/>
                </w:tcPr>
                <w:p w14:paraId="60086763">
                  <w:pPr>
                    <w:autoSpaceDE/>
                    <w:autoSpaceDN/>
                    <w:spacing w:line="240" w:lineRule="auto"/>
                    <w:ind w:firstLine="0" w:firstLineChars="0"/>
                    <w:jc w:val="cente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t>年平均浓度</w:t>
                  </w:r>
                </w:p>
              </w:tc>
              <w:tc>
                <w:tcPr>
                  <w:tcW w:w="1054" w:type="pct"/>
                  <w:tcBorders>
                    <w:tl2br w:val="nil"/>
                    <w:tr2bl w:val="nil"/>
                  </w:tcBorders>
                  <w:vAlign w:val="center"/>
                </w:tcPr>
                <w:p w14:paraId="516C6252">
                  <w:pPr>
                    <w:autoSpaceDE/>
                    <w:autoSpaceDN/>
                    <w:spacing w:line="240" w:lineRule="auto"/>
                    <w:ind w:firstLine="0" w:firstLineChars="0"/>
                    <w:jc w:val="cente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t>11</w:t>
                  </w:r>
                </w:p>
              </w:tc>
              <w:tc>
                <w:tcPr>
                  <w:tcW w:w="948" w:type="pct"/>
                  <w:tcBorders>
                    <w:tl2br w:val="nil"/>
                    <w:tr2bl w:val="nil"/>
                  </w:tcBorders>
                  <w:vAlign w:val="center"/>
                </w:tcPr>
                <w:p w14:paraId="4435148F">
                  <w:pPr>
                    <w:autoSpaceDE/>
                    <w:autoSpaceDN/>
                    <w:spacing w:line="240" w:lineRule="auto"/>
                    <w:ind w:firstLine="0" w:firstLineChars="0"/>
                    <w:jc w:val="cente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t>60</w:t>
                  </w:r>
                </w:p>
              </w:tc>
              <w:tc>
                <w:tcPr>
                  <w:tcW w:w="677" w:type="pct"/>
                  <w:tcBorders>
                    <w:tl2br w:val="nil"/>
                    <w:tr2bl w:val="nil"/>
                  </w:tcBorders>
                  <w:vAlign w:val="center"/>
                </w:tcPr>
                <w:p w14:paraId="419C12D9">
                  <w:pPr>
                    <w:autoSpaceDE/>
                    <w:autoSpaceDN/>
                    <w:spacing w:line="240" w:lineRule="auto"/>
                    <w:ind w:firstLine="0" w:firstLineChars="0"/>
                    <w:jc w:val="cente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t>达标</w:t>
                  </w:r>
                </w:p>
              </w:tc>
            </w:tr>
            <w:tr w14:paraId="502636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611" w:type="pct"/>
                  <w:tcBorders>
                    <w:tl2br w:val="nil"/>
                    <w:tr2bl w:val="nil"/>
                  </w:tcBorders>
                  <w:vAlign w:val="center"/>
                </w:tcPr>
                <w:p w14:paraId="2D2CBF23">
                  <w:pPr>
                    <w:autoSpaceDE/>
                    <w:autoSpaceDN/>
                    <w:spacing w:line="240" w:lineRule="auto"/>
                    <w:ind w:firstLine="0" w:firstLineChars="0"/>
                    <w:jc w:val="cente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t>NO</w:t>
                  </w:r>
                  <w:r>
                    <w:rPr>
                      <w:rFonts w:hint="default" w:ascii="Times New Roman" w:hAnsi="Times New Roman" w:eastAsia="新宋体" w:cs="Times New Roman"/>
                      <w:color w:val="000000" w:themeColor="text1"/>
                      <w:kern w:val="2"/>
                      <w:sz w:val="21"/>
                      <w:szCs w:val="21"/>
                      <w:vertAlign w:val="subscript"/>
                      <w:lang w:val="en-US" w:bidi="ar-SA"/>
                      <w14:textFill>
                        <w14:solidFill>
                          <w14:schemeClr w14:val="tx1"/>
                        </w14:solidFill>
                      </w14:textFill>
                    </w:rPr>
                    <w:t>2</w:t>
                  </w:r>
                </w:p>
              </w:tc>
              <w:tc>
                <w:tcPr>
                  <w:tcW w:w="1708" w:type="pct"/>
                  <w:tcBorders>
                    <w:tl2br w:val="nil"/>
                    <w:tr2bl w:val="nil"/>
                  </w:tcBorders>
                  <w:vAlign w:val="center"/>
                </w:tcPr>
                <w:p w14:paraId="7C7E3B9C">
                  <w:pPr>
                    <w:autoSpaceDE/>
                    <w:autoSpaceDN/>
                    <w:spacing w:line="240" w:lineRule="auto"/>
                    <w:ind w:firstLine="0" w:firstLineChars="0"/>
                    <w:jc w:val="cente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t>年平均浓度</w:t>
                  </w:r>
                </w:p>
              </w:tc>
              <w:tc>
                <w:tcPr>
                  <w:tcW w:w="1054" w:type="pct"/>
                  <w:tcBorders>
                    <w:tl2br w:val="nil"/>
                    <w:tr2bl w:val="nil"/>
                  </w:tcBorders>
                  <w:vAlign w:val="center"/>
                </w:tcPr>
                <w:p w14:paraId="253DC568">
                  <w:pPr>
                    <w:autoSpaceDE/>
                    <w:autoSpaceDN/>
                    <w:spacing w:line="240" w:lineRule="auto"/>
                    <w:ind w:firstLine="0" w:firstLineChars="0"/>
                    <w:jc w:val="cente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t>18</w:t>
                  </w:r>
                </w:p>
              </w:tc>
              <w:tc>
                <w:tcPr>
                  <w:tcW w:w="948" w:type="pct"/>
                  <w:tcBorders>
                    <w:tl2br w:val="nil"/>
                    <w:tr2bl w:val="nil"/>
                  </w:tcBorders>
                  <w:vAlign w:val="center"/>
                </w:tcPr>
                <w:p w14:paraId="1877DB8B">
                  <w:pPr>
                    <w:autoSpaceDE/>
                    <w:autoSpaceDN/>
                    <w:spacing w:line="240" w:lineRule="auto"/>
                    <w:ind w:firstLine="0" w:firstLineChars="0"/>
                    <w:jc w:val="cente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t>40</w:t>
                  </w:r>
                </w:p>
              </w:tc>
              <w:tc>
                <w:tcPr>
                  <w:tcW w:w="677" w:type="pct"/>
                  <w:tcBorders>
                    <w:tl2br w:val="nil"/>
                    <w:tr2bl w:val="nil"/>
                  </w:tcBorders>
                  <w:vAlign w:val="center"/>
                </w:tcPr>
                <w:p w14:paraId="6517FF93">
                  <w:pPr>
                    <w:autoSpaceDE/>
                    <w:autoSpaceDN/>
                    <w:spacing w:line="240" w:lineRule="auto"/>
                    <w:ind w:firstLine="0" w:firstLineChars="0"/>
                    <w:jc w:val="cente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t>达标</w:t>
                  </w:r>
                </w:p>
              </w:tc>
            </w:tr>
            <w:tr w14:paraId="0AA591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611" w:type="pct"/>
                  <w:tcBorders>
                    <w:tl2br w:val="nil"/>
                    <w:tr2bl w:val="nil"/>
                  </w:tcBorders>
                  <w:vAlign w:val="center"/>
                </w:tcPr>
                <w:p w14:paraId="671A1779">
                  <w:pPr>
                    <w:autoSpaceDE/>
                    <w:autoSpaceDN/>
                    <w:spacing w:line="240" w:lineRule="auto"/>
                    <w:ind w:firstLine="0" w:firstLineChars="0"/>
                    <w:jc w:val="cente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t>PM</w:t>
                  </w:r>
                  <w:r>
                    <w:rPr>
                      <w:rFonts w:hint="default" w:ascii="Times New Roman" w:hAnsi="Times New Roman" w:eastAsia="新宋体" w:cs="Times New Roman"/>
                      <w:color w:val="000000" w:themeColor="text1"/>
                      <w:kern w:val="2"/>
                      <w:sz w:val="21"/>
                      <w:szCs w:val="21"/>
                      <w:vertAlign w:val="subscript"/>
                      <w:lang w:val="en-US" w:bidi="ar-SA"/>
                      <w14:textFill>
                        <w14:solidFill>
                          <w14:schemeClr w14:val="tx1"/>
                        </w14:solidFill>
                      </w14:textFill>
                    </w:rPr>
                    <w:t>10</w:t>
                  </w:r>
                </w:p>
              </w:tc>
              <w:tc>
                <w:tcPr>
                  <w:tcW w:w="1708" w:type="pct"/>
                  <w:tcBorders>
                    <w:tl2br w:val="nil"/>
                    <w:tr2bl w:val="nil"/>
                  </w:tcBorders>
                  <w:vAlign w:val="center"/>
                </w:tcPr>
                <w:p w14:paraId="690F5FBF">
                  <w:pPr>
                    <w:autoSpaceDE/>
                    <w:autoSpaceDN/>
                    <w:spacing w:line="240" w:lineRule="auto"/>
                    <w:ind w:firstLine="0" w:firstLineChars="0"/>
                    <w:jc w:val="cente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t>年平均浓度</w:t>
                  </w:r>
                </w:p>
              </w:tc>
              <w:tc>
                <w:tcPr>
                  <w:tcW w:w="1054" w:type="pct"/>
                  <w:tcBorders>
                    <w:tl2br w:val="nil"/>
                    <w:tr2bl w:val="nil"/>
                  </w:tcBorders>
                  <w:vAlign w:val="center"/>
                </w:tcPr>
                <w:p w14:paraId="1ED3B62D">
                  <w:pPr>
                    <w:autoSpaceDE/>
                    <w:autoSpaceDN/>
                    <w:spacing w:line="240" w:lineRule="auto"/>
                    <w:ind w:firstLine="0" w:firstLineChars="0"/>
                    <w:jc w:val="cente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t>82</w:t>
                  </w:r>
                </w:p>
              </w:tc>
              <w:tc>
                <w:tcPr>
                  <w:tcW w:w="948" w:type="pct"/>
                  <w:tcBorders>
                    <w:tl2br w:val="nil"/>
                    <w:tr2bl w:val="nil"/>
                  </w:tcBorders>
                  <w:vAlign w:val="center"/>
                </w:tcPr>
                <w:p w14:paraId="555B60A8">
                  <w:pPr>
                    <w:autoSpaceDE/>
                    <w:autoSpaceDN/>
                    <w:spacing w:line="240" w:lineRule="auto"/>
                    <w:ind w:firstLine="0" w:firstLineChars="0"/>
                    <w:jc w:val="cente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t>70</w:t>
                  </w:r>
                </w:p>
              </w:tc>
              <w:tc>
                <w:tcPr>
                  <w:tcW w:w="677" w:type="pct"/>
                  <w:tcBorders>
                    <w:tl2br w:val="nil"/>
                    <w:tr2bl w:val="nil"/>
                  </w:tcBorders>
                  <w:vAlign w:val="center"/>
                </w:tcPr>
                <w:p w14:paraId="6EEA5663">
                  <w:pPr>
                    <w:autoSpaceDE/>
                    <w:autoSpaceDN/>
                    <w:spacing w:line="240" w:lineRule="auto"/>
                    <w:ind w:firstLine="0" w:firstLineChars="0"/>
                    <w:jc w:val="cente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t>不达标</w:t>
                  </w:r>
                </w:p>
              </w:tc>
            </w:tr>
            <w:tr w14:paraId="12E9B2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611" w:type="pct"/>
                  <w:tcBorders>
                    <w:tl2br w:val="nil"/>
                    <w:tr2bl w:val="nil"/>
                  </w:tcBorders>
                  <w:vAlign w:val="center"/>
                </w:tcPr>
                <w:p w14:paraId="5E34F24C">
                  <w:pPr>
                    <w:autoSpaceDE/>
                    <w:autoSpaceDN/>
                    <w:spacing w:line="240" w:lineRule="auto"/>
                    <w:ind w:firstLine="0" w:firstLineChars="0"/>
                    <w:jc w:val="cente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t>PM</w:t>
                  </w:r>
                  <w:r>
                    <w:rPr>
                      <w:rFonts w:hint="default" w:ascii="Times New Roman" w:hAnsi="Times New Roman" w:eastAsia="新宋体" w:cs="Times New Roman"/>
                      <w:color w:val="000000" w:themeColor="text1"/>
                      <w:kern w:val="2"/>
                      <w:sz w:val="21"/>
                      <w:szCs w:val="21"/>
                      <w:vertAlign w:val="subscript"/>
                      <w:lang w:val="en-US" w:bidi="ar-SA"/>
                      <w14:textFill>
                        <w14:solidFill>
                          <w14:schemeClr w14:val="tx1"/>
                        </w14:solidFill>
                      </w14:textFill>
                    </w:rPr>
                    <w:t>2.5</w:t>
                  </w:r>
                </w:p>
              </w:tc>
              <w:tc>
                <w:tcPr>
                  <w:tcW w:w="1708" w:type="pct"/>
                  <w:tcBorders>
                    <w:tl2br w:val="nil"/>
                    <w:tr2bl w:val="nil"/>
                  </w:tcBorders>
                  <w:vAlign w:val="center"/>
                </w:tcPr>
                <w:p w14:paraId="6121437A">
                  <w:pPr>
                    <w:autoSpaceDE/>
                    <w:autoSpaceDN/>
                    <w:spacing w:line="240" w:lineRule="auto"/>
                    <w:ind w:firstLine="0" w:firstLineChars="0"/>
                    <w:jc w:val="cente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t>年平均浓度</w:t>
                  </w:r>
                </w:p>
              </w:tc>
              <w:tc>
                <w:tcPr>
                  <w:tcW w:w="1054" w:type="pct"/>
                  <w:tcBorders>
                    <w:tl2br w:val="nil"/>
                    <w:tr2bl w:val="nil"/>
                  </w:tcBorders>
                  <w:vAlign w:val="center"/>
                </w:tcPr>
                <w:p w14:paraId="1ADC729D">
                  <w:pPr>
                    <w:autoSpaceDE/>
                    <w:autoSpaceDN/>
                    <w:spacing w:line="240" w:lineRule="auto"/>
                    <w:ind w:firstLine="0" w:firstLineChars="0"/>
                    <w:jc w:val="cente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t>38</w:t>
                  </w:r>
                </w:p>
              </w:tc>
              <w:tc>
                <w:tcPr>
                  <w:tcW w:w="948" w:type="pct"/>
                  <w:tcBorders>
                    <w:tl2br w:val="nil"/>
                    <w:tr2bl w:val="nil"/>
                  </w:tcBorders>
                  <w:vAlign w:val="center"/>
                </w:tcPr>
                <w:p w14:paraId="05F8BD6C">
                  <w:pPr>
                    <w:autoSpaceDE/>
                    <w:autoSpaceDN/>
                    <w:spacing w:line="240" w:lineRule="auto"/>
                    <w:ind w:firstLine="0" w:firstLineChars="0"/>
                    <w:jc w:val="cente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t>35</w:t>
                  </w:r>
                </w:p>
              </w:tc>
              <w:tc>
                <w:tcPr>
                  <w:tcW w:w="677" w:type="pct"/>
                  <w:tcBorders>
                    <w:tl2br w:val="nil"/>
                    <w:tr2bl w:val="nil"/>
                  </w:tcBorders>
                  <w:vAlign w:val="center"/>
                </w:tcPr>
                <w:p w14:paraId="4AD5F9D1">
                  <w:pPr>
                    <w:autoSpaceDE/>
                    <w:autoSpaceDN/>
                    <w:spacing w:line="240" w:lineRule="auto"/>
                    <w:ind w:firstLine="0" w:firstLineChars="0"/>
                    <w:jc w:val="cente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t>不达标</w:t>
                  </w:r>
                </w:p>
              </w:tc>
            </w:tr>
            <w:tr w14:paraId="1F7089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611" w:type="pct"/>
                  <w:tcBorders>
                    <w:tl2br w:val="nil"/>
                    <w:tr2bl w:val="nil"/>
                  </w:tcBorders>
                  <w:vAlign w:val="center"/>
                </w:tcPr>
                <w:p w14:paraId="73E1AB74">
                  <w:pPr>
                    <w:autoSpaceDE/>
                    <w:autoSpaceDN/>
                    <w:spacing w:line="240" w:lineRule="auto"/>
                    <w:ind w:firstLine="0" w:firstLineChars="0"/>
                    <w:jc w:val="cente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t>CO</w:t>
                  </w:r>
                </w:p>
              </w:tc>
              <w:tc>
                <w:tcPr>
                  <w:tcW w:w="1708" w:type="pct"/>
                  <w:tcBorders>
                    <w:tl2br w:val="nil"/>
                    <w:tr2bl w:val="nil"/>
                  </w:tcBorders>
                  <w:vAlign w:val="center"/>
                </w:tcPr>
                <w:p w14:paraId="27B944D8">
                  <w:pPr>
                    <w:autoSpaceDE/>
                    <w:autoSpaceDN/>
                    <w:spacing w:line="240" w:lineRule="auto"/>
                    <w:ind w:firstLine="0" w:firstLineChars="0"/>
                    <w:jc w:val="cente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t>百分位上日平均质量浓度95%</w:t>
                  </w:r>
                </w:p>
              </w:tc>
              <w:tc>
                <w:tcPr>
                  <w:tcW w:w="1054" w:type="pct"/>
                  <w:tcBorders>
                    <w:tl2br w:val="nil"/>
                    <w:tr2bl w:val="nil"/>
                  </w:tcBorders>
                  <w:vAlign w:val="center"/>
                </w:tcPr>
                <w:p w14:paraId="4089ACE6">
                  <w:pPr>
                    <w:autoSpaceDE/>
                    <w:autoSpaceDN/>
                    <w:spacing w:line="240" w:lineRule="auto"/>
                    <w:ind w:firstLine="0" w:firstLineChars="0"/>
                    <w:jc w:val="cente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t>1.0</w:t>
                  </w:r>
                </w:p>
              </w:tc>
              <w:tc>
                <w:tcPr>
                  <w:tcW w:w="948" w:type="pct"/>
                  <w:tcBorders>
                    <w:tl2br w:val="nil"/>
                    <w:tr2bl w:val="nil"/>
                  </w:tcBorders>
                  <w:vAlign w:val="center"/>
                </w:tcPr>
                <w:p w14:paraId="0FE4258D">
                  <w:pPr>
                    <w:autoSpaceDE/>
                    <w:autoSpaceDN/>
                    <w:spacing w:line="240" w:lineRule="auto"/>
                    <w:ind w:firstLine="0" w:firstLineChars="0"/>
                    <w:jc w:val="cente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t>4000</w:t>
                  </w:r>
                </w:p>
              </w:tc>
              <w:tc>
                <w:tcPr>
                  <w:tcW w:w="677" w:type="pct"/>
                  <w:tcBorders>
                    <w:tl2br w:val="nil"/>
                    <w:tr2bl w:val="nil"/>
                  </w:tcBorders>
                  <w:vAlign w:val="center"/>
                </w:tcPr>
                <w:p w14:paraId="79575DB6">
                  <w:pPr>
                    <w:autoSpaceDE/>
                    <w:autoSpaceDN/>
                    <w:spacing w:line="240" w:lineRule="auto"/>
                    <w:ind w:firstLine="0" w:firstLineChars="0"/>
                    <w:jc w:val="cente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t>达标</w:t>
                  </w:r>
                </w:p>
              </w:tc>
            </w:tr>
            <w:tr w14:paraId="33DCFF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3" w:hRule="atLeast"/>
                <w:jc w:val="center"/>
              </w:trPr>
              <w:tc>
                <w:tcPr>
                  <w:tcW w:w="611" w:type="pct"/>
                  <w:tcBorders>
                    <w:tl2br w:val="nil"/>
                    <w:tr2bl w:val="nil"/>
                  </w:tcBorders>
                  <w:vAlign w:val="center"/>
                </w:tcPr>
                <w:p w14:paraId="5BB1C1E5">
                  <w:pPr>
                    <w:autoSpaceDE/>
                    <w:autoSpaceDN/>
                    <w:spacing w:line="240" w:lineRule="auto"/>
                    <w:ind w:firstLine="0" w:firstLineChars="0"/>
                    <w:jc w:val="cente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t>O</w:t>
                  </w:r>
                  <w:r>
                    <w:rPr>
                      <w:rFonts w:hint="default" w:ascii="Times New Roman" w:hAnsi="Times New Roman" w:eastAsia="新宋体" w:cs="Times New Roman"/>
                      <w:color w:val="000000" w:themeColor="text1"/>
                      <w:kern w:val="2"/>
                      <w:sz w:val="21"/>
                      <w:szCs w:val="21"/>
                      <w:vertAlign w:val="subscript"/>
                      <w:lang w:val="en-US" w:bidi="ar-SA"/>
                      <w14:textFill>
                        <w14:solidFill>
                          <w14:schemeClr w14:val="tx1"/>
                        </w14:solidFill>
                      </w14:textFill>
                    </w:rPr>
                    <w:t>3</w:t>
                  </w:r>
                </w:p>
              </w:tc>
              <w:tc>
                <w:tcPr>
                  <w:tcW w:w="1708" w:type="pct"/>
                  <w:tcBorders>
                    <w:tl2br w:val="nil"/>
                    <w:tr2bl w:val="nil"/>
                  </w:tcBorders>
                  <w:vAlign w:val="center"/>
                </w:tcPr>
                <w:p w14:paraId="103F020E">
                  <w:pPr>
                    <w:autoSpaceDE/>
                    <w:autoSpaceDN/>
                    <w:spacing w:line="240" w:lineRule="auto"/>
                    <w:ind w:firstLine="0" w:firstLineChars="0"/>
                    <w:jc w:val="cente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t>百分位上8h平均质量浓度90%</w:t>
                  </w:r>
                </w:p>
              </w:tc>
              <w:tc>
                <w:tcPr>
                  <w:tcW w:w="1054" w:type="pct"/>
                  <w:tcBorders>
                    <w:tl2br w:val="nil"/>
                    <w:tr2bl w:val="nil"/>
                  </w:tcBorders>
                  <w:vAlign w:val="center"/>
                </w:tcPr>
                <w:p w14:paraId="36883875">
                  <w:pPr>
                    <w:autoSpaceDE/>
                    <w:autoSpaceDN/>
                    <w:spacing w:line="240" w:lineRule="auto"/>
                    <w:ind w:firstLine="0" w:firstLineChars="0"/>
                    <w:jc w:val="cente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t>110</w:t>
                  </w:r>
                </w:p>
              </w:tc>
              <w:tc>
                <w:tcPr>
                  <w:tcW w:w="948" w:type="pct"/>
                  <w:tcBorders>
                    <w:tl2br w:val="nil"/>
                    <w:tr2bl w:val="nil"/>
                  </w:tcBorders>
                  <w:vAlign w:val="center"/>
                </w:tcPr>
                <w:p w14:paraId="26260C18">
                  <w:pPr>
                    <w:autoSpaceDE/>
                    <w:autoSpaceDN/>
                    <w:spacing w:line="240" w:lineRule="auto"/>
                    <w:ind w:firstLine="0" w:firstLineChars="0"/>
                    <w:jc w:val="cente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t>160</w:t>
                  </w:r>
                </w:p>
              </w:tc>
              <w:tc>
                <w:tcPr>
                  <w:tcW w:w="677" w:type="pct"/>
                  <w:tcBorders>
                    <w:tl2br w:val="nil"/>
                    <w:tr2bl w:val="nil"/>
                  </w:tcBorders>
                  <w:vAlign w:val="center"/>
                </w:tcPr>
                <w:p w14:paraId="1057AC57">
                  <w:pPr>
                    <w:autoSpaceDE/>
                    <w:autoSpaceDN/>
                    <w:spacing w:line="240" w:lineRule="auto"/>
                    <w:ind w:firstLine="0" w:firstLineChars="0"/>
                    <w:jc w:val="cente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bidi="ar-SA"/>
                      <w14:textFill>
                        <w14:solidFill>
                          <w14:schemeClr w14:val="tx1"/>
                        </w14:solidFill>
                      </w14:textFill>
                    </w:rPr>
                    <w:t>达标</w:t>
                  </w:r>
                </w:p>
              </w:tc>
            </w:tr>
          </w:tbl>
          <w:p w14:paraId="3D128283">
            <w:pPr>
              <w:adjustRightInd w:val="0"/>
              <w:snapToGrid w:val="0"/>
              <w:spacing w:line="360" w:lineRule="auto"/>
              <w:ind w:firstLine="480" w:firstLineChars="200"/>
              <w:rPr>
                <w:rFonts w:hint="default" w:ascii="Times New Roman" w:hAnsi="Times New Roman" w:eastAsia="新宋体" w:cs="Times New Roman"/>
                <w:color w:val="000000" w:themeColor="text1"/>
                <w:sz w:val="24"/>
                <w:highlight w:val="none"/>
                <w14:textFill>
                  <w14:solidFill>
                    <w14:schemeClr w14:val="tx1"/>
                  </w14:solidFill>
                </w14:textFill>
              </w:rPr>
            </w:pPr>
            <w:r>
              <w:rPr>
                <w:rFonts w:hint="default" w:ascii="Times New Roman" w:hAnsi="Times New Roman" w:eastAsia="新宋体" w:cs="Times New Roman"/>
                <w:color w:val="000000" w:themeColor="text1"/>
                <w:sz w:val="24"/>
                <w:highlight w:val="none"/>
                <w14:textFill>
                  <w14:solidFill>
                    <w14:schemeClr w14:val="tx1"/>
                  </w14:solidFill>
                </w14:textFill>
              </w:rPr>
              <w:t>（</w:t>
            </w:r>
            <w:r>
              <w:rPr>
                <w:rFonts w:hint="default" w:ascii="Times New Roman" w:hAnsi="Times New Roman" w:eastAsia="新宋体"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新宋体" w:cs="Times New Roman"/>
                <w:color w:val="000000" w:themeColor="text1"/>
                <w:sz w:val="24"/>
                <w:highlight w:val="none"/>
                <w14:textFill>
                  <w14:solidFill>
                    <w14:schemeClr w14:val="tx1"/>
                  </w14:solidFill>
                </w14:textFill>
              </w:rPr>
              <w:t>）评价方法</w:t>
            </w:r>
          </w:p>
          <w:p w14:paraId="1808C339">
            <w:pPr>
              <w:adjustRightInd w:val="0"/>
              <w:snapToGrid w:val="0"/>
              <w:spacing w:line="360" w:lineRule="auto"/>
              <w:ind w:firstLine="480" w:firstLineChars="200"/>
              <w:rPr>
                <w:rFonts w:hint="default" w:ascii="Times New Roman" w:hAnsi="Times New Roman" w:eastAsia="新宋体" w:cs="Times New Roman"/>
                <w:color w:val="000000" w:themeColor="text1"/>
                <w:sz w:val="24"/>
                <w:highlight w:val="none"/>
                <w14:textFill>
                  <w14:solidFill>
                    <w14:schemeClr w14:val="tx1"/>
                  </w14:solidFill>
                </w14:textFill>
              </w:rPr>
            </w:pPr>
            <w:r>
              <w:rPr>
                <w:rFonts w:hint="default" w:ascii="Times New Roman" w:hAnsi="Times New Roman" w:eastAsia="新宋体" w:cs="Times New Roman"/>
                <w:color w:val="000000" w:themeColor="text1"/>
                <w:sz w:val="24"/>
                <w:highlight w:val="none"/>
                <w14:textFill>
                  <w14:solidFill>
                    <w14:schemeClr w14:val="tx1"/>
                  </w14:solidFill>
                </w14:textFill>
              </w:rPr>
              <w:t>评价方法采用最大质量浓度占相应标准质量浓度限值的百分比</w:t>
            </w:r>
            <w:r>
              <w:rPr>
                <w:rFonts w:hint="default" w:ascii="Times New Roman" w:hAnsi="Times New Roman" w:eastAsia="新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highlight w:val="none"/>
                <w14:textFill>
                  <w14:solidFill>
                    <w14:schemeClr w14:val="tx1"/>
                  </w14:solidFill>
                </w14:textFill>
              </w:rPr>
              <w:t>及超标率对监测结果进行评价分析。计算公式如下：</w:t>
            </w:r>
          </w:p>
          <w:p w14:paraId="2E2CFADC">
            <w:pPr>
              <w:spacing w:line="360" w:lineRule="auto"/>
              <w:ind w:firstLine="3120" w:firstLineChars="1300"/>
              <w:rPr>
                <w:rFonts w:hint="default" w:ascii="Times New Roman" w:hAnsi="Times New Roman" w:eastAsia="新宋体" w:cs="Times New Roman"/>
                <w:color w:val="000000" w:themeColor="text1"/>
                <w:sz w:val="24"/>
                <w:highlight w:val="none"/>
                <w14:textFill>
                  <w14:solidFill>
                    <w14:schemeClr w14:val="tx1"/>
                  </w14:solidFill>
                </w14:textFill>
              </w:rPr>
            </w:pPr>
            <w:r>
              <w:rPr>
                <w:rFonts w:hint="default" w:ascii="Times New Roman" w:hAnsi="Times New Roman" w:eastAsia="新宋体" w:cs="Times New Roman"/>
                <w:color w:val="000000" w:themeColor="text1"/>
                <w:sz w:val="24"/>
                <w:highlight w:val="none"/>
                <w14:textFill>
                  <w14:solidFill>
                    <w14:schemeClr w14:val="tx1"/>
                  </w14:solidFill>
                </w14:textFill>
              </w:rPr>
              <w:t>P</w:t>
            </w:r>
            <w:r>
              <w:rPr>
                <w:rFonts w:hint="default" w:ascii="Times New Roman" w:hAnsi="Times New Roman" w:eastAsia="新宋体" w:cs="Times New Roman"/>
                <w:color w:val="000000" w:themeColor="text1"/>
                <w:sz w:val="24"/>
                <w:highlight w:val="none"/>
                <w:vertAlign w:val="subscript"/>
                <w14:textFill>
                  <w14:solidFill>
                    <w14:schemeClr w14:val="tx1"/>
                  </w14:solidFill>
                </w14:textFill>
              </w:rPr>
              <w:t>i</w:t>
            </w:r>
            <w:r>
              <w:rPr>
                <w:rFonts w:hint="default" w:ascii="Times New Roman" w:hAnsi="Times New Roman" w:eastAsia="新宋体" w:cs="Times New Roman"/>
                <w:color w:val="000000" w:themeColor="text1"/>
                <w:sz w:val="24"/>
                <w:highlight w:val="none"/>
                <w14:textFill>
                  <w14:solidFill>
                    <w14:schemeClr w14:val="tx1"/>
                  </w14:solidFill>
                </w14:textFill>
              </w:rPr>
              <w:t>=C</w:t>
            </w:r>
            <w:r>
              <w:rPr>
                <w:rFonts w:hint="default" w:ascii="Times New Roman" w:hAnsi="Times New Roman" w:eastAsia="新宋体" w:cs="Times New Roman"/>
                <w:color w:val="000000" w:themeColor="text1"/>
                <w:sz w:val="24"/>
                <w:highlight w:val="none"/>
                <w:vertAlign w:val="subscript"/>
                <w14:textFill>
                  <w14:solidFill>
                    <w14:schemeClr w14:val="tx1"/>
                  </w14:solidFill>
                </w14:textFill>
              </w:rPr>
              <w:t>i</w:t>
            </w:r>
            <w:r>
              <w:rPr>
                <w:rFonts w:hint="default" w:ascii="Times New Roman" w:hAnsi="Times New Roman" w:eastAsia="新宋体" w:cs="Times New Roman"/>
                <w:color w:val="000000" w:themeColor="text1"/>
                <w:sz w:val="24"/>
                <w:highlight w:val="none"/>
                <w14:textFill>
                  <w14:solidFill>
                    <w14:schemeClr w14:val="tx1"/>
                  </w14:solidFill>
                </w14:textFill>
              </w:rPr>
              <w:t>/C</w:t>
            </w:r>
            <w:r>
              <w:rPr>
                <w:rFonts w:hint="default" w:ascii="Times New Roman" w:hAnsi="Times New Roman" w:eastAsia="新宋体" w:cs="Times New Roman"/>
                <w:color w:val="000000" w:themeColor="text1"/>
                <w:sz w:val="24"/>
                <w:highlight w:val="none"/>
                <w:vertAlign w:val="subscript"/>
                <w14:textFill>
                  <w14:solidFill>
                    <w14:schemeClr w14:val="tx1"/>
                  </w14:solidFill>
                </w14:textFill>
              </w:rPr>
              <w:t>oi</w:t>
            </w:r>
            <w:r>
              <w:rPr>
                <w:rFonts w:hint="default" w:ascii="Times New Roman" w:hAnsi="Times New Roman" w:eastAsia="新宋体" w:cs="Times New Roman"/>
                <w:color w:val="000000" w:themeColor="text1"/>
                <w:sz w:val="24"/>
                <w:highlight w:val="none"/>
                <w14:textFill>
                  <w14:solidFill>
                    <w14:schemeClr w14:val="tx1"/>
                  </w14:solidFill>
                </w14:textFill>
              </w:rPr>
              <w:t>×100%</w:t>
            </w:r>
          </w:p>
          <w:p w14:paraId="124D2C5B">
            <w:pPr>
              <w:spacing w:line="360" w:lineRule="auto"/>
              <w:ind w:firstLine="480" w:firstLineChars="200"/>
              <w:rPr>
                <w:rFonts w:hint="default" w:ascii="Times New Roman" w:hAnsi="Times New Roman" w:eastAsia="新宋体" w:cs="Times New Roman"/>
                <w:color w:val="000000" w:themeColor="text1"/>
                <w:sz w:val="24"/>
                <w:highlight w:val="none"/>
                <w14:textFill>
                  <w14:solidFill>
                    <w14:schemeClr w14:val="tx1"/>
                  </w14:solidFill>
                </w14:textFill>
              </w:rPr>
            </w:pPr>
            <w:r>
              <w:rPr>
                <w:rFonts w:hint="default" w:ascii="Times New Roman" w:hAnsi="Times New Roman" w:eastAsia="新宋体" w:cs="Times New Roman"/>
                <w:color w:val="000000" w:themeColor="text1"/>
                <w:sz w:val="24"/>
                <w:highlight w:val="none"/>
                <w14:textFill>
                  <w14:solidFill>
                    <w14:schemeClr w14:val="tx1"/>
                  </w14:solidFill>
                </w14:textFill>
              </w:rPr>
              <w:t>式中：P</w:t>
            </w:r>
            <w:r>
              <w:rPr>
                <w:rFonts w:hint="default" w:ascii="Times New Roman" w:hAnsi="Times New Roman" w:eastAsia="新宋体" w:cs="Times New Roman"/>
                <w:color w:val="000000" w:themeColor="text1"/>
                <w:sz w:val="24"/>
                <w:highlight w:val="none"/>
                <w:vertAlign w:val="subscript"/>
                <w14:textFill>
                  <w14:solidFill>
                    <w14:schemeClr w14:val="tx1"/>
                  </w14:solidFill>
                </w14:textFill>
              </w:rPr>
              <w:t>i</w:t>
            </w:r>
            <w:r>
              <w:rPr>
                <w:rFonts w:hint="default" w:ascii="Times New Roman" w:hAnsi="Times New Roman" w:eastAsia="新宋体" w:cs="Times New Roman"/>
                <w:color w:val="000000" w:themeColor="text1"/>
                <w:sz w:val="24"/>
                <w:highlight w:val="none"/>
                <w14:textFill>
                  <w14:solidFill>
                    <w14:schemeClr w14:val="tx1"/>
                  </w14:solidFill>
                </w14:textFill>
              </w:rPr>
              <w:t>—某种污染物的最大地面质量浓度占标率</w:t>
            </w:r>
            <w:r>
              <w:rPr>
                <w:rFonts w:hint="default" w:ascii="Times New Roman" w:hAnsi="Times New Roman" w:eastAsia="新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highlight w:val="none"/>
                <w14:textFill>
                  <w14:solidFill>
                    <w14:schemeClr w14:val="tx1"/>
                  </w14:solidFill>
                </w14:textFill>
              </w:rPr>
              <w:t>%；</w:t>
            </w:r>
          </w:p>
          <w:p w14:paraId="4C3FE70A">
            <w:pPr>
              <w:spacing w:line="360" w:lineRule="auto"/>
              <w:ind w:firstLine="1200" w:firstLineChars="500"/>
              <w:rPr>
                <w:rFonts w:hint="default" w:ascii="Times New Roman" w:hAnsi="Times New Roman" w:eastAsia="新宋体" w:cs="Times New Roman"/>
                <w:color w:val="000000" w:themeColor="text1"/>
                <w:sz w:val="24"/>
                <w:highlight w:val="none"/>
                <w14:textFill>
                  <w14:solidFill>
                    <w14:schemeClr w14:val="tx1"/>
                  </w14:solidFill>
                </w14:textFill>
              </w:rPr>
            </w:pPr>
            <w:r>
              <w:rPr>
                <w:rFonts w:hint="default" w:ascii="Times New Roman" w:hAnsi="Times New Roman" w:eastAsia="新宋体" w:cs="Times New Roman"/>
                <w:color w:val="000000" w:themeColor="text1"/>
                <w:sz w:val="24"/>
                <w:highlight w:val="none"/>
                <w14:textFill>
                  <w14:solidFill>
                    <w14:schemeClr w14:val="tx1"/>
                  </w14:solidFill>
                </w14:textFill>
              </w:rPr>
              <w:t>C</w:t>
            </w:r>
            <w:r>
              <w:rPr>
                <w:rFonts w:hint="default" w:ascii="Times New Roman" w:hAnsi="Times New Roman" w:eastAsia="新宋体" w:cs="Times New Roman"/>
                <w:color w:val="000000" w:themeColor="text1"/>
                <w:sz w:val="24"/>
                <w:highlight w:val="none"/>
                <w:vertAlign w:val="subscript"/>
                <w14:textFill>
                  <w14:solidFill>
                    <w14:schemeClr w14:val="tx1"/>
                  </w14:solidFill>
                </w14:textFill>
              </w:rPr>
              <w:t>i</w:t>
            </w:r>
            <w:r>
              <w:rPr>
                <w:rFonts w:hint="default" w:ascii="Times New Roman" w:hAnsi="Times New Roman" w:eastAsia="新宋体" w:cs="Times New Roman"/>
                <w:color w:val="000000" w:themeColor="text1"/>
                <w:sz w:val="24"/>
                <w:highlight w:val="none"/>
                <w14:textFill>
                  <w14:solidFill>
                    <w14:schemeClr w14:val="tx1"/>
                  </w14:solidFill>
                </w14:textFill>
              </w:rPr>
              <w:t>—某种污染物的实际监测浓度</w:t>
            </w:r>
            <w:r>
              <w:rPr>
                <w:rFonts w:hint="default" w:ascii="Times New Roman" w:hAnsi="Times New Roman" w:eastAsia="新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highlight w:val="none"/>
                <w14:textFill>
                  <w14:solidFill>
                    <w14:schemeClr w14:val="tx1"/>
                  </w14:solidFill>
                </w14:textFill>
              </w:rPr>
              <w:t>mg/m</w:t>
            </w:r>
            <w:r>
              <w:rPr>
                <w:rFonts w:hint="default" w:ascii="Times New Roman" w:hAnsi="Times New Roman" w:eastAsia="新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新宋体" w:cs="Times New Roman"/>
                <w:color w:val="000000" w:themeColor="text1"/>
                <w:sz w:val="24"/>
                <w:highlight w:val="none"/>
                <w14:textFill>
                  <w14:solidFill>
                    <w14:schemeClr w14:val="tx1"/>
                  </w14:solidFill>
                </w14:textFill>
              </w:rPr>
              <w:t>；</w:t>
            </w:r>
          </w:p>
          <w:p w14:paraId="17275719">
            <w:pPr>
              <w:spacing w:line="360" w:lineRule="auto"/>
              <w:ind w:firstLine="1200" w:firstLineChars="500"/>
              <w:rPr>
                <w:rFonts w:hint="default" w:ascii="Times New Roman" w:hAnsi="Times New Roman" w:eastAsia="新宋体" w:cs="Times New Roman"/>
                <w:color w:val="000000" w:themeColor="text1"/>
                <w:sz w:val="24"/>
                <w:highlight w:val="none"/>
                <w14:textFill>
                  <w14:solidFill>
                    <w14:schemeClr w14:val="tx1"/>
                  </w14:solidFill>
                </w14:textFill>
              </w:rPr>
            </w:pPr>
            <w:r>
              <w:rPr>
                <w:rFonts w:hint="default" w:ascii="Times New Roman" w:hAnsi="Times New Roman" w:eastAsia="新宋体" w:cs="Times New Roman"/>
                <w:color w:val="000000" w:themeColor="text1"/>
                <w:sz w:val="24"/>
                <w:highlight w:val="none"/>
                <w14:textFill>
                  <w14:solidFill>
                    <w14:schemeClr w14:val="tx1"/>
                  </w14:solidFill>
                </w14:textFill>
              </w:rPr>
              <w:t>C</w:t>
            </w:r>
            <w:r>
              <w:rPr>
                <w:rFonts w:hint="default" w:ascii="Times New Roman" w:hAnsi="Times New Roman" w:eastAsia="新宋体" w:cs="Times New Roman"/>
                <w:color w:val="000000" w:themeColor="text1"/>
                <w:sz w:val="24"/>
                <w:highlight w:val="none"/>
                <w:vertAlign w:val="subscript"/>
                <w14:textFill>
                  <w14:solidFill>
                    <w14:schemeClr w14:val="tx1"/>
                  </w14:solidFill>
                </w14:textFill>
              </w:rPr>
              <w:t>oi</w:t>
            </w:r>
            <w:r>
              <w:rPr>
                <w:rFonts w:hint="default" w:ascii="Times New Roman" w:hAnsi="Times New Roman" w:eastAsia="新宋体" w:cs="Times New Roman"/>
                <w:color w:val="000000" w:themeColor="text1"/>
                <w:sz w:val="24"/>
                <w:highlight w:val="none"/>
                <w14:textFill>
                  <w14:solidFill>
                    <w14:schemeClr w14:val="tx1"/>
                  </w14:solidFill>
                </w14:textFill>
              </w:rPr>
              <w:t>—某种污染物的环境空气标准浓度</w:t>
            </w:r>
            <w:r>
              <w:rPr>
                <w:rFonts w:hint="default" w:ascii="Times New Roman" w:hAnsi="Times New Roman" w:eastAsia="新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highlight w:val="none"/>
                <w14:textFill>
                  <w14:solidFill>
                    <w14:schemeClr w14:val="tx1"/>
                  </w14:solidFill>
                </w14:textFill>
              </w:rPr>
              <w:t>mg/m</w:t>
            </w:r>
            <w:r>
              <w:rPr>
                <w:rFonts w:hint="default" w:ascii="Times New Roman" w:hAnsi="Times New Roman" w:eastAsia="新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新宋体" w:cs="Times New Roman"/>
                <w:color w:val="000000" w:themeColor="text1"/>
                <w:sz w:val="24"/>
                <w:highlight w:val="none"/>
                <w14:textFill>
                  <w14:solidFill>
                    <w14:schemeClr w14:val="tx1"/>
                  </w14:solidFill>
                </w14:textFill>
              </w:rPr>
              <w:t>。</w:t>
            </w:r>
          </w:p>
          <w:p w14:paraId="2522E8E9">
            <w:pPr>
              <w:pStyle w:val="11"/>
              <w:keepNext w:val="0"/>
              <w:keepLines w:val="0"/>
              <w:pageBreakBefore w:val="0"/>
              <w:widowControl/>
              <w:kinsoku/>
              <w:wordWrap/>
              <w:overflowPunct/>
              <w:topLinePunct w:val="0"/>
              <w:autoSpaceDE/>
              <w:autoSpaceDN/>
              <w:bidi w:val="0"/>
              <w:adjustRightInd/>
              <w:snapToGrid w:val="0"/>
              <w:spacing w:before="0" w:after="0" w:line="360" w:lineRule="auto"/>
              <w:ind w:leftChars="0" w:right="0" w:firstLine="480" w:firstLineChars="200"/>
              <w:textAlignment w:val="auto"/>
              <w:rPr>
                <w:rFonts w:hint="default" w:ascii="Times New Roman" w:hAnsi="Times New Roman" w:eastAsia="新宋体" w:cs="Times New Roman"/>
                <w:color w:val="000000" w:themeColor="text1"/>
                <w:sz w:val="24"/>
                <w14:textFill>
                  <w14:solidFill>
                    <w14:schemeClr w14:val="tx1"/>
                  </w14:solidFill>
                </w14:textFill>
              </w:rPr>
            </w:pPr>
            <w:r>
              <w:rPr>
                <w:rFonts w:hint="default" w:ascii="Times New Roman" w:hAnsi="Times New Roman" w:eastAsia="新宋体" w:cs="Times New Roman"/>
                <w:color w:val="000000" w:themeColor="text1"/>
                <w:kern w:val="2"/>
                <w:sz w:val="24"/>
                <w:szCs w:val="24"/>
                <w:lang w:val="en-US" w:eastAsia="zh-CN" w:bidi="ar-SA"/>
                <w14:textFill>
                  <w14:solidFill>
                    <w14:schemeClr w14:val="tx1"/>
                  </w14:solidFill>
                </w14:textFill>
              </w:rPr>
              <w:t>评价</w:t>
            </w:r>
            <w:r>
              <w:rPr>
                <w:rFonts w:hint="eastAsia" w:eastAsia="新宋体" w:cs="Times New Roman"/>
                <w:color w:val="000000" w:themeColor="text1"/>
                <w:kern w:val="2"/>
                <w:sz w:val="24"/>
                <w:szCs w:val="24"/>
                <w:lang w:val="en-US" w:eastAsia="zh-CN" w:bidi="ar-SA"/>
                <w14:textFill>
                  <w14:solidFill>
                    <w14:schemeClr w14:val="tx1"/>
                  </w14:solidFill>
                </w14:textFill>
              </w:rPr>
              <w:t>结果</w:t>
            </w:r>
            <w:r>
              <w:rPr>
                <w:rFonts w:hint="default" w:ascii="Times New Roman" w:hAnsi="Times New Roman" w:eastAsia="新宋体" w:cs="Times New Roman"/>
                <w:color w:val="000000" w:themeColor="text1"/>
                <w:kern w:val="2"/>
                <w:sz w:val="24"/>
                <w:szCs w:val="24"/>
                <w:lang w:val="en-US" w:eastAsia="zh-CN" w:bidi="ar-SA"/>
                <w14:textFill>
                  <w14:solidFill>
                    <w14:schemeClr w14:val="tx1"/>
                  </w14:solidFill>
                </w14:textFill>
              </w:rPr>
              <w:t>从表3-1可以看出，根据上表基本污染物的年评</w:t>
            </w:r>
            <w:r>
              <w:rPr>
                <w:rFonts w:hint="eastAsia" w:eastAsia="新宋体" w:cs="Times New Roman"/>
                <w:color w:val="000000" w:themeColor="text1"/>
                <w:kern w:val="2"/>
                <w:sz w:val="24"/>
                <w:szCs w:val="24"/>
                <w:lang w:val="en-US" w:eastAsia="zh-CN" w:bidi="ar-SA"/>
                <w14:textFill>
                  <w14:solidFill>
                    <w14:schemeClr w14:val="tx1"/>
                  </w14:solidFill>
                </w14:textFill>
              </w:rPr>
              <w:t>价值</w:t>
            </w:r>
            <w:r>
              <w:rPr>
                <w:rFonts w:hint="default" w:ascii="Times New Roman" w:hAnsi="Times New Roman" w:eastAsia="新宋体" w:cs="Times New Roman"/>
                <w:color w:val="000000" w:themeColor="text1"/>
                <w:kern w:val="2"/>
                <w:sz w:val="24"/>
                <w:szCs w:val="24"/>
                <w:lang w:val="en-US" w:eastAsia="zh-CN" w:bidi="ar-SA"/>
                <w14:textFill>
                  <w14:solidFill>
                    <w14:schemeClr w14:val="tx1"/>
                  </w14:solidFill>
                </w14:textFill>
              </w:rPr>
              <w:t>的分析结果，项目所在区域SO</w:t>
            </w:r>
            <w:r>
              <w:rPr>
                <w:rFonts w:hint="default" w:ascii="Times New Roman" w:hAnsi="Times New Roman" w:eastAsia="新宋体" w:cs="Times New Roman"/>
                <w:color w:val="000000" w:themeColor="text1"/>
                <w:kern w:val="2"/>
                <w:sz w:val="24"/>
                <w:szCs w:val="24"/>
                <w:vertAlign w:val="subscript"/>
                <w:lang w:val="en-US" w:eastAsia="zh-CN" w:bidi="ar-SA"/>
                <w14:textFill>
                  <w14:solidFill>
                    <w14:schemeClr w14:val="tx1"/>
                  </w14:solidFill>
                </w14:textFill>
              </w:rPr>
              <w:t>2</w:t>
            </w:r>
            <w:r>
              <w:rPr>
                <w:rFonts w:hint="default" w:ascii="Times New Roman" w:hAnsi="Times New Roman" w:eastAsia="新宋体" w:cs="Times New Roman"/>
                <w:color w:val="000000" w:themeColor="text1"/>
                <w:kern w:val="2"/>
                <w:sz w:val="24"/>
                <w:szCs w:val="24"/>
                <w:lang w:val="en-US" w:eastAsia="zh-CN" w:bidi="ar-SA"/>
                <w14:textFill>
                  <w14:solidFill>
                    <w14:schemeClr w14:val="tx1"/>
                  </w14:solidFill>
                </w14:textFill>
              </w:rPr>
              <w:t>、NO</w:t>
            </w:r>
            <w:r>
              <w:rPr>
                <w:rFonts w:hint="default" w:ascii="Times New Roman" w:hAnsi="Times New Roman" w:eastAsia="新宋体" w:cs="Times New Roman"/>
                <w:color w:val="000000" w:themeColor="text1"/>
                <w:kern w:val="2"/>
                <w:sz w:val="24"/>
                <w:szCs w:val="24"/>
                <w:vertAlign w:val="subscript"/>
                <w:lang w:val="en-US" w:eastAsia="zh-CN" w:bidi="ar-SA"/>
                <w14:textFill>
                  <w14:solidFill>
                    <w14:schemeClr w14:val="tx1"/>
                  </w14:solidFill>
                </w14:textFill>
              </w:rPr>
              <w:t>2</w:t>
            </w:r>
            <w:r>
              <w:rPr>
                <w:rFonts w:hint="default" w:ascii="Times New Roman" w:hAnsi="Times New Roman" w:eastAsia="新宋体" w:cs="Times New Roman"/>
                <w:color w:val="000000" w:themeColor="text1"/>
                <w:kern w:val="2"/>
                <w:sz w:val="24"/>
                <w:szCs w:val="24"/>
                <w:lang w:val="en-US" w:eastAsia="zh-CN" w:bidi="ar-SA"/>
                <w14:textFill>
                  <w14:solidFill>
                    <w14:schemeClr w14:val="tx1"/>
                  </w14:solidFill>
                </w14:textFill>
              </w:rPr>
              <w:t>、CO和O</w:t>
            </w:r>
            <w:r>
              <w:rPr>
                <w:rFonts w:hint="default" w:ascii="Times New Roman" w:hAnsi="Times New Roman" w:eastAsia="新宋体" w:cs="Times New Roman"/>
                <w:color w:val="000000" w:themeColor="text1"/>
                <w:kern w:val="2"/>
                <w:sz w:val="24"/>
                <w:szCs w:val="24"/>
                <w:vertAlign w:val="subscript"/>
                <w:lang w:val="en-US" w:eastAsia="zh-CN" w:bidi="ar-SA"/>
                <w14:textFill>
                  <w14:solidFill>
                    <w14:schemeClr w14:val="tx1"/>
                  </w14:solidFill>
                </w14:textFill>
              </w:rPr>
              <w:t>3</w:t>
            </w:r>
            <w:r>
              <w:rPr>
                <w:rFonts w:hint="default" w:ascii="Times New Roman" w:hAnsi="Times New Roman" w:eastAsia="新宋体" w:cs="Times New Roman"/>
                <w:color w:val="000000" w:themeColor="text1"/>
                <w:kern w:val="2"/>
                <w:sz w:val="24"/>
                <w:szCs w:val="24"/>
                <w:lang w:val="en-US" w:eastAsia="zh-CN" w:bidi="ar-SA"/>
                <w14:textFill>
                  <w14:solidFill>
                    <w14:schemeClr w14:val="tx1"/>
                  </w14:solidFill>
                </w14:textFill>
              </w:rPr>
              <w:t>年均浓度均满足《环境空气质量标准》</w:t>
            </w:r>
            <w:r>
              <w:rPr>
                <w:rFonts w:hint="eastAsia" w:eastAsia="新宋体"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新宋体" w:cs="Times New Roman"/>
                <w:color w:val="000000" w:themeColor="text1"/>
                <w:kern w:val="2"/>
                <w:sz w:val="24"/>
                <w:szCs w:val="24"/>
                <w:lang w:val="en-US" w:eastAsia="zh-CN" w:bidi="ar-SA"/>
                <w14:textFill>
                  <w14:solidFill>
                    <w14:schemeClr w14:val="tx1"/>
                  </w14:solidFill>
                </w14:textFill>
              </w:rPr>
              <w:t>GB3095-2012</w:t>
            </w:r>
            <w:r>
              <w:rPr>
                <w:rFonts w:hint="eastAsia" w:eastAsia="新宋体"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新宋体" w:cs="Times New Roman"/>
                <w:color w:val="000000" w:themeColor="text1"/>
                <w:kern w:val="2"/>
                <w:sz w:val="24"/>
                <w:szCs w:val="24"/>
                <w:lang w:val="en-US" w:eastAsia="zh-CN" w:bidi="ar-SA"/>
                <w14:textFill>
                  <w14:solidFill>
                    <w14:schemeClr w14:val="tx1"/>
                  </w14:solidFill>
                </w14:textFill>
              </w:rPr>
              <w:t>二级标准，PM</w:t>
            </w:r>
            <w:r>
              <w:rPr>
                <w:rFonts w:hint="default" w:ascii="Times New Roman" w:hAnsi="Times New Roman" w:eastAsia="新宋体" w:cs="Times New Roman"/>
                <w:color w:val="000000" w:themeColor="text1"/>
                <w:kern w:val="2"/>
                <w:sz w:val="24"/>
                <w:szCs w:val="24"/>
                <w:vertAlign w:val="subscript"/>
                <w:lang w:val="en-US" w:eastAsia="zh-CN" w:bidi="ar-SA"/>
                <w14:textFill>
                  <w14:solidFill>
                    <w14:schemeClr w14:val="tx1"/>
                  </w14:solidFill>
                </w14:textFill>
              </w:rPr>
              <w:t>10</w:t>
            </w:r>
            <w:r>
              <w:rPr>
                <w:rFonts w:hint="default" w:ascii="Times New Roman" w:hAnsi="Times New Roman" w:eastAsia="新宋体" w:cs="Times New Roman"/>
                <w:color w:val="000000" w:themeColor="text1"/>
                <w:kern w:val="2"/>
                <w:sz w:val="24"/>
                <w:szCs w:val="24"/>
                <w:lang w:val="en-US" w:eastAsia="zh-CN" w:bidi="ar-SA"/>
                <w14:textFill>
                  <w14:solidFill>
                    <w14:schemeClr w14:val="tx1"/>
                  </w14:solidFill>
                </w14:textFill>
              </w:rPr>
              <w:t>、PM</w:t>
            </w:r>
            <w:r>
              <w:rPr>
                <w:rFonts w:hint="default" w:ascii="Times New Roman" w:hAnsi="Times New Roman" w:eastAsia="新宋体" w:cs="Times New Roman"/>
                <w:color w:val="000000" w:themeColor="text1"/>
                <w:kern w:val="2"/>
                <w:sz w:val="24"/>
                <w:szCs w:val="24"/>
                <w:vertAlign w:val="subscript"/>
                <w:lang w:val="en-US" w:eastAsia="zh-CN" w:bidi="ar-SA"/>
                <w14:textFill>
                  <w14:solidFill>
                    <w14:schemeClr w14:val="tx1"/>
                  </w14:solidFill>
                </w14:textFill>
              </w:rPr>
              <w:t>2.5</w:t>
            </w:r>
            <w:r>
              <w:rPr>
                <w:rFonts w:hint="default" w:ascii="Times New Roman" w:hAnsi="Times New Roman" w:eastAsia="新宋体" w:cs="Times New Roman"/>
                <w:color w:val="000000" w:themeColor="text1"/>
                <w:kern w:val="2"/>
                <w:sz w:val="24"/>
                <w:szCs w:val="24"/>
                <w:lang w:val="en-US" w:eastAsia="zh-CN" w:bidi="ar-SA"/>
                <w14:textFill>
                  <w14:solidFill>
                    <w14:schemeClr w14:val="tx1"/>
                  </w14:solidFill>
                </w14:textFill>
              </w:rPr>
              <w:t>年均浓度超标，超标原因为项目区地处南疆，位于沙漠边缘，受沙尘天气影响，PM</w:t>
            </w:r>
            <w:r>
              <w:rPr>
                <w:rFonts w:hint="default" w:ascii="Times New Roman" w:hAnsi="Times New Roman" w:eastAsia="新宋体" w:cs="Times New Roman"/>
                <w:color w:val="000000" w:themeColor="text1"/>
                <w:kern w:val="2"/>
                <w:sz w:val="24"/>
                <w:szCs w:val="24"/>
                <w:vertAlign w:val="subscript"/>
                <w:lang w:val="en-US" w:eastAsia="zh-CN" w:bidi="ar-SA"/>
                <w14:textFill>
                  <w14:solidFill>
                    <w14:schemeClr w14:val="tx1"/>
                  </w14:solidFill>
                </w14:textFill>
              </w:rPr>
              <w:t>10</w:t>
            </w:r>
            <w:r>
              <w:rPr>
                <w:rFonts w:hint="default" w:ascii="Times New Roman" w:hAnsi="Times New Roman" w:eastAsia="新宋体" w:cs="Times New Roman"/>
                <w:color w:val="000000" w:themeColor="text1"/>
                <w:kern w:val="2"/>
                <w:sz w:val="24"/>
                <w:szCs w:val="24"/>
                <w:lang w:val="en-US" w:eastAsia="zh-CN" w:bidi="ar-SA"/>
                <w14:textFill>
                  <w14:solidFill>
                    <w14:schemeClr w14:val="tx1"/>
                  </w14:solidFill>
                </w14:textFill>
              </w:rPr>
              <w:t>、PM</w:t>
            </w:r>
            <w:r>
              <w:rPr>
                <w:rFonts w:hint="default" w:ascii="Times New Roman" w:hAnsi="Times New Roman" w:eastAsia="新宋体" w:cs="Times New Roman"/>
                <w:color w:val="000000" w:themeColor="text1"/>
                <w:kern w:val="2"/>
                <w:sz w:val="24"/>
                <w:szCs w:val="24"/>
                <w:vertAlign w:val="subscript"/>
                <w:lang w:val="en-US" w:eastAsia="zh-CN" w:bidi="ar-SA"/>
                <w14:textFill>
                  <w14:solidFill>
                    <w14:schemeClr w14:val="tx1"/>
                  </w14:solidFill>
                </w14:textFill>
              </w:rPr>
              <w:t>2.5</w:t>
            </w:r>
            <w:r>
              <w:rPr>
                <w:rFonts w:hint="default" w:ascii="Times New Roman" w:hAnsi="Times New Roman" w:eastAsia="新宋体" w:cs="Times New Roman"/>
                <w:color w:val="000000" w:themeColor="text1"/>
                <w:kern w:val="2"/>
                <w:sz w:val="24"/>
                <w:szCs w:val="24"/>
                <w:lang w:val="en-US" w:eastAsia="zh-CN" w:bidi="ar-SA"/>
                <w14:textFill>
                  <w14:solidFill>
                    <w14:schemeClr w14:val="tx1"/>
                  </w14:solidFill>
                </w14:textFill>
              </w:rPr>
              <w:t>年均值浓度，由背景因素所致。另外，根据2022</w:t>
            </w:r>
            <w:r>
              <w:rPr>
                <w:rFonts w:hint="eastAsia" w:eastAsia="新宋体" w:cs="Times New Roman"/>
                <w:color w:val="000000" w:themeColor="text1"/>
                <w:kern w:val="2"/>
                <w:sz w:val="24"/>
                <w:szCs w:val="24"/>
                <w:lang w:val="en-US" w:eastAsia="zh-CN" w:bidi="ar-SA"/>
                <w14:textFill>
                  <w14:solidFill>
                    <w14:schemeClr w14:val="tx1"/>
                  </w14:solidFill>
                </w14:textFill>
              </w:rPr>
              <w:t>年</w:t>
            </w:r>
            <w:r>
              <w:rPr>
                <w:rFonts w:hint="default" w:ascii="Times New Roman" w:hAnsi="Times New Roman" w:eastAsia="新宋体" w:cs="Times New Roman"/>
                <w:color w:val="000000" w:themeColor="text1"/>
                <w:kern w:val="2"/>
                <w:sz w:val="24"/>
                <w:szCs w:val="24"/>
                <w:lang w:val="en-US" w:eastAsia="zh-CN" w:bidi="ar-SA"/>
                <w14:textFill>
                  <w14:solidFill>
                    <w14:schemeClr w14:val="tx1"/>
                  </w14:solidFill>
                </w14:textFill>
              </w:rPr>
              <w:t>巴音郭楞蒙古自治州生态环境状况公报，主要是受沙尘天气影响，PM</w:t>
            </w:r>
            <w:r>
              <w:rPr>
                <w:rFonts w:hint="default" w:ascii="Times New Roman" w:hAnsi="Times New Roman" w:eastAsia="新宋体" w:cs="Times New Roman"/>
                <w:color w:val="000000" w:themeColor="text1"/>
                <w:kern w:val="2"/>
                <w:sz w:val="24"/>
                <w:szCs w:val="24"/>
                <w:vertAlign w:val="subscript"/>
                <w:lang w:val="en-US" w:eastAsia="zh-CN" w:bidi="ar-SA"/>
                <w14:textFill>
                  <w14:solidFill>
                    <w14:schemeClr w14:val="tx1"/>
                  </w14:solidFill>
                </w14:textFill>
              </w:rPr>
              <w:t>10</w:t>
            </w:r>
            <w:r>
              <w:rPr>
                <w:rFonts w:hint="default" w:ascii="Times New Roman" w:hAnsi="Times New Roman" w:eastAsia="新宋体" w:cs="Times New Roman"/>
                <w:color w:val="000000" w:themeColor="text1"/>
                <w:kern w:val="2"/>
                <w:sz w:val="24"/>
                <w:szCs w:val="24"/>
                <w:lang w:val="en-US" w:eastAsia="zh-CN" w:bidi="ar-SA"/>
                <w14:textFill>
                  <w14:solidFill>
                    <w14:schemeClr w14:val="tx1"/>
                  </w14:solidFill>
                </w14:textFill>
              </w:rPr>
              <w:t>、PM</w:t>
            </w:r>
            <w:r>
              <w:rPr>
                <w:rFonts w:hint="default" w:ascii="Times New Roman" w:hAnsi="Times New Roman" w:eastAsia="新宋体" w:cs="Times New Roman"/>
                <w:color w:val="000000" w:themeColor="text1"/>
                <w:kern w:val="2"/>
                <w:sz w:val="24"/>
                <w:szCs w:val="24"/>
                <w:vertAlign w:val="subscript"/>
                <w:lang w:val="en-US" w:eastAsia="zh-CN" w:bidi="ar-SA"/>
                <w14:textFill>
                  <w14:solidFill>
                    <w14:schemeClr w14:val="tx1"/>
                  </w14:solidFill>
                </w14:textFill>
              </w:rPr>
              <w:t>2.5</w:t>
            </w:r>
            <w:r>
              <w:rPr>
                <w:rFonts w:hint="default" w:ascii="Times New Roman" w:hAnsi="Times New Roman" w:eastAsia="新宋体" w:cs="Times New Roman"/>
                <w:color w:val="000000" w:themeColor="text1"/>
                <w:kern w:val="2"/>
                <w:sz w:val="24"/>
                <w:szCs w:val="24"/>
                <w:lang w:val="en-US" w:eastAsia="zh-CN" w:bidi="ar-SA"/>
                <w14:textFill>
                  <w14:solidFill>
                    <w14:schemeClr w14:val="tx1"/>
                  </w14:solidFill>
                </w14:textFill>
              </w:rPr>
              <w:t>年均值浓度超过《环境空气质量标准（GB3095-2012）》二级标准。本项目所在区域为非达标区域。</w:t>
            </w:r>
          </w:p>
          <w:p w14:paraId="3E5ECFE0">
            <w:pPr>
              <w:keepNext w:val="0"/>
              <w:keepLines w:val="0"/>
              <w:pageBreakBefore w:val="0"/>
              <w:kinsoku/>
              <w:wordWrap/>
              <w:overflowPunct/>
              <w:topLinePunct w:val="0"/>
              <w:autoSpaceDE/>
              <w:autoSpaceDN/>
              <w:bidi w:val="0"/>
              <w:spacing w:line="360" w:lineRule="auto"/>
              <w:ind w:leftChars="0" w:firstLine="482" w:firstLineChars="200"/>
              <w:textAlignment w:val="auto"/>
              <w:rPr>
                <w:rFonts w:hint="default" w:ascii="Times New Roman" w:hAnsi="Times New Roman" w:eastAsia="新宋体" w:cs="Times New Roman"/>
                <w:b/>
                <w:color w:val="000000" w:themeColor="text1"/>
                <w:lang w:val="en-US" w:eastAsia="zh-CN"/>
                <w14:textFill>
                  <w14:solidFill>
                    <w14:schemeClr w14:val="tx1"/>
                  </w14:solidFill>
                </w14:textFill>
              </w:rPr>
            </w:pPr>
            <w:r>
              <w:rPr>
                <w:rFonts w:hint="eastAsia" w:eastAsia="新宋体" w:cs="Times New Roman"/>
                <w:b/>
                <w:color w:val="000000" w:themeColor="text1"/>
                <w:lang w:val="en-US" w:eastAsia="zh-CN"/>
                <w14:textFill>
                  <w14:solidFill>
                    <w14:schemeClr w14:val="tx1"/>
                  </w14:solidFill>
                </w14:textFill>
              </w:rPr>
              <w:t>1.2特征污染物调查</w:t>
            </w:r>
          </w:p>
          <w:p w14:paraId="489A34D5">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b/>
                <w:bCs/>
                <w:color w:val="000000" w:themeColor="text1"/>
                <w:sz w:val="24"/>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根据《建设项目环境影响报告表编制技术指南（污染影响类）（试行）》要求，</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需要对本项目特征污染物TSP</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进行补充监测。</w:t>
            </w:r>
          </w:p>
          <w:p w14:paraId="0F9E8A8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color w:val="000000" w:themeColor="text1"/>
                <w:sz w:val="24"/>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本次</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在项目下风向布设监测点位，监测点位位于项目区的</w:t>
            </w:r>
            <w:r>
              <w:rPr>
                <w:rFonts w:hint="eastAsia" w:cs="Times New Roman"/>
                <w:b w:val="0"/>
                <w:bCs w:val="0"/>
                <w:color w:val="000000" w:themeColor="text1"/>
                <w:sz w:val="24"/>
                <w:szCs w:val="24"/>
                <w:highlight w:val="none"/>
                <w:lang w:val="en-US" w:eastAsia="zh-CN"/>
                <w14:textFill>
                  <w14:solidFill>
                    <w14:schemeClr w14:val="tx1"/>
                  </w14:solidFill>
                </w14:textFill>
              </w:rPr>
              <w:t>东北</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侧，距项目区</w:t>
            </w:r>
            <w:r>
              <w:rPr>
                <w:rFonts w:hint="eastAsia" w:cs="Times New Roman"/>
                <w:b w:val="0"/>
                <w:bCs w:val="0"/>
                <w:color w:val="000000" w:themeColor="text1"/>
                <w:sz w:val="24"/>
                <w:szCs w:val="24"/>
                <w:highlight w:val="none"/>
                <w:lang w:val="en-US" w:eastAsia="zh-CN"/>
                <w14:textFill>
                  <w14:solidFill>
                    <w14:schemeClr w14:val="tx1"/>
                  </w14:solidFill>
                </w14:textFill>
              </w:rPr>
              <w:t>120</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p>
          <w:p w14:paraId="10EC7E02">
            <w:pPr>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b w:val="0"/>
                <w:bCs w:val="0"/>
                <w:color w:val="000000" w:themeColor="text1"/>
                <w:sz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监测地点、监测因子</w:t>
            </w:r>
          </w:p>
          <w:p w14:paraId="68D0CF7A">
            <w:pPr>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14:textFill>
                  <w14:solidFill>
                    <w14:schemeClr w14:val="tx1"/>
                  </w14:solidFill>
                </w14:textFill>
              </w:rPr>
              <w:t>监测地点：</w:t>
            </w: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位于项目区下风向</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w:t>
            </w:r>
          </w:p>
          <w:p w14:paraId="438B5FFE">
            <w:pPr>
              <w:pStyle w:val="86"/>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污染因子：</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TSP</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p w14:paraId="25C9C7A0">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cente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pPr>
            <w:r>
              <w:drawing>
                <wp:inline distT="0" distB="0" distL="114300" distR="114300">
                  <wp:extent cx="4171315" cy="2314575"/>
                  <wp:effectExtent l="0" t="0" r="635" b="952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4171315" cy="2314575"/>
                          </a:xfrm>
                          <a:prstGeom prst="rect">
                            <a:avLst/>
                          </a:prstGeom>
                          <a:noFill/>
                          <a:ln>
                            <a:noFill/>
                          </a:ln>
                        </pic:spPr>
                      </pic:pic>
                    </a:graphicData>
                  </a:graphic>
                </wp:inline>
              </w:drawing>
            </w:r>
          </w:p>
          <w:p w14:paraId="2161596B">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cente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eastAsia" w:eastAsia="宋体" w:cs="Times New Roman"/>
                <w:b/>
                <w:bCs/>
                <w:color w:val="000000" w:themeColor="text1"/>
                <w:sz w:val="21"/>
                <w:szCs w:val="21"/>
                <w:highlight w:val="none"/>
                <w:lang w:val="en-US" w:eastAsia="zh-CN"/>
                <w14:textFill>
                  <w14:solidFill>
                    <w14:schemeClr w14:val="tx1"/>
                  </w14:solidFill>
                </w14:textFill>
              </w:rPr>
              <w:t>图</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3-</w:t>
            </w:r>
            <w:r>
              <w:rPr>
                <w:rFonts w:hint="eastAsia" w:eastAsia="宋体" w:cs="Times New Roman"/>
                <w:b/>
                <w:bCs/>
                <w:color w:val="000000" w:themeColor="text1"/>
                <w:sz w:val="21"/>
                <w:szCs w:val="21"/>
                <w:highlight w:val="none"/>
                <w:lang w:val="en-US" w:eastAsia="zh-CN"/>
                <w14:textFill>
                  <w14:solidFill>
                    <w14:schemeClr w14:val="tx1"/>
                  </w14:solidFill>
                </w14:textFill>
              </w:rPr>
              <w:t>1TSP现状监测点与项目区相对位置图</w:t>
            </w:r>
          </w:p>
          <w:p w14:paraId="1152C699">
            <w:pPr>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b w:val="0"/>
                <w:bCs w:val="0"/>
                <w:color w:val="000000" w:themeColor="text1"/>
                <w:sz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采样及分析方法</w:t>
            </w:r>
          </w:p>
          <w:p w14:paraId="75C2BB36">
            <w:pPr>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b w:val="0"/>
                <w:bCs w:val="0"/>
                <w:color w:val="000000" w:themeColor="text1"/>
                <w:sz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TSP的</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采样方法和分析方法</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为</w:t>
            </w: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《环境空气</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总悬浮颗粒物的测定重量法</w:t>
            </w: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GB/T15432-1995</w:t>
            </w: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w:t>
            </w:r>
          </w:p>
          <w:p w14:paraId="16A8337B">
            <w:pPr>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b w:val="0"/>
                <w:bCs w:val="0"/>
                <w:color w:val="000000" w:themeColor="text1"/>
                <w:sz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监测时间及频率</w:t>
            </w:r>
          </w:p>
          <w:p w14:paraId="422CF540">
            <w:pPr>
              <w:pStyle w:val="86"/>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2023年</w:t>
            </w:r>
            <w:r>
              <w:rPr>
                <w:rFonts w:hint="eastAsia" w:ascii="Times New Roman" w:cs="Times New Roman"/>
                <w:b w:val="0"/>
                <w:bCs w:val="0"/>
                <w:color w:val="000000" w:themeColor="text1"/>
                <w:sz w:val="24"/>
                <w:highlight w:val="none"/>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月4日，连续检测</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天，每日至少有</w:t>
            </w:r>
            <w:r>
              <w:rPr>
                <w:rFonts w:hint="eastAsia" w:ascii="Times New Roman" w:cs="Times New Roman"/>
                <w:b w:val="0"/>
                <w:bCs w:val="0"/>
                <w:color w:val="000000" w:themeColor="text1"/>
                <w:sz w:val="24"/>
                <w:highlight w:val="none"/>
                <w:lang w:val="en-US" w:eastAsia="zh-CN"/>
                <w14:textFill>
                  <w14:solidFill>
                    <w14:schemeClr w14:val="tx1"/>
                  </w14:solidFill>
                </w14:textFill>
              </w:rPr>
              <w:t>8</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个小时平均浓度值或采样时间。</w:t>
            </w:r>
          </w:p>
          <w:p w14:paraId="3E43FD96">
            <w:pPr>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b w:val="0"/>
                <w:bCs w:val="0"/>
                <w:color w:val="000000" w:themeColor="text1"/>
                <w:sz w:val="24"/>
                <w:highlight w:val="none"/>
                <w14:textFill>
                  <w14:solidFill>
                    <w14:schemeClr w14:val="tx1"/>
                  </w14:solidFill>
                </w14:textFill>
              </w:rPr>
            </w:pPr>
            <w:bookmarkStart w:id="1" w:name="_Toc28617"/>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评价标准</w:t>
            </w:r>
            <w:bookmarkEnd w:id="1"/>
          </w:p>
          <w:p w14:paraId="1D9BA796">
            <w:pPr>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b w:val="0"/>
                <w:bCs w:val="0"/>
                <w:color w:val="000000" w:themeColor="text1"/>
                <w:sz w:val="24"/>
                <w:highlight w:val="none"/>
                <w14:textFill>
                  <w14:solidFill>
                    <w14:schemeClr w14:val="tx1"/>
                  </w14:solidFill>
                </w14:textFill>
              </w:rPr>
            </w:pPr>
            <w:bookmarkStart w:id="2" w:name="_Toc311744203"/>
            <w:r>
              <w:rPr>
                <w:rFonts w:hint="default" w:ascii="Times New Roman" w:hAnsi="Times New Roman" w:eastAsia="宋体" w:cs="Times New Roman"/>
                <w:color w:val="000000" w:themeColor="text1"/>
                <w:sz w:val="24"/>
                <w:highlight w:val="none"/>
                <w:lang w:eastAsia="zh-CN"/>
                <w14:textFill>
                  <w14:solidFill>
                    <w14:schemeClr w14:val="tx1"/>
                  </w14:solidFill>
                </w14:textFill>
              </w:rPr>
              <w:t>执行《环境空气质量标准》（</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GB3095-2012</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）表</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2中二级标准</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6146B6E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000000" w:themeColor="text1"/>
                <w:sz w:val="24"/>
                <w:highlight w:val="none"/>
                <w14:textFill>
                  <w14:solidFill>
                    <w14:schemeClr w14:val="tx1"/>
                  </w14:solidFill>
                </w14:textFill>
              </w:rPr>
            </w:pPr>
            <w:bookmarkStart w:id="3" w:name="_Toc12004"/>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评价方法</w:t>
            </w:r>
            <w:bookmarkEnd w:id="3"/>
          </w:p>
          <w:p w14:paraId="64B3B08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000000" w:themeColor="text1"/>
                <w:sz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highlight w:val="none"/>
                <w14:textFill>
                  <w14:solidFill>
                    <w14:schemeClr w14:val="tx1"/>
                  </w14:solidFill>
                </w14:textFill>
              </w:rPr>
              <w:t>本评价采用单因子评价指数法，单因子评价指数用以下公式计算而得：</w:t>
            </w:r>
          </w:p>
          <w:p w14:paraId="7C2EC9E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ascii="Times New Roman" w:hAnsi="Times New Roman" w:eastAsia="宋体" w:cs="Times New Roman"/>
                <w:b w:val="0"/>
                <w:bCs w:val="0"/>
                <w:color w:val="000000" w:themeColor="text1"/>
                <w:sz w:val="24"/>
                <w:highlight w:val="none"/>
                <w14:textFill>
                  <w14:solidFill>
                    <w14:schemeClr w14:val="tx1"/>
                  </w14:solidFill>
                </w14:textFill>
              </w:rPr>
            </w:pPr>
            <w:bookmarkStart w:id="4" w:name="_Toc9636_WPSOffice_Level1"/>
            <w:r>
              <w:rPr>
                <w:rFonts w:hint="default" w:ascii="Times New Roman" w:hAnsi="Times New Roman" w:eastAsia="宋体" w:cs="Times New Roman"/>
                <w:b w:val="0"/>
                <w:bCs w:val="0"/>
                <w:color w:val="000000" w:themeColor="text1"/>
                <w:sz w:val="24"/>
                <w:highlight w:val="none"/>
                <w14:textFill>
                  <w14:solidFill>
                    <w14:schemeClr w14:val="tx1"/>
                  </w14:solidFill>
                </w14:textFill>
              </w:rPr>
              <w:t>I</w:t>
            </w:r>
            <w:r>
              <w:rPr>
                <w:rFonts w:hint="default" w:ascii="Times New Roman" w:hAnsi="Times New Roman" w:eastAsia="宋体" w:cs="Times New Roman"/>
                <w:b w:val="0"/>
                <w:bCs w:val="0"/>
                <w:color w:val="000000" w:themeColor="text1"/>
                <w:sz w:val="24"/>
                <w:highlight w:val="none"/>
                <w:vertAlign w:val="subscript"/>
                <w14:textFill>
                  <w14:solidFill>
                    <w14:schemeClr w14:val="tx1"/>
                  </w14:solidFill>
                </w14:textFill>
              </w:rPr>
              <w:t>i</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=C</w:t>
            </w:r>
            <w:r>
              <w:rPr>
                <w:rFonts w:hint="default" w:ascii="Times New Roman" w:hAnsi="Times New Roman" w:eastAsia="宋体" w:cs="Times New Roman"/>
                <w:b w:val="0"/>
                <w:bCs w:val="0"/>
                <w:color w:val="000000" w:themeColor="text1"/>
                <w:sz w:val="24"/>
                <w:highlight w:val="none"/>
                <w:vertAlign w:val="subscript"/>
                <w14:textFill>
                  <w14:solidFill>
                    <w14:schemeClr w14:val="tx1"/>
                  </w14:solidFill>
                </w14:textFill>
              </w:rPr>
              <w:t>i</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/C</w:t>
            </w:r>
            <w:r>
              <w:rPr>
                <w:rFonts w:hint="default" w:ascii="Times New Roman" w:hAnsi="Times New Roman" w:eastAsia="宋体" w:cs="Times New Roman"/>
                <w:b w:val="0"/>
                <w:bCs w:val="0"/>
                <w:color w:val="000000" w:themeColor="text1"/>
                <w:sz w:val="24"/>
                <w:highlight w:val="none"/>
                <w:vertAlign w:val="subscript"/>
                <w14:textFill>
                  <w14:solidFill>
                    <w14:schemeClr w14:val="tx1"/>
                  </w14:solidFill>
                </w14:textFill>
              </w:rPr>
              <w:t>o</w:t>
            </w:r>
            <w:bookmarkEnd w:id="4"/>
          </w:p>
          <w:p w14:paraId="4288C1E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000000" w:themeColor="text1"/>
                <w:sz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highlight w:val="none"/>
                <w14:textFill>
                  <w14:solidFill>
                    <w14:schemeClr w14:val="tx1"/>
                  </w14:solidFill>
                </w14:textFill>
              </w:rPr>
              <w:t>式中：I</w:t>
            </w:r>
            <w:r>
              <w:rPr>
                <w:rFonts w:hint="default" w:ascii="Times New Roman" w:hAnsi="Times New Roman" w:eastAsia="宋体" w:cs="Times New Roman"/>
                <w:b w:val="0"/>
                <w:bCs w:val="0"/>
                <w:color w:val="000000" w:themeColor="text1"/>
                <w:sz w:val="24"/>
                <w:highlight w:val="none"/>
                <w:vertAlign w:val="subscript"/>
                <w14:textFill>
                  <w14:solidFill>
                    <w14:schemeClr w14:val="tx1"/>
                  </w14:solidFill>
                </w14:textFill>
              </w:rPr>
              <w:t>i</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——污染物i的单因子评价指数，无量纲；</w:t>
            </w:r>
          </w:p>
          <w:p w14:paraId="1B1BA62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000000" w:themeColor="text1"/>
                <w:sz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highlight w:val="none"/>
                <w14:textFill>
                  <w14:solidFill>
                    <w14:schemeClr w14:val="tx1"/>
                  </w14:solidFill>
                </w14:textFill>
              </w:rPr>
              <w:t>C</w:t>
            </w:r>
            <w:r>
              <w:rPr>
                <w:rFonts w:hint="default" w:ascii="Times New Roman" w:hAnsi="Times New Roman" w:eastAsia="宋体" w:cs="Times New Roman"/>
                <w:b w:val="0"/>
                <w:bCs w:val="0"/>
                <w:color w:val="000000" w:themeColor="text1"/>
                <w:sz w:val="24"/>
                <w:highlight w:val="none"/>
                <w:vertAlign w:val="subscript"/>
                <w14:textFill>
                  <w14:solidFill>
                    <w14:schemeClr w14:val="tx1"/>
                  </w14:solidFill>
                </w14:textFill>
              </w:rPr>
              <w:t>i</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——污染物i的实测浓度，mg/m</w:t>
            </w:r>
            <w:r>
              <w:rPr>
                <w:rFonts w:hint="default" w:ascii="Times New Roman" w:hAnsi="Times New Roman" w:eastAsia="宋体" w:cs="Times New Roman"/>
                <w:b w:val="0"/>
                <w:bCs w:val="0"/>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w:t>
            </w:r>
          </w:p>
          <w:p w14:paraId="57D7C32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000000" w:themeColor="text1"/>
                <w:sz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highlight w:val="none"/>
                <w14:textFill>
                  <w14:solidFill>
                    <w14:schemeClr w14:val="tx1"/>
                  </w14:solidFill>
                </w14:textFill>
              </w:rPr>
              <w:t>C</w:t>
            </w:r>
            <w:r>
              <w:rPr>
                <w:rFonts w:hint="default" w:ascii="Times New Roman" w:hAnsi="Times New Roman" w:eastAsia="宋体" w:cs="Times New Roman"/>
                <w:b w:val="0"/>
                <w:bCs w:val="0"/>
                <w:color w:val="000000" w:themeColor="text1"/>
                <w:sz w:val="24"/>
                <w:highlight w:val="none"/>
                <w:vertAlign w:val="subscript"/>
                <w14:textFill>
                  <w14:solidFill>
                    <w14:schemeClr w14:val="tx1"/>
                  </w14:solidFill>
                </w14:textFill>
              </w:rPr>
              <w:t>o</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——污染物i的评价标准，mg/m</w:t>
            </w:r>
            <w:r>
              <w:rPr>
                <w:rFonts w:hint="default" w:ascii="Times New Roman" w:hAnsi="Times New Roman" w:eastAsia="宋体" w:cs="Times New Roman"/>
                <w:b w:val="0"/>
                <w:bCs w:val="0"/>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w:t>
            </w:r>
          </w:p>
          <w:p w14:paraId="0071858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000000" w:themeColor="text1"/>
                <w:sz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highlight w:val="none"/>
                <w14:textFill>
                  <w14:solidFill>
                    <w14:schemeClr w14:val="tx1"/>
                  </w14:solidFill>
                </w14:textFill>
              </w:rPr>
              <w:t>根据结果，当I</w:t>
            </w:r>
            <w:r>
              <w:rPr>
                <w:rFonts w:hint="default" w:ascii="Times New Roman" w:hAnsi="Times New Roman" w:eastAsia="宋体" w:cs="Times New Roman"/>
                <w:b w:val="0"/>
                <w:bCs w:val="0"/>
                <w:color w:val="000000" w:themeColor="text1"/>
                <w:sz w:val="24"/>
                <w:highlight w:val="none"/>
                <w:vertAlign w:val="subscript"/>
                <w14:textFill>
                  <w14:solidFill>
                    <w14:schemeClr w14:val="tx1"/>
                  </w14:solidFill>
                </w14:textFill>
              </w:rPr>
              <w:t>i</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&lt;1时，表示大气中该污染物浓度不超标；当I</w:t>
            </w:r>
            <w:r>
              <w:rPr>
                <w:rFonts w:hint="default" w:ascii="Times New Roman" w:hAnsi="Times New Roman" w:eastAsia="宋体" w:cs="Times New Roman"/>
                <w:b w:val="0"/>
                <w:bCs w:val="0"/>
                <w:color w:val="000000" w:themeColor="text1"/>
                <w:sz w:val="24"/>
                <w:highlight w:val="none"/>
                <w:vertAlign w:val="subscript"/>
                <w14:textFill>
                  <w14:solidFill>
                    <w14:schemeClr w14:val="tx1"/>
                  </w14:solidFill>
                </w14:textFill>
              </w:rPr>
              <w:t>i</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≥1时，表示大气中该污染物浓度超过评价标准。</w:t>
            </w:r>
          </w:p>
          <w:p w14:paraId="2D87433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（6）</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评价结果及结论</w:t>
            </w:r>
            <w:bookmarkEnd w:id="2"/>
          </w:p>
          <w:p w14:paraId="38A9844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表</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3-2</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项目区环境空气质量评价结果统计表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750"/>
              <w:gridCol w:w="1967"/>
              <w:gridCol w:w="1231"/>
              <w:gridCol w:w="1144"/>
              <w:gridCol w:w="1021"/>
              <w:gridCol w:w="833"/>
            </w:tblGrid>
            <w:tr w14:paraId="390E93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70" w:type="pct"/>
                  <w:noWrap/>
                  <w:vAlign w:val="center"/>
                </w:tcPr>
                <w:p w14:paraId="1EE6AB4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监测地点</w:t>
                  </w:r>
                </w:p>
              </w:tc>
              <w:tc>
                <w:tcPr>
                  <w:tcW w:w="457" w:type="pct"/>
                  <w:noWrap w:val="0"/>
                  <w:vAlign w:val="center"/>
                </w:tcPr>
                <w:p w14:paraId="11758D8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监测项目</w:t>
                  </w:r>
                </w:p>
              </w:tc>
              <w:tc>
                <w:tcPr>
                  <w:tcW w:w="1197" w:type="pct"/>
                  <w:noWrap w:val="0"/>
                  <w:vAlign w:val="center"/>
                </w:tcPr>
                <w:p w14:paraId="2C47EB7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监测日期</w:t>
                  </w:r>
                </w:p>
              </w:tc>
              <w:tc>
                <w:tcPr>
                  <w:tcW w:w="749" w:type="pct"/>
                  <w:noWrap w:val="0"/>
                  <w:vAlign w:val="center"/>
                </w:tcPr>
                <w:p w14:paraId="7011079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检测结果（μg/m</w:t>
                  </w:r>
                  <w:r>
                    <w:rPr>
                      <w:rFonts w:hint="default" w:ascii="Times New Roman" w:hAnsi="Times New Roman" w:eastAsia="宋体" w:cs="Times New Roman"/>
                      <w:color w:val="000000" w:themeColor="text1"/>
                      <w:kern w:val="0"/>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696" w:type="pct"/>
                  <w:noWrap w:val="0"/>
                  <w:vAlign w:val="center"/>
                </w:tcPr>
                <w:p w14:paraId="635D7D3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标准值（μg/m</w:t>
                  </w:r>
                  <w:r>
                    <w:rPr>
                      <w:rFonts w:hint="default" w:ascii="Times New Roman" w:hAnsi="Times New Roman" w:eastAsia="宋体" w:cs="Times New Roman"/>
                      <w:color w:val="000000" w:themeColor="text1"/>
                      <w:kern w:val="0"/>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621" w:type="pct"/>
                  <w:noWrap w:val="0"/>
                  <w:vAlign w:val="center"/>
                </w:tcPr>
                <w:p w14:paraId="3A24F03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评价指数</w:t>
                  </w:r>
                </w:p>
              </w:tc>
              <w:tc>
                <w:tcPr>
                  <w:tcW w:w="507" w:type="pct"/>
                  <w:noWrap w:val="0"/>
                  <w:vAlign w:val="center"/>
                </w:tcPr>
                <w:p w14:paraId="1E6ED3C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达标情况</w:t>
                  </w:r>
                </w:p>
              </w:tc>
            </w:tr>
            <w:tr w14:paraId="28993D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70" w:type="pct"/>
                  <w:vMerge w:val="restart"/>
                  <w:noWrap/>
                  <w:vAlign w:val="center"/>
                </w:tcPr>
                <w:p w14:paraId="08A5C88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项目下风向</w:t>
                  </w:r>
                </w:p>
              </w:tc>
              <w:tc>
                <w:tcPr>
                  <w:tcW w:w="457" w:type="pct"/>
                  <w:vMerge w:val="restart"/>
                  <w:noWrap w:val="0"/>
                  <w:vAlign w:val="center"/>
                </w:tcPr>
                <w:p w14:paraId="6959DF0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TSP</w:t>
                  </w:r>
                </w:p>
              </w:tc>
              <w:tc>
                <w:tcPr>
                  <w:tcW w:w="1197" w:type="pct"/>
                  <w:vMerge w:val="restart"/>
                  <w:noWrap w:val="0"/>
                  <w:vAlign w:val="center"/>
                </w:tcPr>
                <w:p w14:paraId="0EABC10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2023.10.1-2023.10.8</w:t>
                  </w:r>
                </w:p>
              </w:tc>
              <w:tc>
                <w:tcPr>
                  <w:tcW w:w="749" w:type="pct"/>
                  <w:vMerge w:val="restart"/>
                  <w:noWrap w:val="0"/>
                  <w:vAlign w:val="center"/>
                </w:tcPr>
                <w:p w14:paraId="74A3C39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212-237</w:t>
                  </w:r>
                </w:p>
              </w:tc>
              <w:tc>
                <w:tcPr>
                  <w:tcW w:w="696" w:type="pct"/>
                  <w:noWrap w:val="0"/>
                  <w:vAlign w:val="center"/>
                </w:tcPr>
                <w:p w14:paraId="2B64526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300</w:t>
                  </w:r>
                </w:p>
              </w:tc>
              <w:tc>
                <w:tcPr>
                  <w:tcW w:w="621" w:type="pct"/>
                  <w:vMerge w:val="restart"/>
                  <w:noWrap/>
                  <w:vAlign w:val="center"/>
                </w:tcPr>
                <w:p w14:paraId="33EACEC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0.70-0.79</w:t>
                  </w:r>
                </w:p>
              </w:tc>
              <w:tc>
                <w:tcPr>
                  <w:tcW w:w="507" w:type="pct"/>
                  <w:vMerge w:val="restart"/>
                  <w:noWrap/>
                  <w:vAlign w:val="center"/>
                </w:tcPr>
                <w:p w14:paraId="05E4D01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达标</w:t>
                  </w:r>
                </w:p>
              </w:tc>
            </w:tr>
            <w:tr w14:paraId="1E80CE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0" w:type="pct"/>
                  <w:vMerge w:val="continue"/>
                  <w:noWrap w:val="0"/>
                  <w:vAlign w:val="center"/>
                </w:tcPr>
                <w:p w14:paraId="0344CF3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457" w:type="pct"/>
                  <w:vMerge w:val="continue"/>
                  <w:noWrap w:val="0"/>
                  <w:vAlign w:val="center"/>
                </w:tcPr>
                <w:p w14:paraId="29B191C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197" w:type="pct"/>
                  <w:vMerge w:val="continue"/>
                  <w:noWrap w:val="0"/>
                  <w:vAlign w:val="center"/>
                </w:tcPr>
                <w:p w14:paraId="4FA1141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749" w:type="pct"/>
                  <w:vMerge w:val="continue"/>
                  <w:noWrap w:val="0"/>
                  <w:vAlign w:val="center"/>
                </w:tcPr>
                <w:p w14:paraId="0390DB5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696" w:type="pct"/>
                  <w:noWrap w:val="0"/>
                  <w:vAlign w:val="center"/>
                </w:tcPr>
                <w:p w14:paraId="695F827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300</w:t>
                  </w:r>
                </w:p>
              </w:tc>
              <w:tc>
                <w:tcPr>
                  <w:tcW w:w="621" w:type="pct"/>
                  <w:vMerge w:val="continue"/>
                  <w:noWrap/>
                  <w:vAlign w:val="center"/>
                </w:tcPr>
                <w:p w14:paraId="1F82681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07" w:type="pct"/>
                  <w:vMerge w:val="continue"/>
                  <w:noWrap/>
                  <w:vAlign w:val="center"/>
                </w:tcPr>
                <w:p w14:paraId="69F700E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r>
            <w:tr w14:paraId="754385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30" w:hRule="atLeast"/>
              </w:trPr>
              <w:tc>
                <w:tcPr>
                  <w:tcW w:w="770" w:type="pct"/>
                  <w:vMerge w:val="continue"/>
                  <w:noWrap w:val="0"/>
                  <w:vAlign w:val="center"/>
                </w:tcPr>
                <w:p w14:paraId="795890A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457" w:type="pct"/>
                  <w:vMerge w:val="continue"/>
                  <w:noWrap w:val="0"/>
                  <w:vAlign w:val="center"/>
                </w:tcPr>
                <w:p w14:paraId="7757B70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197" w:type="pct"/>
                  <w:vMerge w:val="continue"/>
                  <w:noWrap w:val="0"/>
                  <w:vAlign w:val="center"/>
                </w:tcPr>
                <w:p w14:paraId="5F50A27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p>
              </w:tc>
              <w:tc>
                <w:tcPr>
                  <w:tcW w:w="749" w:type="pct"/>
                  <w:vMerge w:val="continue"/>
                  <w:noWrap w:val="0"/>
                  <w:vAlign w:val="center"/>
                </w:tcPr>
                <w:p w14:paraId="7AF3DF3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696" w:type="pct"/>
                  <w:noWrap w:val="0"/>
                  <w:vAlign w:val="center"/>
                </w:tcPr>
                <w:p w14:paraId="57038CE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300</w:t>
                  </w:r>
                </w:p>
              </w:tc>
              <w:tc>
                <w:tcPr>
                  <w:tcW w:w="621" w:type="pct"/>
                  <w:vMerge w:val="continue"/>
                  <w:noWrap/>
                  <w:vAlign w:val="center"/>
                </w:tcPr>
                <w:p w14:paraId="0C8BC16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07" w:type="pct"/>
                  <w:vMerge w:val="continue"/>
                  <w:noWrap/>
                  <w:vAlign w:val="center"/>
                </w:tcPr>
                <w:p w14:paraId="33DD120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r>
          </w:tbl>
          <w:p w14:paraId="4ADD29FD">
            <w:pPr>
              <w:keepNext w:val="0"/>
              <w:keepLines w:val="0"/>
              <w:pageBreakBefore w:val="0"/>
              <w:widowControl w:val="0"/>
              <w:tabs>
                <w:tab w:val="left" w:pos="7170"/>
              </w:tabs>
              <w:kinsoku/>
              <w:wordWrap/>
              <w:overflowPunct/>
              <w:topLinePunct w:val="0"/>
              <w:autoSpaceDE/>
              <w:autoSpaceDN/>
              <w:bidi w:val="0"/>
              <w:snapToGrid w:val="0"/>
              <w:spacing w:line="360" w:lineRule="auto"/>
              <w:ind w:leftChars="0" w:firstLine="480" w:firstLineChars="200"/>
              <w:textAlignment w:val="auto"/>
              <w:rPr>
                <w:rFonts w:hint="default" w:ascii="Times New Roman" w:hAnsi="Times New Roman" w:eastAsia="新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新宋体" w:cs="Times New Roman"/>
                <w:color w:val="000000" w:themeColor="text1"/>
                <w:kern w:val="2"/>
                <w:sz w:val="24"/>
                <w:szCs w:val="24"/>
                <w:lang w:val="en-US" w:eastAsia="zh-CN" w:bidi="ar-SA"/>
                <w14:textFill>
                  <w14:solidFill>
                    <w14:schemeClr w14:val="tx1"/>
                  </w14:solidFill>
                </w14:textFill>
              </w:rPr>
              <w:t>从表</w:t>
            </w:r>
            <w:r>
              <w:rPr>
                <w:rFonts w:hint="eastAsia" w:ascii="Times New Roman" w:hAnsi="Times New Roman" w:eastAsia="新宋体" w:cs="Times New Roman"/>
                <w:color w:val="000000" w:themeColor="text1"/>
                <w:kern w:val="2"/>
                <w:sz w:val="24"/>
                <w:szCs w:val="24"/>
                <w:lang w:val="en-US" w:eastAsia="zh-CN" w:bidi="ar-SA"/>
                <w14:textFill>
                  <w14:solidFill>
                    <w14:schemeClr w14:val="tx1"/>
                  </w14:solidFill>
                </w14:textFill>
              </w:rPr>
              <w:t>3-2</w:t>
            </w:r>
            <w:r>
              <w:rPr>
                <w:rFonts w:hint="default" w:ascii="Times New Roman" w:hAnsi="Times New Roman" w:eastAsia="新宋体" w:cs="Times New Roman"/>
                <w:color w:val="000000" w:themeColor="text1"/>
                <w:kern w:val="2"/>
                <w:sz w:val="24"/>
                <w:szCs w:val="24"/>
                <w:lang w:val="en-US" w:eastAsia="zh-CN" w:bidi="ar-SA"/>
                <w14:textFill>
                  <w14:solidFill>
                    <w14:schemeClr w14:val="tx1"/>
                  </w14:solidFill>
                </w14:textFill>
              </w:rPr>
              <w:t>的分析结果可知，项目所在区域TSP环境质量现状可满足《环境空气质量标准》（GB3095-2012）表2中限值要求</w:t>
            </w:r>
            <w:r>
              <w:rPr>
                <w:rFonts w:hint="eastAsia" w:ascii="Times New Roman" w:hAnsi="Times New Roman" w:eastAsia="新宋体" w:cs="Times New Roman"/>
                <w:color w:val="000000" w:themeColor="text1"/>
                <w:kern w:val="2"/>
                <w:sz w:val="24"/>
                <w:szCs w:val="24"/>
                <w:lang w:val="en-US" w:eastAsia="zh-CN" w:bidi="ar-SA"/>
                <w14:textFill>
                  <w14:solidFill>
                    <w14:schemeClr w14:val="tx1"/>
                  </w14:solidFill>
                </w14:textFill>
              </w:rPr>
              <w:t>。</w:t>
            </w:r>
          </w:p>
          <w:p w14:paraId="10820084">
            <w:pPr>
              <w:spacing w:line="360" w:lineRule="auto"/>
              <w:ind w:leftChars="200" w:firstLine="0" w:firstLineChars="0"/>
              <w:rPr>
                <w:rFonts w:hint="default" w:ascii="Times New Roman" w:hAnsi="Times New Roman" w:eastAsia="新宋体" w:cs="Times New Roman"/>
                <w:b/>
                <w:color w:val="000000" w:themeColor="text1"/>
                <w14:textFill>
                  <w14:solidFill>
                    <w14:schemeClr w14:val="tx1"/>
                  </w14:solidFill>
                </w14:textFill>
              </w:rPr>
            </w:pPr>
            <w:r>
              <w:rPr>
                <w:rFonts w:hint="default" w:ascii="Times New Roman" w:hAnsi="Times New Roman" w:eastAsia="新宋体" w:cs="Times New Roman"/>
                <w:b/>
                <w:color w:val="000000" w:themeColor="text1"/>
                <w14:textFill>
                  <w14:solidFill>
                    <w14:schemeClr w14:val="tx1"/>
                  </w14:solidFill>
                </w14:textFill>
              </w:rPr>
              <w:t>2</w:t>
            </w:r>
            <w:r>
              <w:rPr>
                <w:rFonts w:hint="default" w:ascii="Times New Roman" w:hAnsi="Times New Roman" w:eastAsia="新宋体" w:cs="Times New Roman"/>
                <w:b/>
                <w:color w:val="000000" w:themeColor="text1"/>
                <w:lang w:eastAsia="zh-CN"/>
                <w14:textFill>
                  <w14:solidFill>
                    <w14:schemeClr w14:val="tx1"/>
                  </w14:solidFill>
                </w14:textFill>
              </w:rPr>
              <w:t>、</w:t>
            </w:r>
            <w:r>
              <w:rPr>
                <w:rFonts w:hint="default" w:ascii="Times New Roman" w:hAnsi="Times New Roman" w:eastAsia="新宋体" w:cs="Times New Roman"/>
                <w:b/>
                <w:color w:val="000000" w:themeColor="text1"/>
                <w14:textFill>
                  <w14:solidFill>
                    <w14:schemeClr w14:val="tx1"/>
                  </w14:solidFill>
                </w14:textFill>
              </w:rPr>
              <w:t>地表水环境质量现状调查与评价</w:t>
            </w:r>
          </w:p>
          <w:p w14:paraId="739F7606">
            <w:pPr>
              <w:keepNext w:val="0"/>
              <w:keepLines w:val="0"/>
              <w:pageBreakBefore w:val="0"/>
              <w:widowControl w:val="0"/>
              <w:tabs>
                <w:tab w:val="left" w:pos="7170"/>
              </w:tabs>
              <w:kinsoku/>
              <w:wordWrap/>
              <w:overflowPunct/>
              <w:topLinePunct w:val="0"/>
              <w:autoSpaceDE/>
              <w:autoSpaceDN/>
              <w:bidi w:val="0"/>
              <w:snapToGrid w:val="0"/>
              <w:spacing w:line="360" w:lineRule="auto"/>
              <w:ind w:leftChars="0" w:firstLine="480" w:firstLineChars="200"/>
              <w:textAlignment w:val="auto"/>
              <w:rPr>
                <w:rFonts w:hint="default" w:ascii="Times New Roman" w:hAnsi="Times New Roman" w:eastAsia="新宋体" w:cs="Times New Roman"/>
                <w:color w:val="000000" w:themeColor="text1"/>
                <w:sz w:val="24"/>
                <w14:textFill>
                  <w14:solidFill>
                    <w14:schemeClr w14:val="tx1"/>
                  </w14:solidFill>
                </w14:textFill>
              </w:rPr>
            </w:pPr>
            <w:r>
              <w:rPr>
                <w:rFonts w:hint="default" w:ascii="Times New Roman" w:hAnsi="Times New Roman" w:eastAsia="新宋体" w:cs="Times New Roman"/>
                <w:color w:val="000000" w:themeColor="text1"/>
                <w:kern w:val="2"/>
                <w:sz w:val="24"/>
                <w:szCs w:val="24"/>
                <w:lang w:val="en-US" w:eastAsia="zh-CN" w:bidi="ar-SA"/>
                <w14:textFill>
                  <w14:solidFill>
                    <w14:schemeClr w14:val="tx1"/>
                  </w14:solidFill>
                </w14:textFill>
              </w:rPr>
              <w:t>据本项目最近地表水体为</w:t>
            </w:r>
            <w:r>
              <w:rPr>
                <w:rFonts w:hint="eastAsia" w:eastAsia="新宋体" w:cs="Times New Roman"/>
                <w:color w:val="000000" w:themeColor="text1"/>
                <w:kern w:val="2"/>
                <w:sz w:val="24"/>
                <w:szCs w:val="24"/>
                <w:lang w:val="en-US" w:eastAsia="zh-CN" w:bidi="ar-SA"/>
                <w14:textFill>
                  <w14:solidFill>
                    <w14:schemeClr w14:val="tx1"/>
                  </w14:solidFill>
                </w14:textFill>
              </w:rPr>
              <w:t>西</w:t>
            </w:r>
            <w:r>
              <w:rPr>
                <w:rFonts w:hint="default" w:ascii="Times New Roman" w:hAnsi="Times New Roman" w:eastAsia="新宋体" w:cs="Times New Roman"/>
                <w:color w:val="000000" w:themeColor="text1"/>
                <w:kern w:val="2"/>
                <w:sz w:val="24"/>
                <w:szCs w:val="24"/>
                <w:lang w:val="en-US" w:eastAsia="zh-CN" w:bidi="ar-SA"/>
                <w14:textFill>
                  <w14:solidFill>
                    <w14:schemeClr w14:val="tx1"/>
                  </w14:solidFill>
                </w14:textFill>
              </w:rPr>
              <w:t>北侧</w:t>
            </w:r>
            <w:r>
              <w:rPr>
                <w:rFonts w:hint="eastAsia" w:eastAsia="新宋体" w:cs="Times New Roman"/>
                <w:color w:val="000000" w:themeColor="text1"/>
                <w:kern w:val="2"/>
                <w:sz w:val="24"/>
                <w:szCs w:val="24"/>
                <w:lang w:val="en-US" w:eastAsia="zh-CN" w:bidi="ar-SA"/>
                <w14:textFill>
                  <w14:solidFill>
                    <w14:schemeClr w14:val="tx1"/>
                  </w14:solidFill>
                </w14:textFill>
              </w:rPr>
              <w:t>930</w:t>
            </w:r>
            <w:r>
              <w:rPr>
                <w:rFonts w:hint="default" w:ascii="Times New Roman" w:hAnsi="Times New Roman" w:eastAsia="新宋体" w:cs="Times New Roman"/>
                <w:color w:val="000000" w:themeColor="text1"/>
                <w:kern w:val="2"/>
                <w:sz w:val="24"/>
                <w:szCs w:val="24"/>
                <w:lang w:val="en-US" w:eastAsia="zh-CN" w:bidi="ar-SA"/>
                <w14:textFill>
                  <w14:solidFill>
                    <w14:schemeClr w14:val="tx1"/>
                  </w14:solidFill>
                </w14:textFill>
              </w:rPr>
              <w:t>m处</w:t>
            </w:r>
            <w:r>
              <w:rPr>
                <w:rFonts w:hint="eastAsia" w:eastAsia="新宋体" w:cs="Times New Roman"/>
                <w:color w:val="000000" w:themeColor="text1"/>
                <w:kern w:val="2"/>
                <w:sz w:val="24"/>
                <w:szCs w:val="24"/>
                <w:lang w:val="en-US" w:eastAsia="zh-CN" w:bidi="ar-SA"/>
                <w14:textFill>
                  <w14:solidFill>
                    <w14:schemeClr w14:val="tx1"/>
                  </w14:solidFill>
                </w14:textFill>
              </w:rPr>
              <w:t>清水</w:t>
            </w:r>
            <w:r>
              <w:rPr>
                <w:rFonts w:hint="default" w:ascii="Times New Roman" w:hAnsi="Times New Roman" w:eastAsia="新宋体" w:cs="Times New Roman"/>
                <w:color w:val="000000" w:themeColor="text1"/>
                <w:kern w:val="2"/>
                <w:sz w:val="24"/>
                <w:szCs w:val="24"/>
                <w:lang w:val="en-US" w:eastAsia="zh-CN" w:bidi="ar-SA"/>
                <w14:textFill>
                  <w14:solidFill>
                    <w14:schemeClr w14:val="tx1"/>
                  </w14:solidFill>
                </w14:textFill>
              </w:rPr>
              <w:t>河，</w:t>
            </w:r>
            <w:r>
              <w:rPr>
                <w:rFonts w:hint="default" w:ascii="Times New Roman" w:hAnsi="Times New Roman" w:eastAsia="新宋体" w:cs="Times New Roman"/>
                <w:color w:val="000000" w:themeColor="text1"/>
                <w:kern w:val="0"/>
                <w:sz w:val="24"/>
                <w:lang w:val="en-US" w:eastAsia="zh-CN"/>
                <w14:textFill>
                  <w14:solidFill>
                    <w14:schemeClr w14:val="tx1"/>
                  </w14:solidFill>
                </w14:textFill>
              </w:rPr>
              <w:t>根据新疆坤诚</w:t>
            </w:r>
            <w:r>
              <w:rPr>
                <w:rFonts w:hint="eastAsia" w:eastAsia="新宋体" w:cs="Times New Roman"/>
                <w:color w:val="000000" w:themeColor="text1"/>
                <w:kern w:val="0"/>
                <w:sz w:val="24"/>
                <w:lang w:val="en-US" w:eastAsia="zh-CN"/>
                <w14:textFill>
                  <w14:solidFill>
                    <w14:schemeClr w14:val="tx1"/>
                  </w14:solidFill>
                </w14:textFill>
              </w:rPr>
              <w:t>检测</w:t>
            </w:r>
            <w:r>
              <w:rPr>
                <w:rFonts w:hint="default" w:ascii="Times New Roman" w:hAnsi="Times New Roman" w:eastAsia="新宋体" w:cs="Times New Roman"/>
                <w:color w:val="000000" w:themeColor="text1"/>
                <w:kern w:val="0"/>
                <w:sz w:val="24"/>
                <w:lang w:val="en-US" w:eastAsia="zh-CN"/>
                <w14:textFill>
                  <w14:solidFill>
                    <w14:schemeClr w14:val="tx1"/>
                  </w14:solidFill>
                </w14:textFill>
              </w:rPr>
              <w:t>技术有限公司巴州分公司对项目所在地清水河进行了水质现状监测，设置了3个监测断面</w:t>
            </w:r>
            <w:r>
              <w:rPr>
                <w:rFonts w:hint="eastAsia" w:eastAsia="新宋体" w:cs="Times New Roman"/>
                <w:color w:val="000000" w:themeColor="text1"/>
                <w:kern w:val="0"/>
                <w:sz w:val="24"/>
                <w:lang w:val="en-US" w:eastAsia="zh-CN"/>
                <w14:textFill>
                  <w14:solidFill>
                    <w14:schemeClr w14:val="tx1"/>
                  </w14:solidFill>
                </w14:textFill>
              </w:rPr>
              <w:t>监测数据显示，水体满足《地表水环境质量标准》（GB3838-2002）I类标准。</w:t>
            </w:r>
            <w:r>
              <w:rPr>
                <w:rFonts w:hint="default" w:ascii="Times New Roman" w:hAnsi="Times New Roman" w:eastAsia="新宋体" w:cs="Times New Roman"/>
                <w:color w:val="000000" w:themeColor="text1"/>
                <w:kern w:val="2"/>
                <w:sz w:val="24"/>
                <w:szCs w:val="24"/>
                <w:lang w:val="en-US" w:eastAsia="zh-CN" w:bidi="ar-SA"/>
                <w14:textFill>
                  <w14:solidFill>
                    <w14:schemeClr w14:val="tx1"/>
                  </w14:solidFill>
                </w14:textFill>
              </w:rPr>
              <w:t>项目生活污水排入</w:t>
            </w:r>
            <w:r>
              <w:rPr>
                <w:rFonts w:hint="eastAsia" w:eastAsia="新宋体" w:cs="Times New Roman"/>
                <w:color w:val="000000" w:themeColor="text1"/>
                <w:kern w:val="2"/>
                <w:sz w:val="24"/>
                <w:szCs w:val="24"/>
                <w:lang w:val="en-US" w:eastAsia="zh-CN" w:bidi="ar-SA"/>
                <w14:textFill>
                  <w14:solidFill>
                    <w14:schemeClr w14:val="tx1"/>
                  </w14:solidFill>
                </w14:textFill>
              </w:rPr>
              <w:t>防渗收集池</w:t>
            </w:r>
            <w:r>
              <w:rPr>
                <w:rFonts w:hint="default" w:ascii="Times New Roman" w:hAnsi="Times New Roman" w:eastAsia="新宋体" w:cs="Times New Roman"/>
                <w:color w:val="000000" w:themeColor="text1"/>
                <w:kern w:val="2"/>
                <w:sz w:val="24"/>
                <w:szCs w:val="24"/>
                <w:lang w:val="en-US" w:eastAsia="zh-CN" w:bidi="ar-SA"/>
                <w14:textFill>
                  <w14:solidFill>
                    <w14:schemeClr w14:val="tx1"/>
                  </w14:solidFill>
                </w14:textFill>
              </w:rPr>
              <w:t>最终委托外单位拉运处置</w:t>
            </w:r>
            <w:r>
              <w:rPr>
                <w:rFonts w:hint="eastAsia" w:eastAsia="新宋体" w:cs="Times New Roman"/>
                <w:color w:val="000000" w:themeColor="text1"/>
                <w:kern w:val="2"/>
                <w:sz w:val="24"/>
                <w:szCs w:val="24"/>
                <w:lang w:val="en-US" w:eastAsia="zh-CN" w:bidi="ar-SA"/>
                <w14:textFill>
                  <w14:solidFill>
                    <w14:schemeClr w14:val="tx1"/>
                  </w14:solidFill>
                </w14:textFill>
              </w:rPr>
              <w:t>，生产废水自然蒸发</w:t>
            </w:r>
            <w:r>
              <w:rPr>
                <w:rFonts w:hint="default" w:ascii="Times New Roman" w:hAnsi="Times New Roman" w:eastAsia="新宋体"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新宋体" w:cs="Times New Roman"/>
                <w:color w:val="000000" w:themeColor="text1"/>
                <w:kern w:val="0"/>
                <w:sz w:val="24"/>
                <w:lang w:val="en-US" w:eastAsia="zh-CN"/>
                <w14:textFill>
                  <w14:solidFill>
                    <w14:schemeClr w14:val="tx1"/>
                  </w14:solidFill>
                </w14:textFill>
              </w:rPr>
              <w:t>与地表水无水力联系</w:t>
            </w:r>
            <w:r>
              <w:rPr>
                <w:rFonts w:hint="default" w:ascii="Times New Roman" w:hAnsi="Times New Roman" w:eastAsia="新宋体" w:cs="Times New Roman"/>
                <w:color w:val="000000" w:themeColor="text1"/>
                <w:kern w:val="0"/>
                <w:sz w:val="24"/>
                <w:lang w:eastAsia="zh-CN"/>
                <w14:textFill>
                  <w14:solidFill>
                    <w14:schemeClr w14:val="tx1"/>
                  </w14:solidFill>
                </w14:textFill>
              </w:rPr>
              <w:t>，</w:t>
            </w:r>
            <w:r>
              <w:rPr>
                <w:rFonts w:hint="default" w:ascii="Times New Roman" w:hAnsi="Times New Roman" w:eastAsia="新宋体" w:cs="Times New Roman"/>
                <w:color w:val="000000" w:themeColor="text1"/>
                <w:kern w:val="0"/>
                <w:sz w:val="24"/>
                <w14:textFill>
                  <w14:solidFill>
                    <w14:schemeClr w14:val="tx1"/>
                  </w14:solidFill>
                </w14:textFill>
              </w:rPr>
              <w:t>无需开展地表水环境质量调查。</w:t>
            </w:r>
          </w:p>
          <w:p w14:paraId="1C3C7F4C">
            <w:pPr>
              <w:pStyle w:val="44"/>
              <w:keepNext w:val="0"/>
              <w:keepLines w:val="0"/>
              <w:pageBreakBefore w:val="0"/>
              <w:widowControl w:val="0"/>
              <w:kinsoku/>
              <w:wordWrap/>
              <w:overflowPunct/>
              <w:topLinePunct w:val="0"/>
              <w:autoSpaceDE/>
              <w:autoSpaceDN/>
              <w:bidi w:val="0"/>
              <w:spacing w:line="360" w:lineRule="auto"/>
              <w:ind w:leftChars="0" w:firstLine="502" w:firstLineChars="200"/>
              <w:textAlignment w:val="auto"/>
              <w:rPr>
                <w:rFonts w:hint="default" w:ascii="Times New Roman" w:hAnsi="Times New Roman" w:eastAsia="新宋体" w:cs="Times New Roman"/>
                <w:b/>
                <w:color w:val="000000" w:themeColor="text1"/>
                <w:sz w:val="25"/>
                <w:szCs w:val="25"/>
                <w14:textFill>
                  <w14:solidFill>
                    <w14:schemeClr w14:val="tx1"/>
                  </w14:solidFill>
                </w14:textFill>
              </w:rPr>
            </w:pPr>
            <w:r>
              <w:rPr>
                <w:rFonts w:hint="default" w:ascii="Times New Roman" w:hAnsi="Times New Roman" w:eastAsia="新宋体" w:cs="Times New Roman"/>
                <w:b/>
                <w:color w:val="000000" w:themeColor="text1"/>
                <w:sz w:val="25"/>
                <w:szCs w:val="25"/>
                <w14:textFill>
                  <w14:solidFill>
                    <w14:schemeClr w14:val="tx1"/>
                  </w14:solidFill>
                </w14:textFill>
              </w:rPr>
              <w:t>3</w:t>
            </w:r>
            <w:r>
              <w:rPr>
                <w:rFonts w:hint="default" w:ascii="Times New Roman" w:hAnsi="Times New Roman" w:eastAsia="新宋体" w:cs="Times New Roman"/>
                <w:b/>
                <w:color w:val="000000" w:themeColor="text1"/>
                <w:sz w:val="25"/>
                <w:szCs w:val="25"/>
                <w:lang w:eastAsia="zh-CN"/>
                <w14:textFill>
                  <w14:solidFill>
                    <w14:schemeClr w14:val="tx1"/>
                  </w14:solidFill>
                </w14:textFill>
              </w:rPr>
              <w:t>、</w:t>
            </w:r>
            <w:r>
              <w:rPr>
                <w:rFonts w:hint="default" w:ascii="Times New Roman" w:hAnsi="Times New Roman" w:eastAsia="新宋体" w:cs="Times New Roman"/>
                <w:b/>
                <w:color w:val="000000" w:themeColor="text1"/>
                <w:sz w:val="25"/>
                <w:szCs w:val="25"/>
                <w14:textFill>
                  <w14:solidFill>
                    <w14:schemeClr w14:val="tx1"/>
                  </w14:solidFill>
                </w14:textFill>
              </w:rPr>
              <w:t>声环境质量现状</w:t>
            </w:r>
          </w:p>
          <w:p w14:paraId="0F3691BA">
            <w:pPr>
              <w:keepNext w:val="0"/>
              <w:keepLines w:val="0"/>
              <w:pageBreakBefore w:val="0"/>
              <w:widowControl w:val="0"/>
              <w:kinsoku/>
              <w:wordWrap/>
              <w:overflowPunct/>
              <w:topLinePunct w:val="0"/>
              <w:autoSpaceDE/>
              <w:autoSpaceDN/>
              <w:bidi w:val="0"/>
              <w:spacing w:line="360" w:lineRule="auto"/>
              <w:ind w:leftChars="0" w:firstLine="480" w:firstLineChars="200"/>
              <w:textAlignment w:val="auto"/>
              <w:outlineLvl w:val="1"/>
              <w:rPr>
                <w:rFonts w:hint="default" w:ascii="Times New Roman" w:hAnsi="Times New Roman" w:eastAsia="新宋体" w:cs="Times New Roman"/>
                <w:color w:val="000000" w:themeColor="text1"/>
                <w:lang w:val="en-US" w:eastAsia="zh-CN"/>
                <w14:textFill>
                  <w14:solidFill>
                    <w14:schemeClr w14:val="tx1"/>
                  </w14:solidFill>
                </w14:textFill>
              </w:rPr>
            </w:pPr>
            <w:r>
              <w:rPr>
                <w:rFonts w:hint="eastAsia" w:eastAsia="新宋体" w:cs="Times New Roman"/>
                <w:color w:val="000000" w:themeColor="text1"/>
                <w:lang w:val="en-US" w:eastAsia="zh-CN"/>
                <w14:textFill>
                  <w14:solidFill>
                    <w14:schemeClr w14:val="tx1"/>
                  </w14:solidFill>
                </w14:textFill>
              </w:rPr>
              <w:t>根据《声环境功能区划分技术规范》（GB/T15190-2014），项目所在区域为2类声功能区。</w:t>
            </w:r>
          </w:p>
          <w:p w14:paraId="1D49AAD3">
            <w:pPr>
              <w:keepNext w:val="0"/>
              <w:keepLines w:val="0"/>
              <w:pageBreakBefore w:val="0"/>
              <w:widowControl w:val="0"/>
              <w:kinsoku/>
              <w:wordWrap/>
              <w:overflowPunct/>
              <w:topLinePunct w:val="0"/>
              <w:autoSpaceDE/>
              <w:autoSpaceDN/>
              <w:bidi w:val="0"/>
              <w:spacing w:line="360" w:lineRule="auto"/>
              <w:ind w:leftChars="0" w:firstLine="480" w:firstLineChars="200"/>
              <w:textAlignment w:val="auto"/>
              <w:outlineLvl w:val="1"/>
              <w:rPr>
                <w:rFonts w:hint="default" w:eastAsia="新宋体" w:cs="Times New Roman"/>
                <w:color w:val="000000" w:themeColor="text1"/>
                <w:lang w:val="en-US" w:eastAsia="zh-CN"/>
                <w14:textFill>
                  <w14:solidFill>
                    <w14:schemeClr w14:val="tx1"/>
                  </w14:solidFill>
                </w14:textFill>
              </w:rPr>
            </w:pPr>
            <w:r>
              <w:rPr>
                <w:rFonts w:hint="default" w:eastAsia="新宋体" w:cs="Times New Roman"/>
                <w:color w:val="000000" w:themeColor="text1"/>
                <w:lang w:val="en-US" w:eastAsia="zh-CN"/>
                <w14:textFill>
                  <w14:solidFill>
                    <w14:schemeClr w14:val="tx1"/>
                  </w14:solidFill>
                </w14:textFill>
              </w:rPr>
              <w:t>依据《建设项目环境影响报告表编制技术指南（污染影响类）（试行）》厂界外周边50m范围内存在声环境保护目标的建设项目，应监测保护目标声环境质量现状并评价达标情况。根据现场勘查项目区厂界50m范围内无声环境敏感目标，故本次评价不对声环境进行评价。</w:t>
            </w:r>
          </w:p>
          <w:p w14:paraId="7D534E13">
            <w:pPr>
              <w:pStyle w:val="45"/>
              <w:ind w:leftChars="200" w:firstLine="0" w:firstLineChars="0"/>
              <w:rPr>
                <w:rFonts w:hint="default" w:ascii="Times New Roman" w:hAnsi="Times New Roman" w:eastAsia="新宋体" w:cs="Times New Roman"/>
                <w:b/>
                <w:color w:val="000000" w:themeColor="text1"/>
                <w:sz w:val="25"/>
                <w:szCs w:val="25"/>
                <w:lang w:bidi="ug-CN"/>
                <w14:textFill>
                  <w14:solidFill>
                    <w14:schemeClr w14:val="tx1"/>
                  </w14:solidFill>
                </w14:textFill>
              </w:rPr>
            </w:pPr>
            <w:r>
              <w:rPr>
                <w:rFonts w:hint="default" w:ascii="Times New Roman" w:hAnsi="Times New Roman" w:eastAsia="新宋体" w:cs="Times New Roman"/>
                <w:b/>
                <w:color w:val="000000" w:themeColor="text1"/>
                <w:sz w:val="25"/>
                <w:szCs w:val="25"/>
                <w:lang w:bidi="ug-CN"/>
                <w14:textFill>
                  <w14:solidFill>
                    <w14:schemeClr w14:val="tx1"/>
                  </w14:solidFill>
                </w14:textFill>
              </w:rPr>
              <w:t>4</w:t>
            </w:r>
            <w:r>
              <w:rPr>
                <w:rFonts w:hint="default" w:ascii="Times New Roman" w:hAnsi="Times New Roman" w:eastAsia="新宋体" w:cs="Times New Roman"/>
                <w:b/>
                <w:color w:val="000000" w:themeColor="text1"/>
                <w:sz w:val="25"/>
                <w:szCs w:val="25"/>
                <w:lang w:eastAsia="zh-CN" w:bidi="ug-CN"/>
                <w14:textFill>
                  <w14:solidFill>
                    <w14:schemeClr w14:val="tx1"/>
                  </w14:solidFill>
                </w14:textFill>
              </w:rPr>
              <w:t>、</w:t>
            </w:r>
            <w:r>
              <w:rPr>
                <w:rFonts w:hint="default" w:ascii="Times New Roman" w:hAnsi="Times New Roman" w:eastAsia="新宋体" w:cs="Times New Roman"/>
                <w:b/>
                <w:color w:val="000000" w:themeColor="text1"/>
                <w:sz w:val="25"/>
                <w:szCs w:val="25"/>
                <w:lang w:bidi="ug-CN"/>
                <w14:textFill>
                  <w14:solidFill>
                    <w14:schemeClr w14:val="tx1"/>
                  </w14:solidFill>
                </w14:textFill>
              </w:rPr>
              <w:t>地下水和土壤质量现状</w:t>
            </w:r>
          </w:p>
          <w:p w14:paraId="626A2338">
            <w:pPr>
              <w:pStyle w:val="45"/>
              <w:ind w:firstLine="480"/>
              <w:rPr>
                <w:rFonts w:hint="default" w:ascii="Times New Roman" w:hAnsi="Times New Roman" w:eastAsia="新宋体" w:cs="Times New Roman"/>
                <w:color w:val="000000" w:themeColor="text1"/>
                <w:sz w:val="24"/>
                <w:lang w:eastAsia="zh-CN"/>
                <w14:textFill>
                  <w14:solidFill>
                    <w14:schemeClr w14:val="tx1"/>
                  </w14:solidFill>
                </w14:textFill>
              </w:rPr>
            </w:pPr>
            <w:r>
              <w:rPr>
                <w:rFonts w:hint="default" w:ascii="Times New Roman" w:hAnsi="Times New Roman" w:eastAsia="新宋体" w:cs="Times New Roman"/>
                <w:color w:val="000000" w:themeColor="text1"/>
                <w:sz w:val="24"/>
                <w:lang w:eastAsia="zh-CN"/>
                <w14:textFill>
                  <w14:solidFill>
                    <w14:schemeClr w14:val="tx1"/>
                  </w14:solidFill>
                </w14:textFill>
              </w:rPr>
              <w:t>本项目属于二十七、非金属矿物制品业30-石膏、水泥制品及类似制品制造302“砼结构构件制造”，根据《环境影响评价技术导则地下水环境》（HJ610-2016）附录A</w:t>
            </w:r>
            <w:r>
              <w:rPr>
                <w:rFonts w:hint="eastAsia" w:eastAsia="新宋体" w:cs="Times New Roman"/>
                <w:color w:val="000000" w:themeColor="text1"/>
                <w:sz w:val="24"/>
                <w:lang w:val="en-US" w:eastAsia="zh-CN"/>
                <w14:textFill>
                  <w14:solidFill>
                    <w14:schemeClr w14:val="tx1"/>
                  </w14:solidFill>
                </w14:textFill>
              </w:rPr>
              <w:t>中“J非金属矿采选及制品制造-60、砼结构构件制造、商品混凝土加工”Ⅳ类</w:t>
            </w:r>
            <w:r>
              <w:rPr>
                <w:rFonts w:hint="default" w:ascii="Times New Roman" w:hAnsi="Times New Roman" w:eastAsia="新宋体" w:cs="Times New Roman"/>
                <w:color w:val="000000" w:themeColor="text1"/>
                <w:sz w:val="24"/>
                <w:lang w:eastAsia="zh-CN"/>
                <w14:textFill>
                  <w14:solidFill>
                    <w14:schemeClr w14:val="tx1"/>
                  </w14:solidFill>
                </w14:textFill>
              </w:rPr>
              <w:t>，本项目不属于需开展地下水环境影响评价工作的项目。</w:t>
            </w:r>
          </w:p>
          <w:p w14:paraId="5D5540AF">
            <w:pPr>
              <w:pStyle w:val="45"/>
              <w:ind w:firstLine="480"/>
              <w:rPr>
                <w:rFonts w:hint="default" w:ascii="Times New Roman" w:hAnsi="Times New Roman" w:eastAsia="新宋体" w:cs="Times New Roman"/>
                <w:color w:val="000000" w:themeColor="text1"/>
                <w:sz w:val="24"/>
                <w:lang w:eastAsia="zh-CN"/>
                <w14:textFill>
                  <w14:solidFill>
                    <w14:schemeClr w14:val="tx1"/>
                  </w14:solidFill>
                </w14:textFill>
              </w:rPr>
            </w:pPr>
            <w:r>
              <w:rPr>
                <w:rFonts w:hint="default" w:ascii="Times New Roman" w:hAnsi="Times New Roman" w:eastAsia="新宋体" w:cs="Times New Roman"/>
                <w:color w:val="000000" w:themeColor="text1"/>
                <w:sz w:val="24"/>
                <w:lang w:eastAsia="zh-CN"/>
                <w14:textFill>
                  <w14:solidFill>
                    <w14:schemeClr w14:val="tx1"/>
                  </w14:solidFill>
                </w14:textFill>
              </w:rPr>
              <w:t>本项目为污染影响型项目，根据《环境影响评价技术导则土壤环境（试行）》</w:t>
            </w:r>
          </w:p>
          <w:p w14:paraId="3E47C5DE">
            <w:pPr>
              <w:pStyle w:val="45"/>
              <w:ind w:left="0" w:leftChars="0" w:firstLine="0" w:firstLineChars="0"/>
              <w:rPr>
                <w:rFonts w:hint="default" w:ascii="Times New Roman" w:hAnsi="Times New Roman" w:eastAsia="新宋体" w:cs="Times New Roman"/>
                <w:color w:val="000000" w:themeColor="text1"/>
                <w:sz w:val="24"/>
                <w:lang w:eastAsia="zh-CN"/>
                <w14:textFill>
                  <w14:solidFill>
                    <w14:schemeClr w14:val="tx1"/>
                  </w14:solidFill>
                </w14:textFill>
              </w:rPr>
            </w:pPr>
            <w:r>
              <w:rPr>
                <w:rFonts w:hint="default" w:ascii="Times New Roman" w:hAnsi="Times New Roman" w:eastAsia="新宋体" w:cs="Times New Roman"/>
                <w:color w:val="000000" w:themeColor="text1"/>
                <w:sz w:val="24"/>
                <w:lang w:eastAsia="zh-CN"/>
                <w14:textFill>
                  <w14:solidFill>
                    <w14:schemeClr w14:val="tx1"/>
                  </w14:solidFill>
                </w14:textFill>
              </w:rPr>
              <w:t>（HJ964-2018）附录A，本项目的项目类别为Ⅲ类，所在地周边的土壤环境</w:t>
            </w:r>
            <w:r>
              <w:rPr>
                <w:rFonts w:hint="eastAsia" w:eastAsia="新宋体" w:cs="Times New Roman"/>
                <w:color w:val="000000" w:themeColor="text1"/>
                <w:sz w:val="24"/>
                <w:lang w:eastAsia="zh-CN"/>
                <w14:textFill>
                  <w14:solidFill>
                    <w14:schemeClr w14:val="tx1"/>
                  </w14:solidFill>
                </w14:textFill>
              </w:rPr>
              <w:t>程度</w:t>
            </w:r>
            <w:r>
              <w:rPr>
                <w:rFonts w:hint="default" w:ascii="Times New Roman" w:hAnsi="Times New Roman" w:eastAsia="新宋体" w:cs="Times New Roman"/>
                <w:color w:val="000000" w:themeColor="text1"/>
                <w:sz w:val="24"/>
                <w:lang w:eastAsia="zh-CN"/>
                <w14:textFill>
                  <w14:solidFill>
                    <w14:schemeClr w14:val="tx1"/>
                  </w14:solidFill>
                </w14:textFill>
              </w:rPr>
              <w:t>不敏感，因此本项目无需开展土壤环境影响评价工作。</w:t>
            </w:r>
          </w:p>
          <w:p w14:paraId="7F179553">
            <w:pPr>
              <w:pStyle w:val="45"/>
              <w:ind w:firstLine="480"/>
              <w:rPr>
                <w:rFonts w:hint="default" w:ascii="Times New Roman" w:hAnsi="Times New Roman" w:eastAsia="新宋体" w:cs="Times New Roman"/>
                <w:color w:val="000000" w:themeColor="text1"/>
                <w:sz w:val="24"/>
                <w:lang w:eastAsia="zh-CN"/>
                <w14:textFill>
                  <w14:solidFill>
                    <w14:schemeClr w14:val="tx1"/>
                  </w14:solidFill>
                </w14:textFill>
              </w:rPr>
            </w:pPr>
            <w:r>
              <w:rPr>
                <w:rFonts w:hint="default" w:ascii="Times New Roman" w:hAnsi="Times New Roman" w:eastAsia="新宋体" w:cs="Times New Roman"/>
                <w:color w:val="000000" w:themeColor="text1"/>
                <w:sz w:val="24"/>
                <w:lang w:eastAsia="zh-CN"/>
                <w14:textFill>
                  <w14:solidFill>
                    <w14:schemeClr w14:val="tx1"/>
                  </w14:solidFill>
                </w14:textFill>
              </w:rPr>
              <w:t>《建设项目环境影响报告表编制技术指南（污染影响类）（试行）》中规定</w:t>
            </w:r>
            <w:r>
              <w:rPr>
                <w:rFonts w:hint="eastAsia" w:ascii="Times New Roman" w:hAnsi="Times New Roman" w:eastAsia="新宋体" w:cs="Times New Roman"/>
                <w:color w:val="000000" w:themeColor="text1"/>
                <w:sz w:val="24"/>
                <w:lang w:eastAsia="zh-CN"/>
                <w14:textFill>
                  <w14:solidFill>
                    <w14:schemeClr w14:val="tx1"/>
                  </w14:solidFill>
                </w14:textFill>
              </w:rPr>
              <w:t>“</w:t>
            </w:r>
            <w:r>
              <w:rPr>
                <w:rFonts w:hint="default" w:ascii="Times New Roman" w:hAnsi="Times New Roman" w:eastAsia="新宋体" w:cs="Times New Roman"/>
                <w:color w:val="000000" w:themeColor="text1"/>
                <w:sz w:val="24"/>
                <w:lang w:eastAsia="zh-CN"/>
                <w14:textFill>
                  <w14:solidFill>
                    <w14:schemeClr w14:val="tx1"/>
                  </w14:solidFill>
                </w14:textFill>
              </w:rPr>
              <w:t>地下水、土壤环境原则上不开展环境质量现状调查。建设项目存在土壤、地下水环境污染途径的，应结合污染源、保护目标分布情况开展现状调查以留作背景值</w:t>
            </w:r>
            <w:r>
              <w:rPr>
                <w:rFonts w:hint="eastAsia" w:ascii="Times New Roman" w:hAnsi="Times New Roman" w:eastAsia="新宋体" w:cs="Times New Roman"/>
                <w:color w:val="000000" w:themeColor="text1"/>
                <w:sz w:val="24"/>
                <w:lang w:eastAsia="zh-CN"/>
                <w14:textFill>
                  <w14:solidFill>
                    <w14:schemeClr w14:val="tx1"/>
                  </w14:solidFill>
                </w14:textFill>
              </w:rPr>
              <w:t>”。</w:t>
            </w:r>
            <w:r>
              <w:rPr>
                <w:rFonts w:hint="eastAsia" w:ascii="Times New Roman" w:hAnsi="Times New Roman" w:eastAsia="新宋体" w:cs="Times New Roman"/>
                <w:color w:val="000000" w:themeColor="text1"/>
                <w:sz w:val="24"/>
                <w:lang w:val="en-US" w:eastAsia="zh-CN"/>
                <w14:textFill>
                  <w14:solidFill>
                    <w14:schemeClr w14:val="tx1"/>
                  </w14:solidFill>
                </w14:textFill>
              </w:rPr>
              <w:t>本项目危废间做重点防渗，</w:t>
            </w:r>
            <w:r>
              <w:rPr>
                <w:rFonts w:hint="eastAsia" w:eastAsia="新宋体" w:cs="Times New Roman"/>
                <w:color w:val="000000" w:themeColor="text1"/>
                <w:sz w:val="24"/>
                <w:lang w:val="en-US" w:eastAsia="zh-CN"/>
                <w14:textFill>
                  <w14:solidFill>
                    <w14:schemeClr w14:val="tx1"/>
                  </w14:solidFill>
                </w14:textFill>
              </w:rPr>
              <w:t>沉淀收集池</w:t>
            </w:r>
            <w:r>
              <w:rPr>
                <w:rFonts w:hint="eastAsia" w:ascii="Times New Roman" w:hAnsi="Times New Roman" w:eastAsia="新宋体" w:cs="Times New Roman"/>
                <w:color w:val="000000" w:themeColor="text1"/>
                <w:sz w:val="24"/>
                <w:lang w:val="en-US" w:eastAsia="zh-CN"/>
                <w14:textFill>
                  <w14:solidFill>
                    <w14:schemeClr w14:val="tx1"/>
                  </w14:solidFill>
                </w14:textFill>
              </w:rPr>
              <w:t>做一般防渗处理，营运期基本无污染途径</w:t>
            </w:r>
            <w:r>
              <w:rPr>
                <w:rFonts w:hint="default" w:ascii="Times New Roman" w:hAnsi="Times New Roman" w:eastAsia="新宋体" w:cs="Times New Roman"/>
                <w:color w:val="000000" w:themeColor="text1"/>
                <w:sz w:val="24"/>
                <w:lang w:eastAsia="zh-CN"/>
                <w14:textFill>
                  <w14:solidFill>
                    <w14:schemeClr w14:val="tx1"/>
                  </w14:solidFill>
                </w14:textFill>
              </w:rPr>
              <w:t>，</w:t>
            </w:r>
            <w:r>
              <w:rPr>
                <w:rFonts w:hint="eastAsia" w:ascii="Times New Roman" w:hAnsi="Times New Roman" w:eastAsia="新宋体" w:cs="Times New Roman"/>
                <w:color w:val="000000" w:themeColor="text1"/>
                <w:sz w:val="24"/>
                <w:lang w:val="en-US" w:eastAsia="zh-CN"/>
                <w14:textFill>
                  <w14:solidFill>
                    <w14:schemeClr w14:val="tx1"/>
                  </w14:solidFill>
                </w14:textFill>
              </w:rPr>
              <w:t>因此</w:t>
            </w:r>
            <w:r>
              <w:rPr>
                <w:rFonts w:hint="default" w:ascii="Times New Roman" w:hAnsi="Times New Roman" w:eastAsia="新宋体" w:cs="Times New Roman"/>
                <w:color w:val="000000" w:themeColor="text1"/>
                <w:sz w:val="24"/>
                <w:lang w:eastAsia="zh-CN"/>
                <w14:textFill>
                  <w14:solidFill>
                    <w14:schemeClr w14:val="tx1"/>
                  </w14:solidFill>
                </w14:textFill>
              </w:rPr>
              <w:t>不开展环境质量现状调查。</w:t>
            </w:r>
          </w:p>
          <w:p w14:paraId="5384DA8F">
            <w:pPr>
              <w:pStyle w:val="45"/>
              <w:ind w:leftChars="200" w:firstLine="0" w:firstLineChars="0"/>
              <w:rPr>
                <w:rFonts w:hint="default" w:ascii="Times New Roman" w:hAnsi="Times New Roman" w:eastAsia="新宋体" w:cs="Times New Roman"/>
                <w:b/>
                <w:color w:val="000000" w:themeColor="text1"/>
                <w:sz w:val="25"/>
                <w:szCs w:val="25"/>
                <w:lang w:bidi="ug-CN"/>
                <w14:textFill>
                  <w14:solidFill>
                    <w14:schemeClr w14:val="tx1"/>
                  </w14:solidFill>
                </w14:textFill>
              </w:rPr>
            </w:pPr>
            <w:r>
              <w:rPr>
                <w:rFonts w:hint="default" w:ascii="Times New Roman" w:hAnsi="Times New Roman" w:eastAsia="新宋体" w:cs="Times New Roman"/>
                <w:b/>
                <w:color w:val="000000" w:themeColor="text1"/>
                <w:sz w:val="25"/>
                <w:szCs w:val="25"/>
                <w:lang w:bidi="ug-CN"/>
                <w14:textFill>
                  <w14:solidFill>
                    <w14:schemeClr w14:val="tx1"/>
                  </w14:solidFill>
                </w14:textFill>
              </w:rPr>
              <w:t>5</w:t>
            </w:r>
            <w:r>
              <w:rPr>
                <w:rFonts w:hint="default" w:ascii="Times New Roman" w:hAnsi="Times New Roman" w:eastAsia="新宋体" w:cs="Times New Roman"/>
                <w:b/>
                <w:color w:val="000000" w:themeColor="text1"/>
                <w:sz w:val="25"/>
                <w:szCs w:val="25"/>
                <w:lang w:eastAsia="zh-CN" w:bidi="ug-CN"/>
                <w14:textFill>
                  <w14:solidFill>
                    <w14:schemeClr w14:val="tx1"/>
                  </w14:solidFill>
                </w14:textFill>
              </w:rPr>
              <w:t>、</w:t>
            </w:r>
            <w:r>
              <w:rPr>
                <w:rFonts w:hint="default" w:ascii="Times New Roman" w:hAnsi="Times New Roman" w:eastAsia="新宋体" w:cs="Times New Roman"/>
                <w:b/>
                <w:color w:val="000000" w:themeColor="text1"/>
                <w:sz w:val="25"/>
                <w:szCs w:val="25"/>
                <w:lang w:bidi="ug-CN"/>
                <w14:textFill>
                  <w14:solidFill>
                    <w14:schemeClr w14:val="tx1"/>
                  </w14:solidFill>
                </w14:textFill>
              </w:rPr>
              <w:t>生态环境质量现状</w:t>
            </w:r>
          </w:p>
          <w:p w14:paraId="06EFDC06">
            <w:pPr>
              <w:pStyle w:val="10"/>
              <w:ind w:firstLine="480" w:firstLineChars="200"/>
              <w:jc w:val="both"/>
              <w:rPr>
                <w:rFonts w:hint="default" w:ascii="Times New Roman" w:hAnsi="Times New Roman" w:eastAsia="新宋体" w:cs="Times New Roman"/>
                <w:color w:val="000000" w:themeColor="text1"/>
                <w14:textFill>
                  <w14:solidFill>
                    <w14:schemeClr w14:val="tx1"/>
                  </w14:solidFill>
                </w14:textFill>
              </w:rPr>
            </w:pPr>
            <w:r>
              <w:rPr>
                <w:rFonts w:hint="default" w:ascii="Times New Roman" w:hAnsi="Times New Roman" w:eastAsia="新宋体" w:cs="Times New Roman"/>
                <w:color w:val="000000" w:themeColor="text1"/>
                <w:highlight w:val="none"/>
                <w14:textFill>
                  <w14:solidFill>
                    <w14:schemeClr w14:val="tx1"/>
                  </w14:solidFill>
                </w14:textFill>
              </w:rPr>
              <w:t>通过现场</w:t>
            </w:r>
            <w:r>
              <w:rPr>
                <w:rFonts w:hint="eastAsia" w:eastAsia="新宋体" w:cs="Times New Roman"/>
                <w:color w:val="000000" w:themeColor="text1"/>
                <w:highlight w:val="none"/>
                <w:lang w:val="en-US" w:eastAsia="zh-CN"/>
                <w14:textFill>
                  <w14:solidFill>
                    <w14:schemeClr w14:val="tx1"/>
                  </w14:solidFill>
                </w14:textFill>
              </w:rPr>
              <w:t>及周边</w:t>
            </w:r>
            <w:r>
              <w:rPr>
                <w:rFonts w:hint="default" w:ascii="Times New Roman" w:hAnsi="Times New Roman" w:eastAsia="新宋体" w:cs="Times New Roman"/>
                <w:color w:val="000000" w:themeColor="text1"/>
                <w:highlight w:val="none"/>
                <w14:textFill>
                  <w14:solidFill>
                    <w14:schemeClr w14:val="tx1"/>
                  </w14:solidFill>
                </w14:textFill>
              </w:rPr>
              <w:t>调查，项目所在地范围内</w:t>
            </w:r>
            <w:r>
              <w:rPr>
                <w:rFonts w:hint="eastAsia" w:eastAsia="新宋体" w:cs="Times New Roman"/>
                <w:color w:val="000000" w:themeColor="text1"/>
                <w:highlight w:val="none"/>
                <w:lang w:eastAsia="zh-CN"/>
                <w14:textFill>
                  <w14:solidFill>
                    <w14:schemeClr w14:val="tx1"/>
                  </w14:solidFill>
                </w14:textFill>
              </w:rPr>
              <w:t>无其他</w:t>
            </w:r>
            <w:r>
              <w:rPr>
                <w:rFonts w:hint="default" w:ascii="Times New Roman" w:hAnsi="Times New Roman" w:eastAsia="新宋体" w:cs="Times New Roman"/>
                <w:color w:val="000000" w:themeColor="text1"/>
                <w:highlight w:val="none"/>
                <w14:textFill>
                  <w14:solidFill>
                    <w14:schemeClr w14:val="tx1"/>
                  </w14:solidFill>
                </w14:textFill>
              </w:rPr>
              <w:t>自然保护区、文物古迹和珍稀濒危动物及植物群落分布</w:t>
            </w:r>
            <w:r>
              <w:rPr>
                <w:rFonts w:hint="eastAsia" w:eastAsia="新宋体" w:cs="Times New Roman"/>
                <w:color w:val="000000" w:themeColor="text1"/>
                <w:highlight w:val="none"/>
                <w:lang w:eastAsia="zh-CN"/>
                <w14:textFill>
                  <w14:solidFill>
                    <w14:schemeClr w14:val="tx1"/>
                  </w14:solidFill>
                </w14:textFill>
              </w:rPr>
              <w:t>及其他</w:t>
            </w:r>
            <w:r>
              <w:rPr>
                <w:rFonts w:hint="default" w:ascii="Times New Roman" w:hAnsi="Times New Roman" w:eastAsia="新宋体" w:cs="Times New Roman"/>
                <w:color w:val="000000" w:themeColor="text1"/>
                <w:highlight w:val="none"/>
                <w14:textFill>
                  <w14:solidFill>
                    <w14:schemeClr w14:val="tx1"/>
                  </w14:solidFill>
                </w14:textFill>
              </w:rPr>
              <w:t>生态环境敏感点。</w:t>
            </w:r>
          </w:p>
        </w:tc>
      </w:tr>
      <w:tr w14:paraId="367FE7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633" w:type="dxa"/>
            <w:tcBorders>
              <w:tl2br w:val="nil"/>
              <w:tr2bl w:val="nil"/>
            </w:tcBorders>
            <w:vAlign w:val="center"/>
          </w:tcPr>
          <w:p w14:paraId="7D78B515">
            <w:pPr>
              <w:adjustRightInd w:val="0"/>
              <w:snapToGrid w:val="0"/>
              <w:ind w:firstLine="0" w:firstLineChars="0"/>
              <w:jc w:val="center"/>
              <w:rPr>
                <w:rFonts w:hint="default" w:ascii="Times New Roman" w:hAnsi="Times New Roman" w:eastAsia="新宋体" w:cs="Times New Roman"/>
                <w:color w:val="000000" w:themeColor="text1"/>
                <w14:textFill>
                  <w14:solidFill>
                    <w14:schemeClr w14:val="tx1"/>
                  </w14:solidFill>
                </w14:textFill>
              </w:rPr>
            </w:pPr>
            <w:r>
              <w:rPr>
                <w:rFonts w:hint="default" w:ascii="Times New Roman" w:hAnsi="Times New Roman" w:eastAsia="新宋体" w:cs="Times New Roman"/>
                <w:color w:val="000000" w:themeColor="text1"/>
                <w14:textFill>
                  <w14:solidFill>
                    <w14:schemeClr w14:val="tx1"/>
                  </w14:solidFill>
                </w14:textFill>
              </w:rPr>
              <w:t>环境保护</w:t>
            </w:r>
          </w:p>
          <w:p w14:paraId="33F6FBBC">
            <w:pPr>
              <w:adjustRightInd w:val="0"/>
              <w:snapToGrid w:val="0"/>
              <w:ind w:firstLine="0" w:firstLineChars="0"/>
              <w:jc w:val="center"/>
              <w:rPr>
                <w:rFonts w:hint="default" w:ascii="Times New Roman" w:hAnsi="Times New Roman" w:eastAsia="新宋体" w:cs="Times New Roman"/>
                <w:color w:val="000000" w:themeColor="text1"/>
                <w:kern w:val="0"/>
                <w:szCs w:val="21"/>
                <w14:textFill>
                  <w14:solidFill>
                    <w14:schemeClr w14:val="tx1"/>
                  </w14:solidFill>
                </w14:textFill>
              </w:rPr>
            </w:pPr>
            <w:r>
              <w:rPr>
                <w:rFonts w:hint="default" w:ascii="Times New Roman" w:hAnsi="Times New Roman" w:eastAsia="新宋体" w:cs="Times New Roman"/>
                <w:color w:val="000000" w:themeColor="text1"/>
                <w14:textFill>
                  <w14:solidFill>
                    <w14:schemeClr w14:val="tx1"/>
                  </w14:solidFill>
                </w14:textFill>
              </w:rPr>
              <w:t>目标</w:t>
            </w:r>
          </w:p>
        </w:tc>
        <w:tc>
          <w:tcPr>
            <w:tcW w:w="8428" w:type="dxa"/>
            <w:tcBorders>
              <w:tl2br w:val="nil"/>
              <w:tr2bl w:val="nil"/>
            </w:tcBorders>
            <w:vAlign w:val="center"/>
          </w:tcPr>
          <w:p w14:paraId="729686F2">
            <w:pPr>
              <w:keepNext w:val="0"/>
              <w:keepLines w:val="0"/>
              <w:widowControl/>
              <w:suppressLineNumbers w:val="0"/>
              <w:jc w:val="left"/>
              <w:rPr>
                <w:rFonts w:hint="default" w:ascii="Times New Roman" w:hAnsi="Times New Roman" w:eastAsia="新宋体" w:cs="Times New Roman"/>
              </w:rPr>
            </w:pPr>
            <w:r>
              <w:rPr>
                <w:rFonts w:hint="default" w:ascii="Times New Roman" w:hAnsi="Times New Roman" w:eastAsia="新宋体" w:cs="Times New Roman"/>
                <w:color w:val="000000"/>
                <w:kern w:val="0"/>
                <w:sz w:val="24"/>
                <w:szCs w:val="24"/>
                <w:lang w:val="en-US" w:eastAsia="zh-CN" w:bidi="ar"/>
              </w:rPr>
              <w:t>本项目位于</w:t>
            </w:r>
            <w:r>
              <w:rPr>
                <w:rFonts w:hint="eastAsia" w:eastAsia="新宋体" w:cs="Times New Roman"/>
                <w:color w:val="000000"/>
                <w:kern w:val="0"/>
                <w:sz w:val="24"/>
                <w:szCs w:val="24"/>
                <w:lang w:val="en-US" w:eastAsia="zh-CN" w:bidi="ar"/>
              </w:rPr>
              <w:t>和硕县水磨街13号</w:t>
            </w:r>
            <w:r>
              <w:rPr>
                <w:rFonts w:hint="default" w:ascii="Times New Roman" w:hAnsi="Times New Roman" w:eastAsia="新宋体" w:cs="Times New Roman"/>
                <w:color w:val="000000"/>
                <w:kern w:val="0"/>
                <w:sz w:val="24"/>
                <w:szCs w:val="24"/>
                <w:lang w:val="en-US" w:eastAsia="zh-CN" w:bidi="ar"/>
              </w:rPr>
              <w:t>，根据《建设项目环境影响报告表编制技术指南》（污染影响类）（试行），确定环境保护目标划定范围为：大气环境：厂界外500m范围内的自然保护区、风景名胜区、居住区、文化区和农村地区中人群较集中的区域等；声环境：厂界外50m范围内的声环境保护目标；地下水环境：厂界外500m范围内的地下水集中式饮用水源和热水、矿泉水、温泉等特殊地下水源。</w:t>
            </w:r>
          </w:p>
          <w:p w14:paraId="1185F792">
            <w:pPr>
              <w:keepNext w:val="0"/>
              <w:keepLines w:val="0"/>
              <w:widowControl/>
              <w:suppressLineNumbers w:val="0"/>
              <w:jc w:val="left"/>
              <w:rPr>
                <w:rFonts w:hint="default" w:ascii="Times New Roman" w:hAnsi="Times New Roman" w:eastAsia="新宋体" w:cs="Times New Roman"/>
                <w:color w:val="000000"/>
                <w:kern w:val="0"/>
                <w:sz w:val="24"/>
                <w:szCs w:val="24"/>
                <w:lang w:val="en-US" w:eastAsia="zh-CN" w:bidi="ar"/>
              </w:rPr>
            </w:pPr>
            <w:r>
              <w:rPr>
                <w:rFonts w:hint="default" w:ascii="Times New Roman" w:hAnsi="Times New Roman" w:eastAsia="新宋体" w:cs="Times New Roman"/>
                <w:color w:val="000000"/>
                <w:kern w:val="0"/>
                <w:sz w:val="24"/>
                <w:szCs w:val="24"/>
                <w:lang w:val="en-US" w:eastAsia="zh-CN" w:bidi="ar"/>
              </w:rPr>
              <w:t>环境保护目标分布示意图见附图</w:t>
            </w:r>
            <w:r>
              <w:rPr>
                <w:rFonts w:hint="eastAsia" w:eastAsia="新宋体" w:cs="Times New Roman"/>
                <w:color w:val="000000"/>
                <w:kern w:val="0"/>
                <w:sz w:val="24"/>
                <w:szCs w:val="24"/>
                <w:lang w:val="en-US" w:eastAsia="zh-CN" w:bidi="ar"/>
              </w:rPr>
              <w:t>5</w:t>
            </w:r>
            <w:r>
              <w:rPr>
                <w:rFonts w:hint="default" w:ascii="Times New Roman" w:hAnsi="Times New Roman" w:eastAsia="新宋体" w:cs="Times New Roman"/>
                <w:color w:val="000000"/>
                <w:kern w:val="0"/>
                <w:sz w:val="24"/>
                <w:szCs w:val="24"/>
                <w:lang w:val="en-US" w:eastAsia="zh-CN" w:bidi="ar"/>
              </w:rPr>
              <w:t>。</w:t>
            </w:r>
          </w:p>
          <w:p w14:paraId="55A5784D">
            <w:pPr>
              <w:pStyle w:val="10"/>
              <w:ind w:firstLine="480" w:firstLineChars="200"/>
              <w:jc w:val="both"/>
              <w:rPr>
                <w:rFonts w:hint="default" w:ascii="Times New Roman" w:hAnsi="Times New Roman" w:eastAsia="新宋体" w:cs="Times New Roman"/>
                <w:color w:val="000000" w:themeColor="text1"/>
                <w:kern w:val="0"/>
                <w:szCs w:val="21"/>
                <w14:textFill>
                  <w14:solidFill>
                    <w14:schemeClr w14:val="tx1"/>
                  </w14:solidFill>
                </w14:textFill>
              </w:rPr>
            </w:pPr>
            <w:r>
              <w:rPr>
                <w:rFonts w:hint="default" w:ascii="Times New Roman" w:hAnsi="Times New Roman" w:eastAsia="新宋体" w:cs="Times New Roman"/>
                <w:color w:val="000000" w:themeColor="text1"/>
                <w:sz w:val="24"/>
                <w:szCs w:val="24"/>
                <w:highlight w:val="none"/>
                <w14:textFill>
                  <w14:solidFill>
                    <w14:schemeClr w14:val="tx1"/>
                  </w14:solidFill>
                </w14:textFill>
              </w:rPr>
              <w:t>根据本项目占地情况</w:t>
            </w: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szCs w:val="24"/>
                <w:highlight w:val="none"/>
                <w14:textFill>
                  <w14:solidFill>
                    <w14:schemeClr w14:val="tx1"/>
                  </w14:solidFill>
                </w14:textFill>
              </w:rPr>
              <w:t>本项目占地范围内无生态环境保护目标。</w:t>
            </w:r>
          </w:p>
        </w:tc>
      </w:tr>
      <w:tr w14:paraId="665218E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633" w:type="dxa"/>
            <w:tcBorders>
              <w:tl2br w:val="nil"/>
              <w:tr2bl w:val="nil"/>
            </w:tcBorders>
            <w:tcMar>
              <w:left w:w="28" w:type="dxa"/>
              <w:right w:w="28" w:type="dxa"/>
            </w:tcMar>
            <w:vAlign w:val="center"/>
          </w:tcPr>
          <w:p w14:paraId="459A6201">
            <w:pPr>
              <w:adjustRightInd w:val="0"/>
              <w:snapToGrid w:val="0"/>
              <w:ind w:firstLine="0" w:firstLineChars="0"/>
              <w:jc w:val="center"/>
              <w:rPr>
                <w:rFonts w:hint="default" w:ascii="Times New Roman" w:hAnsi="Times New Roman" w:eastAsia="新宋体" w:cs="Times New Roman"/>
                <w:color w:val="000000" w:themeColor="text1"/>
                <w14:textFill>
                  <w14:solidFill>
                    <w14:schemeClr w14:val="tx1"/>
                  </w14:solidFill>
                </w14:textFill>
              </w:rPr>
            </w:pPr>
            <w:r>
              <w:rPr>
                <w:rFonts w:hint="default" w:ascii="Times New Roman" w:hAnsi="Times New Roman" w:eastAsia="新宋体" w:cs="Times New Roman"/>
                <w:color w:val="000000" w:themeColor="text1"/>
                <w14:textFill>
                  <w14:solidFill>
                    <w14:schemeClr w14:val="tx1"/>
                  </w14:solidFill>
                </w14:textFill>
              </w:rPr>
              <w:t>污染</w:t>
            </w:r>
          </w:p>
          <w:p w14:paraId="07EFAE27">
            <w:pPr>
              <w:adjustRightInd w:val="0"/>
              <w:snapToGrid w:val="0"/>
              <w:ind w:firstLine="0" w:firstLineChars="0"/>
              <w:jc w:val="center"/>
              <w:rPr>
                <w:rFonts w:hint="default" w:ascii="Times New Roman" w:hAnsi="Times New Roman" w:eastAsia="新宋体" w:cs="Times New Roman"/>
                <w:color w:val="000000" w:themeColor="text1"/>
                <w14:textFill>
                  <w14:solidFill>
                    <w14:schemeClr w14:val="tx1"/>
                  </w14:solidFill>
                </w14:textFill>
              </w:rPr>
            </w:pPr>
            <w:r>
              <w:rPr>
                <w:rFonts w:hint="default" w:ascii="Times New Roman" w:hAnsi="Times New Roman" w:eastAsia="新宋体" w:cs="Times New Roman"/>
                <w:color w:val="000000" w:themeColor="text1"/>
                <w14:textFill>
                  <w14:solidFill>
                    <w14:schemeClr w14:val="tx1"/>
                  </w14:solidFill>
                </w14:textFill>
              </w:rPr>
              <w:t>物排</w:t>
            </w:r>
          </w:p>
          <w:p w14:paraId="3E6299E8">
            <w:pPr>
              <w:adjustRightInd w:val="0"/>
              <w:snapToGrid w:val="0"/>
              <w:ind w:firstLine="0" w:firstLineChars="0"/>
              <w:jc w:val="center"/>
              <w:rPr>
                <w:rFonts w:hint="default" w:ascii="Times New Roman" w:hAnsi="Times New Roman" w:eastAsia="新宋体" w:cs="Times New Roman"/>
                <w:color w:val="000000" w:themeColor="text1"/>
                <w14:textFill>
                  <w14:solidFill>
                    <w14:schemeClr w14:val="tx1"/>
                  </w14:solidFill>
                </w14:textFill>
              </w:rPr>
            </w:pPr>
            <w:r>
              <w:rPr>
                <w:rFonts w:hint="default" w:ascii="Times New Roman" w:hAnsi="Times New Roman" w:eastAsia="新宋体" w:cs="Times New Roman"/>
                <w:color w:val="000000" w:themeColor="text1"/>
                <w14:textFill>
                  <w14:solidFill>
                    <w14:schemeClr w14:val="tx1"/>
                  </w14:solidFill>
                </w14:textFill>
              </w:rPr>
              <w:t>放控</w:t>
            </w:r>
          </w:p>
          <w:p w14:paraId="1735BBA0">
            <w:pPr>
              <w:adjustRightInd w:val="0"/>
              <w:snapToGrid w:val="0"/>
              <w:ind w:firstLine="0" w:firstLineChars="0"/>
              <w:jc w:val="center"/>
              <w:rPr>
                <w:rFonts w:hint="default" w:ascii="Times New Roman" w:hAnsi="Times New Roman" w:eastAsia="新宋体" w:cs="Times New Roman"/>
                <w:color w:val="000000" w:themeColor="text1"/>
                <w14:textFill>
                  <w14:solidFill>
                    <w14:schemeClr w14:val="tx1"/>
                  </w14:solidFill>
                </w14:textFill>
              </w:rPr>
            </w:pPr>
            <w:r>
              <w:rPr>
                <w:rFonts w:hint="default" w:ascii="Times New Roman" w:hAnsi="Times New Roman" w:eastAsia="新宋体" w:cs="Times New Roman"/>
                <w:color w:val="000000" w:themeColor="text1"/>
                <w14:textFill>
                  <w14:solidFill>
                    <w14:schemeClr w14:val="tx1"/>
                  </w14:solidFill>
                </w14:textFill>
              </w:rPr>
              <w:t>制标</w:t>
            </w:r>
          </w:p>
          <w:p w14:paraId="3C935CE1">
            <w:pPr>
              <w:adjustRightInd w:val="0"/>
              <w:snapToGrid w:val="0"/>
              <w:ind w:firstLine="0" w:firstLineChars="0"/>
              <w:jc w:val="center"/>
              <w:rPr>
                <w:rFonts w:hint="default" w:ascii="Times New Roman" w:hAnsi="Times New Roman" w:eastAsia="新宋体" w:cs="Times New Roman"/>
                <w:color w:val="000000" w:themeColor="text1"/>
                <w:kern w:val="0"/>
                <w:szCs w:val="21"/>
                <w14:textFill>
                  <w14:solidFill>
                    <w14:schemeClr w14:val="tx1"/>
                  </w14:solidFill>
                </w14:textFill>
              </w:rPr>
            </w:pPr>
            <w:r>
              <w:rPr>
                <w:rFonts w:hint="default" w:ascii="Times New Roman" w:hAnsi="Times New Roman" w:eastAsia="新宋体" w:cs="Times New Roman"/>
                <w:color w:val="000000" w:themeColor="text1"/>
                <w14:textFill>
                  <w14:solidFill>
                    <w14:schemeClr w14:val="tx1"/>
                  </w14:solidFill>
                </w14:textFill>
              </w:rPr>
              <w:t>准</w:t>
            </w:r>
          </w:p>
        </w:tc>
        <w:tc>
          <w:tcPr>
            <w:tcW w:w="8428" w:type="dxa"/>
            <w:tcBorders>
              <w:tl2br w:val="nil"/>
              <w:tr2bl w:val="nil"/>
            </w:tcBorders>
            <w:vAlign w:val="center"/>
          </w:tcPr>
          <w:p w14:paraId="339BD885">
            <w:pPr>
              <w:ind w:left="480" w:leftChars="200" w:firstLine="0" w:firstLineChars="0"/>
              <w:rPr>
                <w:rFonts w:hint="default" w:ascii="Times New Roman" w:hAnsi="Times New Roman" w:eastAsia="新宋体" w:cs="Times New Roman"/>
                <w:b/>
                <w:color w:val="000000" w:themeColor="text1"/>
                <w:lang w:val="en-US" w:eastAsia="zh-CN"/>
                <w14:textFill>
                  <w14:solidFill>
                    <w14:schemeClr w14:val="tx1"/>
                  </w14:solidFill>
                </w14:textFill>
              </w:rPr>
            </w:pPr>
            <w:r>
              <w:rPr>
                <w:rFonts w:hint="default" w:ascii="Times New Roman" w:hAnsi="Times New Roman" w:eastAsia="新宋体" w:cs="Times New Roman"/>
                <w:b/>
                <w:color w:val="000000" w:themeColor="text1"/>
                <w:lang w:val="en-US" w:eastAsia="zh-CN"/>
                <w14:textFill>
                  <w14:solidFill>
                    <w14:schemeClr w14:val="tx1"/>
                  </w14:solidFill>
                </w14:textFill>
              </w:rPr>
              <w:t>1、</w:t>
            </w:r>
            <w:r>
              <w:rPr>
                <w:rFonts w:hint="default" w:ascii="Times New Roman" w:hAnsi="Times New Roman" w:eastAsia="新宋体" w:cs="Times New Roman"/>
                <w:b/>
                <w:color w:val="000000" w:themeColor="text1"/>
                <w14:textFill>
                  <w14:solidFill>
                    <w14:schemeClr w14:val="tx1"/>
                  </w14:solidFill>
                </w14:textFill>
              </w:rPr>
              <w:t>施工期</w:t>
            </w:r>
            <w:r>
              <w:rPr>
                <w:rFonts w:hint="default" w:ascii="Times New Roman" w:hAnsi="Times New Roman" w:eastAsia="新宋体" w:cs="Times New Roman"/>
                <w:b/>
                <w:color w:val="000000" w:themeColor="text1"/>
                <w:lang w:val="en-US" w:eastAsia="zh-CN"/>
                <w14:textFill>
                  <w14:solidFill>
                    <w14:schemeClr w14:val="tx1"/>
                  </w14:solidFill>
                </w14:textFill>
              </w:rPr>
              <w:t>污染物排放标准</w:t>
            </w:r>
          </w:p>
          <w:p w14:paraId="01ADA7FA">
            <w:pPr>
              <w:ind w:firstLine="480"/>
              <w:jc w:val="left"/>
              <w:rPr>
                <w:rFonts w:hint="default" w:ascii="Times New Roman" w:hAnsi="Times New Roman" w:eastAsia="新宋体" w:cs="Times New Roman"/>
                <w:color w:val="000000" w:themeColor="text1"/>
                <w:sz w:val="24"/>
                <w:szCs w:val="24"/>
                <w:shd w:val="clear" w:color="auto" w:fill="FFFFFF"/>
                <w14:textFill>
                  <w14:solidFill>
                    <w14:schemeClr w14:val="tx1"/>
                  </w14:solidFill>
                </w14:textFill>
              </w:rPr>
            </w:pPr>
            <w:r>
              <w:rPr>
                <w:rFonts w:hint="default" w:ascii="Times New Roman" w:hAnsi="Times New Roman" w:eastAsia="新宋体" w:cs="Times New Roman"/>
                <w:color w:val="000000" w:themeColor="text1"/>
                <w:sz w:val="24"/>
                <w:szCs w:val="24"/>
                <w:shd w:val="clear" w:color="auto" w:fill="FFFFFF"/>
                <w:lang w:val="en-US" w:eastAsia="zh-CN"/>
                <w14:textFill>
                  <w14:solidFill>
                    <w14:schemeClr w14:val="tx1"/>
                  </w14:solidFill>
                </w14:textFill>
              </w:rPr>
              <w:t>①</w:t>
            </w:r>
            <w:r>
              <w:rPr>
                <w:rFonts w:hint="default" w:ascii="Times New Roman" w:hAnsi="Times New Roman" w:eastAsia="新宋体" w:cs="Times New Roman"/>
                <w:color w:val="000000" w:themeColor="text1"/>
                <w:sz w:val="24"/>
                <w:szCs w:val="24"/>
                <w:shd w:val="clear" w:color="auto" w:fill="FFFFFF"/>
                <w14:textFill>
                  <w14:solidFill>
                    <w14:schemeClr w14:val="tx1"/>
                  </w14:solidFill>
                </w14:textFill>
              </w:rPr>
              <w:t>施工期扬尘执行《大气污染物综合排放标准》（GB16297-1996）中无组织排放标准</w:t>
            </w:r>
            <w:r>
              <w:rPr>
                <w:rFonts w:hint="default" w:ascii="Times New Roman" w:hAnsi="Times New Roman" w:eastAsia="新宋体" w:cs="Times New Roman"/>
                <w:color w:val="000000" w:themeColor="text1"/>
                <w:sz w:val="24"/>
                <w:szCs w:val="24"/>
                <w:shd w:val="clear" w:color="auto" w:fill="FFFFFF"/>
                <w:lang w:eastAsia="zh-CN"/>
                <w14:textFill>
                  <w14:solidFill>
                    <w14:schemeClr w14:val="tx1"/>
                  </w14:solidFill>
                </w14:textFill>
              </w:rPr>
              <w:t>，</w:t>
            </w:r>
            <w:r>
              <w:rPr>
                <w:rFonts w:hint="default" w:ascii="Times New Roman" w:hAnsi="Times New Roman" w:eastAsia="新宋体" w:cs="Times New Roman"/>
                <w:color w:val="000000" w:themeColor="text1"/>
                <w:sz w:val="24"/>
                <w:szCs w:val="24"/>
                <w:shd w:val="clear" w:color="auto" w:fill="FFFFFF"/>
                <w14:textFill>
                  <w14:solidFill>
                    <w14:schemeClr w14:val="tx1"/>
                  </w14:solidFill>
                </w14:textFill>
              </w:rPr>
              <w:t>颗粒物≤1mg/m</w:t>
            </w:r>
            <w:r>
              <w:rPr>
                <w:rFonts w:hint="default" w:ascii="Times New Roman" w:hAnsi="Times New Roman" w:eastAsia="新宋体" w:cs="Times New Roman"/>
                <w:color w:val="000000" w:themeColor="text1"/>
                <w:sz w:val="24"/>
                <w:szCs w:val="24"/>
                <w:shd w:val="clear" w:color="auto" w:fill="FFFFFF"/>
                <w:vertAlign w:val="superscript"/>
                <w14:textFill>
                  <w14:solidFill>
                    <w14:schemeClr w14:val="tx1"/>
                  </w14:solidFill>
                </w14:textFill>
              </w:rPr>
              <w:t>3</w:t>
            </w:r>
            <w:r>
              <w:rPr>
                <w:rFonts w:hint="default" w:ascii="Times New Roman" w:hAnsi="Times New Roman" w:eastAsia="新宋体" w:cs="Times New Roman"/>
                <w:color w:val="000000" w:themeColor="text1"/>
                <w:sz w:val="24"/>
                <w:szCs w:val="24"/>
                <w:shd w:val="clear" w:color="auto" w:fill="FFFFFF"/>
                <w14:textFill>
                  <w14:solidFill>
                    <w14:schemeClr w14:val="tx1"/>
                  </w14:solidFill>
                </w14:textFill>
              </w:rPr>
              <w:t>。</w:t>
            </w:r>
          </w:p>
          <w:p w14:paraId="6333ADA6">
            <w:pPr>
              <w:spacing w:line="360" w:lineRule="auto"/>
              <w:ind w:firstLine="480" w:firstLineChars="200"/>
              <w:jc w:val="left"/>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②</w:t>
            </w:r>
            <w:r>
              <w:rPr>
                <w:rFonts w:hint="eastAsia" w:eastAsia="新宋体" w:cs="Times New Roman"/>
                <w:color w:val="000000" w:themeColor="text1"/>
                <w:sz w:val="24"/>
                <w:szCs w:val="24"/>
                <w:highlight w:val="none"/>
                <w:lang w:val="en-US" w:eastAsia="zh-CN"/>
                <w14:textFill>
                  <w14:solidFill>
                    <w14:schemeClr w14:val="tx1"/>
                  </w14:solidFill>
                </w14:textFill>
              </w:rPr>
              <w:t>非道路施工机械尾气排放浓度须满足《非道路移动机械用柴油机排气污染物排放限值及测量方法（中国第三、四阶段）》（GB20891-2014）修改单及《非道路柴油移动机械排气烟度限值及测量方法》）（GB36886-2018）表1中Ⅲ类限值要求。</w:t>
            </w:r>
          </w:p>
          <w:p w14:paraId="54C13066">
            <w:pPr>
              <w:spacing w:line="360" w:lineRule="auto"/>
              <w:ind w:firstLine="480" w:firstLineChars="200"/>
              <w:jc w:val="left"/>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pPr>
            <w:r>
              <w:rPr>
                <w:rFonts w:hint="eastAsia" w:eastAsia="新宋体" w:cs="Times New Roman"/>
                <w:color w:val="000000" w:themeColor="text1"/>
                <w:sz w:val="24"/>
                <w:szCs w:val="24"/>
                <w:highlight w:val="none"/>
                <w:lang w:val="en-US" w:eastAsia="zh-CN"/>
                <w14:textFill>
                  <w14:solidFill>
                    <w14:schemeClr w14:val="tx1"/>
                  </w14:solidFill>
                </w14:textFill>
              </w:rPr>
              <w:t>③</w:t>
            </w:r>
            <w:r>
              <w:rPr>
                <w:rFonts w:hint="default" w:ascii="Times New Roman" w:hAnsi="Times New Roman" w:eastAsia="新宋体" w:cs="Times New Roman"/>
                <w:color w:val="000000" w:themeColor="text1"/>
                <w:sz w:val="24"/>
                <w:szCs w:val="24"/>
                <w:highlight w:val="none"/>
                <w14:textFill>
                  <w14:solidFill>
                    <w14:schemeClr w14:val="tx1"/>
                  </w14:solidFill>
                </w14:textFill>
              </w:rPr>
              <w:t>施工期噪声执行《建筑施工场界环境噪声排放标准》（GB12523-2011）中标准</w:t>
            </w: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szCs w:val="24"/>
                <w:highlight w:val="none"/>
                <w14:textFill>
                  <w14:solidFill>
                    <w14:schemeClr w14:val="tx1"/>
                  </w14:solidFill>
                </w14:textFill>
              </w:rPr>
              <w:t>具体情况见下表</w:t>
            </w: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w:t>
            </w:r>
          </w:p>
          <w:p w14:paraId="65E034BB">
            <w:pPr>
              <w:pStyle w:val="70"/>
              <w:spacing w:before="0" w:beforeLines="0"/>
              <w:ind w:left="0" w:leftChars="0" w:firstLine="0" w:firstLineChars="0"/>
              <w:jc w:val="center"/>
              <w:rPr>
                <w:rFonts w:hint="default" w:ascii="Times New Roman" w:hAnsi="Times New Roman" w:eastAsia="新宋体" w:cs="Times New Roman"/>
                <w:color w:val="000000" w:themeColor="text1"/>
                <w:sz w:val="21"/>
                <w:szCs w:val="21"/>
                <w:highlight w:val="none"/>
                <w14:textFill>
                  <w14:solidFill>
                    <w14:schemeClr w14:val="tx1"/>
                  </w14:solidFill>
                </w14:textFill>
              </w:rPr>
            </w:pPr>
            <w:r>
              <w:rPr>
                <w:rFonts w:hint="default" w:ascii="Times New Roman" w:hAnsi="Times New Roman" w:eastAsia="新宋体" w:cs="Times New Roman"/>
                <w:color w:val="000000" w:themeColor="text1"/>
                <w:sz w:val="21"/>
                <w:szCs w:val="21"/>
                <w:highlight w:val="none"/>
                <w14:textFill>
                  <w14:solidFill>
                    <w14:schemeClr w14:val="tx1"/>
                  </w14:solidFill>
                </w14:textFill>
              </w:rPr>
              <w:t>表</w:t>
            </w:r>
            <w:r>
              <w:rPr>
                <w:rFonts w:hint="default" w:ascii="Times New Roman" w:hAnsi="Times New Roman" w:eastAsia="新宋体" w:cs="Times New Roman"/>
                <w:color w:val="000000" w:themeColor="text1"/>
                <w:sz w:val="21"/>
                <w:szCs w:val="21"/>
                <w:highlight w:val="none"/>
                <w:lang w:val="en-US"/>
                <w14:textFill>
                  <w14:solidFill>
                    <w14:schemeClr w14:val="tx1"/>
                  </w14:solidFill>
                </w14:textFill>
              </w:rPr>
              <w:t>3</w:t>
            </w:r>
            <w:r>
              <w:rPr>
                <w:rFonts w:hint="default" w:ascii="Times New Roman" w:hAnsi="Times New Roman" w:eastAsia="新宋体" w:cs="Times New Roman"/>
                <w:color w:val="000000" w:themeColor="text1"/>
                <w:sz w:val="21"/>
                <w:szCs w:val="21"/>
                <w:highlight w:val="none"/>
                <w:lang w:val="en-US" w:eastAsia="zh-CN"/>
                <w14:textFill>
                  <w14:solidFill>
                    <w14:schemeClr w14:val="tx1"/>
                  </w14:solidFill>
                </w14:textFill>
              </w:rPr>
              <w:t>-</w:t>
            </w:r>
            <w:r>
              <w:rPr>
                <w:rFonts w:hint="eastAsia" w:eastAsia="新宋体"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eastAsia="新宋体" w:cs="Times New Roman"/>
                <w:color w:val="000000" w:themeColor="text1"/>
                <w:sz w:val="21"/>
                <w:szCs w:val="21"/>
                <w:highlight w:val="none"/>
                <w14:textFill>
                  <w14:solidFill>
                    <w14:schemeClr w14:val="tx1"/>
                  </w14:solidFill>
                </w14:textFill>
              </w:rPr>
              <w:t>建筑施工场界环境噪声排放标准限值单位：dB（A）</w:t>
            </w:r>
          </w:p>
          <w:tbl>
            <w:tblPr>
              <w:tblStyle w:val="28"/>
              <w:tblW w:w="5000" w:type="pct"/>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03"/>
              <w:gridCol w:w="4109"/>
            </w:tblGrid>
            <w:tr w14:paraId="514C81C7">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trHeight w:val="23" w:hRule="atLeast"/>
              </w:trPr>
              <w:tc>
                <w:tcPr>
                  <w:tcW w:w="5000" w:type="pct"/>
                  <w:gridSpan w:val="2"/>
                  <w:tcBorders>
                    <w:top w:val="single" w:color="auto" w:sz="12" w:space="0"/>
                  </w:tcBorders>
                  <w:vAlign w:val="center"/>
                </w:tcPr>
                <w:p w14:paraId="5D766C3D">
                  <w:pPr>
                    <w:pStyle w:val="71"/>
                    <w:spacing w:line="240" w:lineRule="auto"/>
                    <w:rPr>
                      <w:rFonts w:hint="default" w:ascii="Times New Roman" w:hAnsi="Times New Roman" w:eastAsia="新宋体" w:cs="Times New Roman"/>
                      <w:color w:val="000000" w:themeColor="text1"/>
                      <w:sz w:val="21"/>
                      <w:szCs w:val="21"/>
                      <w:highlight w:val="none"/>
                      <w14:textFill>
                        <w14:solidFill>
                          <w14:schemeClr w14:val="tx1"/>
                        </w14:solidFill>
                      </w14:textFill>
                    </w:rPr>
                  </w:pPr>
                  <w:r>
                    <w:rPr>
                      <w:rFonts w:hint="default" w:ascii="Times New Roman" w:hAnsi="Times New Roman" w:eastAsia="新宋体" w:cs="Times New Roman"/>
                      <w:color w:val="000000" w:themeColor="text1"/>
                      <w:sz w:val="21"/>
                      <w:szCs w:val="21"/>
                      <w:highlight w:val="none"/>
                      <w14:textFill>
                        <w14:solidFill>
                          <w14:schemeClr w14:val="tx1"/>
                        </w14:solidFill>
                      </w14:textFill>
                    </w:rPr>
                    <w:t>等效连续A声级Leq</w:t>
                  </w:r>
                </w:p>
              </w:tc>
            </w:tr>
            <w:tr w14:paraId="290E8447">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98" w:type="pct"/>
                  <w:vAlign w:val="center"/>
                </w:tcPr>
                <w:p w14:paraId="34C5D014">
                  <w:pPr>
                    <w:pStyle w:val="71"/>
                    <w:spacing w:line="240" w:lineRule="auto"/>
                    <w:rPr>
                      <w:rFonts w:hint="default" w:ascii="Times New Roman" w:hAnsi="Times New Roman" w:eastAsia="新宋体" w:cs="Times New Roman"/>
                      <w:color w:val="000000" w:themeColor="text1"/>
                      <w:sz w:val="21"/>
                      <w:szCs w:val="21"/>
                      <w:highlight w:val="none"/>
                      <w14:textFill>
                        <w14:solidFill>
                          <w14:schemeClr w14:val="tx1"/>
                        </w14:solidFill>
                      </w14:textFill>
                    </w:rPr>
                  </w:pPr>
                  <w:r>
                    <w:rPr>
                      <w:rFonts w:hint="default" w:ascii="Times New Roman" w:hAnsi="Times New Roman" w:eastAsia="新宋体" w:cs="Times New Roman"/>
                      <w:color w:val="000000" w:themeColor="text1"/>
                      <w:sz w:val="21"/>
                      <w:szCs w:val="21"/>
                      <w:highlight w:val="none"/>
                      <w14:textFill>
                        <w14:solidFill>
                          <w14:schemeClr w14:val="tx1"/>
                        </w14:solidFill>
                      </w14:textFill>
                    </w:rPr>
                    <w:t>昼间</w:t>
                  </w:r>
                </w:p>
              </w:tc>
              <w:tc>
                <w:tcPr>
                  <w:tcW w:w="2501" w:type="pct"/>
                  <w:vAlign w:val="center"/>
                </w:tcPr>
                <w:p w14:paraId="5CE338B7">
                  <w:pPr>
                    <w:pStyle w:val="71"/>
                    <w:spacing w:line="240" w:lineRule="auto"/>
                    <w:rPr>
                      <w:rFonts w:hint="default" w:ascii="Times New Roman" w:hAnsi="Times New Roman" w:eastAsia="新宋体" w:cs="Times New Roman"/>
                      <w:color w:val="000000" w:themeColor="text1"/>
                      <w:sz w:val="21"/>
                      <w:szCs w:val="21"/>
                      <w:highlight w:val="none"/>
                      <w14:textFill>
                        <w14:solidFill>
                          <w14:schemeClr w14:val="tx1"/>
                        </w14:solidFill>
                      </w14:textFill>
                    </w:rPr>
                  </w:pPr>
                  <w:r>
                    <w:rPr>
                      <w:rFonts w:hint="default" w:ascii="Times New Roman" w:hAnsi="Times New Roman" w:eastAsia="新宋体" w:cs="Times New Roman"/>
                      <w:color w:val="000000" w:themeColor="text1"/>
                      <w:sz w:val="21"/>
                      <w:szCs w:val="21"/>
                      <w:highlight w:val="none"/>
                      <w14:textFill>
                        <w14:solidFill>
                          <w14:schemeClr w14:val="tx1"/>
                        </w14:solidFill>
                      </w14:textFill>
                    </w:rPr>
                    <w:t>夜间</w:t>
                  </w:r>
                </w:p>
              </w:tc>
            </w:tr>
            <w:tr w14:paraId="22CD4515">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98" w:type="pct"/>
                  <w:tcBorders>
                    <w:bottom w:val="single" w:color="auto" w:sz="12" w:space="0"/>
                  </w:tcBorders>
                  <w:vAlign w:val="center"/>
                </w:tcPr>
                <w:p w14:paraId="506CB870">
                  <w:pPr>
                    <w:pStyle w:val="71"/>
                    <w:spacing w:line="240" w:lineRule="auto"/>
                    <w:rPr>
                      <w:rFonts w:hint="default" w:ascii="Times New Roman" w:hAnsi="Times New Roman" w:eastAsia="新宋体" w:cs="Times New Roman"/>
                      <w:color w:val="000000" w:themeColor="text1"/>
                      <w:sz w:val="21"/>
                      <w:szCs w:val="21"/>
                      <w:highlight w:val="none"/>
                      <w14:textFill>
                        <w14:solidFill>
                          <w14:schemeClr w14:val="tx1"/>
                        </w14:solidFill>
                      </w14:textFill>
                    </w:rPr>
                  </w:pPr>
                  <w:r>
                    <w:rPr>
                      <w:rFonts w:hint="default" w:ascii="Times New Roman" w:hAnsi="Times New Roman" w:eastAsia="新宋体" w:cs="Times New Roman"/>
                      <w:color w:val="000000" w:themeColor="text1"/>
                      <w:sz w:val="21"/>
                      <w:szCs w:val="21"/>
                      <w:highlight w:val="none"/>
                      <w14:textFill>
                        <w14:solidFill>
                          <w14:schemeClr w14:val="tx1"/>
                        </w14:solidFill>
                      </w14:textFill>
                    </w:rPr>
                    <w:t>70</w:t>
                  </w:r>
                </w:p>
              </w:tc>
              <w:tc>
                <w:tcPr>
                  <w:tcW w:w="2501" w:type="pct"/>
                  <w:tcBorders>
                    <w:bottom w:val="single" w:color="auto" w:sz="12" w:space="0"/>
                  </w:tcBorders>
                  <w:vAlign w:val="center"/>
                </w:tcPr>
                <w:p w14:paraId="6936242D">
                  <w:pPr>
                    <w:pStyle w:val="71"/>
                    <w:spacing w:line="240" w:lineRule="auto"/>
                    <w:rPr>
                      <w:rFonts w:hint="default" w:ascii="Times New Roman" w:hAnsi="Times New Roman" w:eastAsia="新宋体" w:cs="Times New Roman"/>
                      <w:color w:val="000000" w:themeColor="text1"/>
                      <w:sz w:val="21"/>
                      <w:szCs w:val="21"/>
                      <w:highlight w:val="none"/>
                      <w14:textFill>
                        <w14:solidFill>
                          <w14:schemeClr w14:val="tx1"/>
                        </w14:solidFill>
                      </w14:textFill>
                    </w:rPr>
                  </w:pPr>
                  <w:r>
                    <w:rPr>
                      <w:rFonts w:hint="default" w:ascii="Times New Roman" w:hAnsi="Times New Roman" w:eastAsia="新宋体" w:cs="Times New Roman"/>
                      <w:color w:val="000000" w:themeColor="text1"/>
                      <w:sz w:val="21"/>
                      <w:szCs w:val="21"/>
                      <w:highlight w:val="none"/>
                      <w14:textFill>
                        <w14:solidFill>
                          <w14:schemeClr w14:val="tx1"/>
                        </w14:solidFill>
                      </w14:textFill>
                    </w:rPr>
                    <w:t>55</w:t>
                  </w:r>
                </w:p>
              </w:tc>
            </w:tr>
          </w:tbl>
          <w:p w14:paraId="26BD2F23">
            <w:pPr>
              <w:pStyle w:val="22"/>
              <w:ind w:left="480" w:leftChars="200" w:firstLine="0" w:firstLineChars="0"/>
              <w:rPr>
                <w:rFonts w:hint="default" w:ascii="Times New Roman" w:hAnsi="Times New Roman" w:eastAsia="新宋体" w:cs="Times New Roman"/>
                <w:b/>
                <w:color w:val="000000" w:themeColor="text1"/>
                <w:lang w:eastAsia="zh-CN"/>
                <w14:textFill>
                  <w14:solidFill>
                    <w14:schemeClr w14:val="tx1"/>
                  </w14:solidFill>
                </w14:textFill>
              </w:rPr>
            </w:pPr>
            <w:r>
              <w:rPr>
                <w:rFonts w:hint="default" w:ascii="Times New Roman" w:hAnsi="Times New Roman" w:eastAsia="新宋体" w:cs="Times New Roman"/>
                <w:b/>
                <w:color w:val="000000" w:themeColor="text1"/>
                <w:lang w:val="en-US" w:eastAsia="zh-CN"/>
                <w14:textFill>
                  <w14:solidFill>
                    <w14:schemeClr w14:val="tx1"/>
                  </w14:solidFill>
                </w14:textFill>
              </w:rPr>
              <w:t>2、废气</w:t>
            </w:r>
          </w:p>
          <w:p w14:paraId="4121B9F0">
            <w:pPr>
              <w:ind w:firstLine="482"/>
              <w:jc w:val="left"/>
              <w:rPr>
                <w:rFonts w:hint="default" w:ascii="Times New Roman" w:hAnsi="Times New Roman" w:eastAsia="新宋体" w:cs="Times New Roman"/>
                <w:b w:val="0"/>
                <w:bCs/>
                <w:color w:val="000000" w:themeColor="text1"/>
                <w:lang w:eastAsia="zh-CN"/>
                <w14:textFill>
                  <w14:solidFill>
                    <w14:schemeClr w14:val="tx1"/>
                  </w14:solidFill>
                </w14:textFill>
              </w:rPr>
            </w:pPr>
            <w:r>
              <w:rPr>
                <w:rFonts w:hint="default" w:ascii="Times New Roman" w:hAnsi="Times New Roman" w:eastAsia="新宋体" w:cs="Times New Roman"/>
                <w:b w:val="0"/>
                <w:bCs/>
                <w:color w:val="000000" w:themeColor="text1"/>
                <w:lang w:eastAsia="zh-CN"/>
                <w14:textFill>
                  <w14:solidFill>
                    <w14:schemeClr w14:val="tx1"/>
                  </w14:solidFill>
                </w14:textFill>
              </w:rPr>
              <w:t>颗粒物执行《水泥工业大气污染物排放标准》（GB4915-2013）表1现有与新建企业大气污染物排放限值和表3大气污染物无组织排放限值。</w:t>
            </w:r>
          </w:p>
          <w:p w14:paraId="7B7C0459">
            <w:pPr>
              <w:pStyle w:val="84"/>
              <w:spacing w:before="175" w:line="221" w:lineRule="auto"/>
              <w:ind w:left="0" w:leftChars="0" w:firstLine="0" w:firstLineChars="0"/>
              <w:jc w:val="center"/>
              <w:rPr>
                <w:rFonts w:hint="default" w:ascii="Times New Roman" w:hAnsi="Times New Roman" w:eastAsia="新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新宋体" w:cs="Times New Roman"/>
                <w:b/>
                <w:bCs/>
                <w:color w:val="000000" w:themeColor="text1"/>
                <w:kern w:val="2"/>
                <w:sz w:val="21"/>
                <w:szCs w:val="21"/>
                <w:highlight w:val="none"/>
                <w:lang w:val="en-US" w:eastAsia="zh-CN" w:bidi="ar-SA"/>
                <w14:textFill>
                  <w14:solidFill>
                    <w14:schemeClr w14:val="tx1"/>
                  </w14:solidFill>
                </w14:textFill>
              </w:rPr>
              <w:t>表3-</w:t>
            </w:r>
            <w:r>
              <w:rPr>
                <w:rFonts w:hint="eastAsia" w:ascii="Times New Roman" w:hAnsi="Times New Roman" w:eastAsia="新宋体" w:cs="Times New Roman"/>
                <w:b/>
                <w:bCs/>
                <w:color w:val="000000" w:themeColor="text1"/>
                <w:kern w:val="2"/>
                <w:sz w:val="21"/>
                <w:szCs w:val="21"/>
                <w:highlight w:val="none"/>
                <w:lang w:val="en-US" w:eastAsia="zh-CN" w:bidi="ar-SA"/>
                <w14:textFill>
                  <w14:solidFill>
                    <w14:schemeClr w14:val="tx1"/>
                  </w14:solidFill>
                </w14:textFill>
              </w:rPr>
              <w:t>6</w:t>
            </w:r>
            <w:r>
              <w:rPr>
                <w:rFonts w:hint="default" w:ascii="Times New Roman" w:hAnsi="Times New Roman" w:eastAsia="新宋体" w:cs="Times New Roman"/>
                <w:b/>
                <w:bCs/>
                <w:color w:val="000000" w:themeColor="text1"/>
                <w:kern w:val="2"/>
                <w:sz w:val="21"/>
                <w:szCs w:val="21"/>
                <w:highlight w:val="none"/>
                <w:lang w:val="en-US" w:eastAsia="zh-CN" w:bidi="ar-SA"/>
                <w14:textFill>
                  <w14:solidFill>
                    <w14:schemeClr w14:val="tx1"/>
                  </w14:solidFill>
                </w14:textFill>
              </w:rPr>
              <w:t>大气污染物综合排放标准</w:t>
            </w:r>
            <w:r>
              <w:rPr>
                <w:rFonts w:hint="eastAsia" w:ascii="Times New Roman" w:hAnsi="Times New Roman" w:eastAsia="新宋体" w:cs="Times New Roman"/>
                <w:b/>
                <w:bCs/>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新宋体" w:cs="Times New Roman"/>
                <w:b/>
                <w:bCs/>
                <w:color w:val="000000" w:themeColor="text1"/>
                <w:kern w:val="2"/>
                <w:sz w:val="21"/>
                <w:szCs w:val="21"/>
                <w:highlight w:val="none"/>
                <w:lang w:val="en-US" w:eastAsia="zh-CN" w:bidi="ar-SA"/>
                <w14:textFill>
                  <w14:solidFill>
                    <w14:schemeClr w14:val="tx1"/>
                  </w14:solidFill>
                </w14:textFill>
              </w:rPr>
              <w:t>摘选</w:t>
            </w:r>
            <w:r>
              <w:rPr>
                <w:rFonts w:hint="eastAsia" w:ascii="Times New Roman" w:hAnsi="Times New Roman" w:eastAsia="新宋体" w:cs="Times New Roman"/>
                <w:b/>
                <w:bCs/>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新宋体" w:cs="Times New Roman"/>
                <w:b/>
                <w:bCs/>
                <w:color w:val="000000" w:themeColor="text1"/>
                <w:kern w:val="2"/>
                <w:sz w:val="21"/>
                <w:szCs w:val="21"/>
                <w:highlight w:val="none"/>
                <w:lang w:val="en-US" w:eastAsia="zh-CN" w:bidi="ar-SA"/>
                <w14:textFill>
                  <w14:solidFill>
                    <w14:schemeClr w14:val="tx1"/>
                  </w14:solidFill>
                </w14:textFill>
              </w:rPr>
              <w:t>单位：mg/m</w:t>
            </w:r>
            <w:r>
              <w:rPr>
                <w:rFonts w:hint="default" w:ascii="Times New Roman" w:hAnsi="Times New Roman" w:eastAsia="新宋体" w:cs="Times New Roman"/>
                <w:b/>
                <w:bCs/>
                <w:color w:val="000000" w:themeColor="text1"/>
                <w:kern w:val="2"/>
                <w:sz w:val="21"/>
                <w:szCs w:val="21"/>
                <w:highlight w:val="none"/>
                <w:vertAlign w:val="superscript"/>
                <w:lang w:val="en-US" w:eastAsia="zh-CN" w:bidi="ar-SA"/>
                <w14:textFill>
                  <w14:solidFill>
                    <w14:schemeClr w14:val="tx1"/>
                  </w14:solidFill>
                </w14:textFill>
              </w:rPr>
              <w:t>3</w:t>
            </w:r>
          </w:p>
          <w:tbl>
            <w:tblPr>
              <w:tblStyle w:val="83"/>
              <w:tblW w:w="4998"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3684"/>
              <w:gridCol w:w="1515"/>
              <w:gridCol w:w="2405"/>
              <w:gridCol w:w="605"/>
            </w:tblGrid>
            <w:tr w14:paraId="0EEC807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52" w:hRule="atLeast"/>
                <w:jc w:val="center"/>
              </w:trPr>
              <w:tc>
                <w:tcPr>
                  <w:tcW w:w="2243" w:type="pct"/>
                  <w:tcBorders>
                    <w:tl2br w:val="nil"/>
                    <w:tr2bl w:val="nil"/>
                  </w:tcBorders>
                  <w:vAlign w:val="center"/>
                </w:tcPr>
                <w:p w14:paraId="7D26B295">
                  <w:pPr>
                    <w:pStyle w:val="71"/>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highlight w:val="none"/>
                      <w14:textFill>
                        <w14:solidFill>
                          <w14:schemeClr w14:val="tx1"/>
                        </w14:solidFill>
                      </w14:textFill>
                    </w:rPr>
                  </w:pPr>
                  <w:r>
                    <w:rPr>
                      <w:rFonts w:hint="default" w:ascii="Times New Roman" w:hAnsi="Times New Roman" w:eastAsia="新宋体" w:cs="Times New Roman"/>
                      <w:color w:val="000000" w:themeColor="text1"/>
                      <w:sz w:val="21"/>
                      <w:szCs w:val="21"/>
                      <w:highlight w:val="none"/>
                      <w14:textFill>
                        <w14:solidFill>
                          <w14:schemeClr w14:val="tx1"/>
                        </w14:solidFill>
                      </w14:textFill>
                    </w:rPr>
                    <w:t>标准名称及级</w:t>
                  </w:r>
                  <w:r>
                    <w:rPr>
                      <w:rFonts w:hint="eastAsia" w:eastAsia="新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1"/>
                      <w:szCs w:val="21"/>
                      <w:highlight w:val="none"/>
                      <w14:textFill>
                        <w14:solidFill>
                          <w14:schemeClr w14:val="tx1"/>
                        </w14:solidFill>
                      </w14:textFill>
                    </w:rPr>
                    <w:t>类</w:t>
                  </w:r>
                  <w:r>
                    <w:rPr>
                      <w:rFonts w:hint="eastAsia" w:eastAsia="新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1"/>
                      <w:szCs w:val="21"/>
                      <w:highlight w:val="none"/>
                      <w14:textFill>
                        <w14:solidFill>
                          <w14:schemeClr w14:val="tx1"/>
                        </w14:solidFill>
                      </w14:textFill>
                    </w:rPr>
                    <w:t>别</w:t>
                  </w:r>
                </w:p>
              </w:tc>
              <w:tc>
                <w:tcPr>
                  <w:tcW w:w="922" w:type="pct"/>
                  <w:tcBorders>
                    <w:tl2br w:val="nil"/>
                    <w:tr2bl w:val="nil"/>
                  </w:tcBorders>
                  <w:vAlign w:val="center"/>
                </w:tcPr>
                <w:p w14:paraId="4B6BEDEC">
                  <w:pPr>
                    <w:pStyle w:val="7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新宋体" w:cs="Times New Roman"/>
                      <w:color w:val="000000" w:themeColor="text1"/>
                      <w:sz w:val="21"/>
                      <w:szCs w:val="21"/>
                      <w:highlight w:val="none"/>
                      <w14:textFill>
                        <w14:solidFill>
                          <w14:schemeClr w14:val="tx1"/>
                        </w14:solidFill>
                      </w14:textFill>
                    </w:rPr>
                  </w:pPr>
                  <w:r>
                    <w:rPr>
                      <w:rFonts w:hint="default" w:ascii="Times New Roman" w:hAnsi="Times New Roman" w:eastAsia="新宋体" w:cs="Times New Roman"/>
                      <w:color w:val="000000" w:themeColor="text1"/>
                      <w:sz w:val="21"/>
                      <w:szCs w:val="21"/>
                      <w:highlight w:val="none"/>
                      <w14:textFill>
                        <w14:solidFill>
                          <w14:schemeClr w14:val="tx1"/>
                        </w14:solidFill>
                      </w14:textFill>
                    </w:rPr>
                    <w:t>污染因子</w:t>
                  </w:r>
                </w:p>
              </w:tc>
              <w:tc>
                <w:tcPr>
                  <w:tcW w:w="1464" w:type="pct"/>
                  <w:tcBorders>
                    <w:tl2br w:val="nil"/>
                    <w:tr2bl w:val="nil"/>
                  </w:tcBorders>
                  <w:vAlign w:val="center"/>
                </w:tcPr>
                <w:p w14:paraId="31B2C61B">
                  <w:pPr>
                    <w:pStyle w:val="7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新宋体" w:cs="Times New Roman"/>
                      <w:color w:val="000000" w:themeColor="text1"/>
                      <w:sz w:val="21"/>
                      <w:szCs w:val="21"/>
                      <w:highlight w:val="none"/>
                      <w:lang w:val="en-US" w:eastAsia="zh-CN"/>
                      <w14:textFill>
                        <w14:solidFill>
                          <w14:schemeClr w14:val="tx1"/>
                        </w14:solidFill>
                      </w14:textFill>
                    </w:rPr>
                  </w:pPr>
                  <w:r>
                    <w:rPr>
                      <w:rFonts w:hint="eastAsia" w:eastAsia="新宋体" w:cs="Times New Roman"/>
                      <w:color w:val="000000" w:themeColor="text1"/>
                      <w:sz w:val="21"/>
                      <w:szCs w:val="21"/>
                      <w:highlight w:val="none"/>
                      <w:lang w:val="en-US" w:eastAsia="zh-CN"/>
                      <w14:textFill>
                        <w14:solidFill>
                          <w14:schemeClr w14:val="tx1"/>
                        </w14:solidFill>
                      </w14:textFill>
                    </w:rPr>
                    <w:t>限值含义</w:t>
                  </w:r>
                </w:p>
              </w:tc>
              <w:tc>
                <w:tcPr>
                  <w:tcW w:w="368" w:type="pct"/>
                  <w:tcBorders>
                    <w:tl2br w:val="nil"/>
                    <w:tr2bl w:val="nil"/>
                  </w:tcBorders>
                  <w:vAlign w:val="center"/>
                </w:tcPr>
                <w:p w14:paraId="55B5D1FE">
                  <w:pPr>
                    <w:pStyle w:val="7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新宋体" w:cs="Times New Roman"/>
                      <w:color w:val="000000" w:themeColor="text1"/>
                      <w:sz w:val="21"/>
                      <w:szCs w:val="21"/>
                      <w:highlight w:val="none"/>
                      <w14:textFill>
                        <w14:solidFill>
                          <w14:schemeClr w14:val="tx1"/>
                        </w14:solidFill>
                      </w14:textFill>
                    </w:rPr>
                  </w:pPr>
                  <w:r>
                    <w:rPr>
                      <w:rFonts w:hint="default" w:ascii="Times New Roman" w:hAnsi="Times New Roman" w:eastAsia="新宋体" w:cs="Times New Roman"/>
                      <w:color w:val="000000" w:themeColor="text1"/>
                      <w:sz w:val="21"/>
                      <w:szCs w:val="21"/>
                      <w:highlight w:val="none"/>
                      <w14:textFill>
                        <w14:solidFill>
                          <w14:schemeClr w14:val="tx1"/>
                        </w14:solidFill>
                      </w14:textFill>
                    </w:rPr>
                    <w:t>限值</w:t>
                  </w:r>
                </w:p>
              </w:tc>
            </w:tr>
            <w:tr w14:paraId="27E6E09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51" w:hRule="atLeast"/>
                <w:jc w:val="center"/>
              </w:trPr>
              <w:tc>
                <w:tcPr>
                  <w:tcW w:w="2243" w:type="pct"/>
                  <w:tcBorders>
                    <w:tl2br w:val="nil"/>
                    <w:tr2bl w:val="nil"/>
                  </w:tcBorders>
                  <w:vAlign w:val="center"/>
                </w:tcPr>
                <w:p w14:paraId="1C8F6B21">
                  <w:pPr>
                    <w:pStyle w:val="7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新宋体" w:cs="Times New Roman"/>
                      <w:color w:val="000000" w:themeColor="text1"/>
                      <w:sz w:val="21"/>
                      <w:szCs w:val="21"/>
                      <w:highlight w:val="none"/>
                      <w14:textFill>
                        <w14:solidFill>
                          <w14:schemeClr w14:val="tx1"/>
                        </w14:solidFill>
                      </w14:textFill>
                    </w:rPr>
                  </w:pPr>
                  <w:r>
                    <w:rPr>
                      <w:rFonts w:hint="default" w:ascii="Times New Roman" w:hAnsi="Times New Roman" w:eastAsia="新宋体" w:cs="Times New Roman"/>
                      <w:color w:val="000000" w:themeColor="text1"/>
                      <w:sz w:val="21"/>
                      <w:szCs w:val="21"/>
                      <w:highlight w:val="none"/>
                      <w14:textFill>
                        <w14:solidFill>
                          <w14:schemeClr w14:val="tx1"/>
                        </w14:solidFill>
                      </w14:textFill>
                    </w:rPr>
                    <w:t>《大气污染物综合排放标准》</w:t>
                  </w:r>
                  <w:r>
                    <w:rPr>
                      <w:rFonts w:hint="eastAsia" w:eastAsia="新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1"/>
                      <w:szCs w:val="21"/>
                      <w:highlight w:val="none"/>
                      <w14:textFill>
                        <w14:solidFill>
                          <w14:schemeClr w14:val="tx1"/>
                        </w14:solidFill>
                      </w14:textFill>
                    </w:rPr>
                    <w:t>GB16297-1996</w:t>
                  </w:r>
                  <w:r>
                    <w:rPr>
                      <w:rFonts w:hint="eastAsia" w:eastAsia="新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1"/>
                      <w:szCs w:val="21"/>
                      <w:highlight w:val="none"/>
                      <w14:textFill>
                        <w14:solidFill>
                          <w14:schemeClr w14:val="tx1"/>
                        </w14:solidFill>
                      </w14:textFill>
                    </w:rPr>
                    <w:t>表</w:t>
                  </w:r>
                  <w:r>
                    <w:rPr>
                      <w:rFonts w:hint="eastAsia" w:eastAsia="新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新宋体" w:cs="Times New Roman"/>
                      <w:color w:val="000000" w:themeColor="text1"/>
                      <w:sz w:val="21"/>
                      <w:szCs w:val="21"/>
                      <w:highlight w:val="none"/>
                      <w14:textFill>
                        <w14:solidFill>
                          <w14:schemeClr w14:val="tx1"/>
                        </w14:solidFill>
                      </w14:textFill>
                    </w:rPr>
                    <w:t>中无组织排放监控浓度限值</w:t>
                  </w:r>
                </w:p>
              </w:tc>
              <w:tc>
                <w:tcPr>
                  <w:tcW w:w="922" w:type="pct"/>
                  <w:tcBorders>
                    <w:tl2br w:val="nil"/>
                    <w:tr2bl w:val="nil"/>
                  </w:tcBorders>
                  <w:vAlign w:val="center"/>
                </w:tcPr>
                <w:p w14:paraId="5916139B">
                  <w:pPr>
                    <w:pStyle w:val="7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新宋体" w:cs="Times New Roman"/>
                      <w:color w:val="000000" w:themeColor="text1"/>
                      <w:sz w:val="21"/>
                      <w:szCs w:val="21"/>
                      <w:highlight w:val="none"/>
                      <w14:textFill>
                        <w14:solidFill>
                          <w14:schemeClr w14:val="tx1"/>
                        </w14:solidFill>
                      </w14:textFill>
                    </w:rPr>
                  </w:pPr>
                  <w:r>
                    <w:rPr>
                      <w:rFonts w:hint="default" w:ascii="Times New Roman" w:hAnsi="Times New Roman" w:eastAsia="新宋体" w:cs="Times New Roman"/>
                      <w:color w:val="000000" w:themeColor="text1"/>
                      <w:sz w:val="21"/>
                      <w:szCs w:val="21"/>
                      <w:highlight w:val="none"/>
                      <w14:textFill>
                        <w14:solidFill>
                          <w14:schemeClr w14:val="tx1"/>
                        </w14:solidFill>
                      </w14:textFill>
                    </w:rPr>
                    <w:t>颗粒物</w:t>
                  </w:r>
                </w:p>
              </w:tc>
              <w:tc>
                <w:tcPr>
                  <w:tcW w:w="1464" w:type="pct"/>
                  <w:tcBorders>
                    <w:tl2br w:val="nil"/>
                    <w:tr2bl w:val="nil"/>
                  </w:tcBorders>
                  <w:vAlign w:val="center"/>
                </w:tcPr>
                <w:p w14:paraId="7408E59B">
                  <w:pPr>
                    <w:pStyle w:val="7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新宋体" w:cs="Times New Roman"/>
                      <w:color w:val="000000" w:themeColor="text1"/>
                      <w:sz w:val="21"/>
                      <w:szCs w:val="21"/>
                      <w:highlight w:val="none"/>
                      <w14:textFill>
                        <w14:solidFill>
                          <w14:schemeClr w14:val="tx1"/>
                        </w14:solidFill>
                      </w14:textFill>
                    </w:rPr>
                  </w:pPr>
                  <w:r>
                    <w:rPr>
                      <w:rFonts w:hint="default" w:ascii="Times New Roman" w:hAnsi="Times New Roman" w:eastAsia="新宋体" w:cs="Times New Roman"/>
                      <w:color w:val="000000" w:themeColor="text1"/>
                      <w:sz w:val="21"/>
                      <w:szCs w:val="21"/>
                      <w:highlight w:val="none"/>
                      <w14:textFill>
                        <w14:solidFill>
                          <w14:schemeClr w14:val="tx1"/>
                        </w14:solidFill>
                      </w14:textFill>
                    </w:rPr>
                    <w:t>监控点与参照点总悬浮颗粒物（TSP）1小时浓</w:t>
                  </w:r>
                </w:p>
                <w:p w14:paraId="29D358AD">
                  <w:pPr>
                    <w:pStyle w:val="7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新宋体" w:cs="Times New Roman"/>
                      <w:color w:val="000000" w:themeColor="text1"/>
                      <w:sz w:val="21"/>
                      <w:szCs w:val="21"/>
                      <w:highlight w:val="none"/>
                      <w14:textFill>
                        <w14:solidFill>
                          <w14:schemeClr w14:val="tx1"/>
                        </w14:solidFill>
                      </w14:textFill>
                    </w:rPr>
                  </w:pPr>
                  <w:r>
                    <w:rPr>
                      <w:rFonts w:hint="default" w:ascii="Times New Roman" w:hAnsi="Times New Roman" w:eastAsia="新宋体" w:cs="Times New Roman"/>
                      <w:color w:val="000000" w:themeColor="text1"/>
                      <w:sz w:val="21"/>
                      <w:szCs w:val="21"/>
                      <w:highlight w:val="none"/>
                      <w14:textFill>
                        <w14:solidFill>
                          <w14:schemeClr w14:val="tx1"/>
                        </w14:solidFill>
                      </w14:textFill>
                    </w:rPr>
                    <w:t>度值的差值</w:t>
                  </w:r>
                </w:p>
              </w:tc>
              <w:tc>
                <w:tcPr>
                  <w:tcW w:w="368" w:type="pct"/>
                  <w:tcBorders>
                    <w:tl2br w:val="nil"/>
                    <w:tr2bl w:val="nil"/>
                  </w:tcBorders>
                  <w:vAlign w:val="center"/>
                </w:tcPr>
                <w:p w14:paraId="590E0CB3">
                  <w:pPr>
                    <w:pStyle w:val="7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新宋体" w:cs="Times New Roman"/>
                      <w:color w:val="000000" w:themeColor="text1"/>
                      <w:sz w:val="21"/>
                      <w:szCs w:val="21"/>
                      <w:highlight w:val="none"/>
                      <w:lang w:val="en-US" w:eastAsia="zh-CN"/>
                      <w14:textFill>
                        <w14:solidFill>
                          <w14:schemeClr w14:val="tx1"/>
                        </w14:solidFill>
                      </w14:textFill>
                    </w:rPr>
                  </w:pPr>
                  <w:r>
                    <w:rPr>
                      <w:rFonts w:hint="eastAsia" w:eastAsia="新宋体" w:cs="Times New Roman"/>
                      <w:color w:val="000000" w:themeColor="text1"/>
                      <w:sz w:val="21"/>
                      <w:szCs w:val="21"/>
                      <w:highlight w:val="none"/>
                      <w:lang w:val="en-US" w:eastAsia="zh-CN"/>
                      <w14:textFill>
                        <w14:solidFill>
                          <w14:schemeClr w14:val="tx1"/>
                        </w14:solidFill>
                      </w14:textFill>
                    </w:rPr>
                    <w:t>0.5</w:t>
                  </w:r>
                </w:p>
              </w:tc>
            </w:tr>
            <w:tr w14:paraId="3502652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51" w:hRule="atLeast"/>
                <w:jc w:val="center"/>
              </w:trPr>
              <w:tc>
                <w:tcPr>
                  <w:tcW w:w="2243" w:type="pct"/>
                  <w:tcBorders>
                    <w:tl2br w:val="nil"/>
                    <w:tr2bl w:val="nil"/>
                  </w:tcBorders>
                  <w:vAlign w:val="center"/>
                </w:tcPr>
                <w:p w14:paraId="35046ECD">
                  <w:pPr>
                    <w:pStyle w:val="7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新宋体" w:cs="Times New Roman"/>
                      <w:color w:val="000000" w:themeColor="text1"/>
                      <w:sz w:val="21"/>
                      <w:szCs w:val="21"/>
                      <w:highlight w:val="none"/>
                      <w14:textFill>
                        <w14:solidFill>
                          <w14:schemeClr w14:val="tx1"/>
                        </w14:solidFill>
                      </w14:textFill>
                    </w:rPr>
                  </w:pPr>
                  <w:r>
                    <w:rPr>
                      <w:rFonts w:hint="default" w:ascii="Times New Roman" w:hAnsi="Times New Roman" w:eastAsia="新宋体" w:cs="Times New Roman"/>
                      <w:color w:val="000000" w:themeColor="text1"/>
                      <w:sz w:val="21"/>
                      <w:szCs w:val="21"/>
                      <w:highlight w:val="none"/>
                      <w14:textFill>
                        <w14:solidFill>
                          <w14:schemeClr w14:val="tx1"/>
                        </w14:solidFill>
                      </w14:textFill>
                    </w:rPr>
                    <w:t>《水泥工业大气污染物排放标准》（GB4915-2013）</w:t>
                  </w:r>
                </w:p>
                <w:p w14:paraId="140D4042">
                  <w:pPr>
                    <w:pStyle w:val="7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新宋体" w:cs="Times New Roman"/>
                      <w:color w:val="000000" w:themeColor="text1"/>
                      <w:sz w:val="21"/>
                      <w:szCs w:val="21"/>
                      <w:highlight w:val="none"/>
                      <w14:textFill>
                        <w14:solidFill>
                          <w14:schemeClr w14:val="tx1"/>
                        </w14:solidFill>
                      </w14:textFill>
                    </w:rPr>
                  </w:pPr>
                  <w:r>
                    <w:rPr>
                      <w:rFonts w:hint="default" w:ascii="Times New Roman" w:hAnsi="Times New Roman" w:eastAsia="新宋体" w:cs="Times New Roman"/>
                      <w:color w:val="000000" w:themeColor="text1"/>
                      <w:sz w:val="21"/>
                      <w:szCs w:val="21"/>
                      <w:highlight w:val="none"/>
                      <w14:textFill>
                        <w14:solidFill>
                          <w14:schemeClr w14:val="tx1"/>
                        </w14:solidFill>
                      </w14:textFill>
                    </w:rPr>
                    <w:t>表1现有与新建企业大气污染物排放限值</w:t>
                  </w:r>
                </w:p>
              </w:tc>
              <w:tc>
                <w:tcPr>
                  <w:tcW w:w="922" w:type="pct"/>
                  <w:tcBorders>
                    <w:tl2br w:val="nil"/>
                    <w:tr2bl w:val="nil"/>
                  </w:tcBorders>
                  <w:vAlign w:val="center"/>
                </w:tcPr>
                <w:p w14:paraId="305B4ED8">
                  <w:pPr>
                    <w:pStyle w:val="7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新宋体" w:cs="Times New Roman"/>
                      <w:color w:val="000000" w:themeColor="text1"/>
                      <w:sz w:val="21"/>
                      <w:szCs w:val="21"/>
                      <w:highlight w:val="none"/>
                      <w:lang w:val="en-US" w:eastAsia="zh-CN"/>
                      <w14:textFill>
                        <w14:solidFill>
                          <w14:schemeClr w14:val="tx1"/>
                        </w14:solidFill>
                      </w14:textFill>
                    </w:rPr>
                  </w:pPr>
                  <w:r>
                    <w:rPr>
                      <w:rFonts w:hint="eastAsia" w:eastAsia="新宋体" w:cs="Times New Roman"/>
                      <w:color w:val="000000" w:themeColor="text1"/>
                      <w:sz w:val="21"/>
                      <w:szCs w:val="21"/>
                      <w:highlight w:val="none"/>
                      <w:lang w:val="en-US" w:eastAsia="zh-CN"/>
                      <w14:textFill>
                        <w14:solidFill>
                          <w14:schemeClr w14:val="tx1"/>
                        </w14:solidFill>
                      </w14:textFill>
                    </w:rPr>
                    <w:t>颗粒物</w:t>
                  </w:r>
                </w:p>
              </w:tc>
              <w:tc>
                <w:tcPr>
                  <w:tcW w:w="1464" w:type="pct"/>
                  <w:tcBorders>
                    <w:tl2br w:val="nil"/>
                    <w:tr2bl w:val="nil"/>
                  </w:tcBorders>
                  <w:vAlign w:val="center"/>
                </w:tcPr>
                <w:p w14:paraId="1A00D9ED">
                  <w:pPr>
                    <w:pStyle w:val="7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新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highlight w:val="none"/>
                      <w14:textFill>
                        <w14:solidFill>
                          <w14:schemeClr w14:val="tx1"/>
                        </w14:solidFill>
                      </w14:textFill>
                    </w:rPr>
                    <w:t>散装水泥中转站及水泥制品生产</w:t>
                  </w:r>
                  <w:r>
                    <w:rPr>
                      <w:rFonts w:hint="eastAsia" w:eastAsia="新宋体" w:cs="Times New Roman"/>
                      <w:color w:val="000000" w:themeColor="text1"/>
                      <w:sz w:val="21"/>
                      <w:szCs w:val="21"/>
                      <w:highlight w:val="none"/>
                      <w:lang w:val="en-US" w:eastAsia="zh-CN"/>
                      <w14:textFill>
                        <w14:solidFill>
                          <w14:schemeClr w14:val="tx1"/>
                        </w14:solidFill>
                      </w14:textFill>
                    </w:rPr>
                    <w:t>-水泥仓及其他通风设备</w:t>
                  </w:r>
                </w:p>
              </w:tc>
              <w:tc>
                <w:tcPr>
                  <w:tcW w:w="368" w:type="pct"/>
                  <w:tcBorders>
                    <w:tl2br w:val="nil"/>
                    <w:tr2bl w:val="nil"/>
                  </w:tcBorders>
                  <w:vAlign w:val="center"/>
                </w:tcPr>
                <w:p w14:paraId="2090AB76">
                  <w:pPr>
                    <w:pStyle w:val="7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新宋体" w:cs="Times New Roman"/>
                      <w:color w:val="000000" w:themeColor="text1"/>
                      <w:sz w:val="21"/>
                      <w:szCs w:val="21"/>
                      <w:highlight w:val="none"/>
                      <w:lang w:val="en-US" w:eastAsia="zh-CN"/>
                      <w14:textFill>
                        <w14:solidFill>
                          <w14:schemeClr w14:val="tx1"/>
                        </w14:solidFill>
                      </w14:textFill>
                    </w:rPr>
                  </w:pPr>
                  <w:r>
                    <w:rPr>
                      <w:rFonts w:hint="eastAsia" w:eastAsia="新宋体" w:cs="Times New Roman"/>
                      <w:color w:val="000000" w:themeColor="text1"/>
                      <w:sz w:val="21"/>
                      <w:szCs w:val="21"/>
                      <w:highlight w:val="none"/>
                      <w:lang w:val="en-US" w:eastAsia="zh-CN"/>
                      <w14:textFill>
                        <w14:solidFill>
                          <w14:schemeClr w14:val="tx1"/>
                        </w14:solidFill>
                      </w14:textFill>
                    </w:rPr>
                    <w:t>20</w:t>
                  </w:r>
                </w:p>
              </w:tc>
            </w:tr>
          </w:tbl>
          <w:p w14:paraId="665FEB55">
            <w:pPr>
              <w:ind w:firstLine="482"/>
              <w:rPr>
                <w:rFonts w:hint="default" w:ascii="Times New Roman" w:hAnsi="Times New Roman" w:eastAsia="新宋体" w:cs="Times New Roman"/>
                <w:b/>
                <w:color w:val="000000" w:themeColor="text1"/>
                <w14:textFill>
                  <w14:solidFill>
                    <w14:schemeClr w14:val="tx1"/>
                  </w14:solidFill>
                </w14:textFill>
              </w:rPr>
            </w:pPr>
            <w:r>
              <w:rPr>
                <w:rFonts w:hint="default" w:ascii="Times New Roman" w:hAnsi="Times New Roman" w:eastAsia="新宋体" w:cs="Times New Roman"/>
                <w:b/>
                <w:color w:val="000000" w:themeColor="text1"/>
                <w:lang w:val="en-US" w:eastAsia="zh-CN"/>
                <w14:textFill>
                  <w14:solidFill>
                    <w14:schemeClr w14:val="tx1"/>
                  </w14:solidFill>
                </w14:textFill>
              </w:rPr>
              <w:t>3</w:t>
            </w:r>
            <w:r>
              <w:rPr>
                <w:rFonts w:hint="default" w:ascii="Times New Roman" w:hAnsi="Times New Roman" w:eastAsia="新宋体" w:cs="Times New Roman"/>
                <w:b/>
                <w:color w:val="000000" w:themeColor="text1"/>
                <w:lang w:eastAsia="zh-CN"/>
                <w14:textFill>
                  <w14:solidFill>
                    <w14:schemeClr w14:val="tx1"/>
                  </w14:solidFill>
                </w14:textFill>
              </w:rPr>
              <w:t>、</w:t>
            </w:r>
            <w:r>
              <w:rPr>
                <w:rFonts w:hint="default" w:ascii="Times New Roman" w:hAnsi="Times New Roman" w:eastAsia="新宋体" w:cs="Times New Roman"/>
                <w:b/>
                <w:color w:val="000000" w:themeColor="text1"/>
                <w14:textFill>
                  <w14:solidFill>
                    <w14:schemeClr w14:val="tx1"/>
                  </w14:solidFill>
                </w14:textFill>
              </w:rPr>
              <w:t>废水</w:t>
            </w:r>
          </w:p>
          <w:p w14:paraId="4F8F0875">
            <w:pPr>
              <w:numPr>
                <w:ilvl w:val="255"/>
                <w:numId w:val="0"/>
              </w:numPr>
              <w:ind w:firstLine="480" w:firstLineChars="200"/>
              <w:jc w:val="left"/>
              <w:rPr>
                <w:rFonts w:hint="default" w:ascii="Times New Roman" w:hAnsi="Times New Roman" w:eastAsia="新宋体" w:cs="Times New Roman"/>
                <w:b/>
                <w:color w:val="000000" w:themeColor="text1"/>
                <w:lang w:val="en-US" w:eastAsia="zh-CN"/>
                <w14:textFill>
                  <w14:solidFill>
                    <w14:schemeClr w14:val="tx1"/>
                  </w14:solidFill>
                </w14:textFill>
              </w:rPr>
            </w:pPr>
            <w:r>
              <w:rPr>
                <w:rFonts w:hint="eastAsia" w:eastAsia="新宋体" w:cs="Times New Roman"/>
                <w:b w:val="0"/>
                <w:bCs/>
                <w:color w:val="000000" w:themeColor="text1"/>
                <w:lang w:val="en-US" w:eastAsia="zh-CN"/>
                <w14:textFill>
                  <w14:solidFill>
                    <w14:schemeClr w14:val="tx1"/>
                  </w14:solidFill>
                </w14:textFill>
              </w:rPr>
              <w:t>生产泥沙废水沉淀后自然蒸干</w:t>
            </w:r>
            <w:r>
              <w:rPr>
                <w:rFonts w:hint="default" w:ascii="Times New Roman" w:hAnsi="Times New Roman" w:eastAsia="新宋体" w:cs="Times New Roman"/>
                <w:b w:val="0"/>
                <w:bCs/>
                <w:color w:val="000000" w:themeColor="text1"/>
                <w:lang w:val="en-US" w:eastAsia="zh-CN"/>
                <w14:textFill>
                  <w14:solidFill>
                    <w14:schemeClr w14:val="tx1"/>
                  </w14:solidFill>
                </w14:textFill>
              </w:rPr>
              <w:t>，生活污水排入</w:t>
            </w:r>
            <w:r>
              <w:rPr>
                <w:rFonts w:hint="eastAsia" w:eastAsia="新宋体" w:cs="Times New Roman"/>
                <w:b w:val="0"/>
                <w:bCs/>
                <w:color w:val="000000" w:themeColor="text1"/>
                <w:lang w:val="en-US" w:eastAsia="zh-CN"/>
                <w14:textFill>
                  <w14:solidFill>
                    <w14:schemeClr w14:val="tx1"/>
                  </w14:solidFill>
                </w14:textFill>
              </w:rPr>
              <w:t>防渗收集池</w:t>
            </w:r>
            <w:r>
              <w:rPr>
                <w:rFonts w:hint="default" w:ascii="Times New Roman" w:hAnsi="Times New Roman" w:eastAsia="新宋体" w:cs="Times New Roman"/>
                <w:b w:val="0"/>
                <w:bCs/>
                <w:color w:val="000000" w:themeColor="text1"/>
                <w:lang w:val="en-US" w:eastAsia="zh-CN"/>
                <w14:textFill>
                  <w14:solidFill>
                    <w14:schemeClr w14:val="tx1"/>
                  </w14:solidFill>
                </w14:textFill>
              </w:rPr>
              <w:t>定期委托</w:t>
            </w:r>
            <w:r>
              <w:rPr>
                <w:rFonts w:hint="eastAsia" w:eastAsia="新宋体" w:cs="Times New Roman"/>
                <w:b w:val="0"/>
                <w:bCs/>
                <w:color w:val="000000" w:themeColor="text1"/>
                <w:lang w:val="en-US" w:eastAsia="zh-CN"/>
                <w14:textFill>
                  <w14:solidFill>
                    <w14:schemeClr w14:val="tx1"/>
                  </w14:solidFill>
                </w14:textFill>
              </w:rPr>
              <w:t>拉运至和硕县污水处理厂处置</w:t>
            </w:r>
            <w:r>
              <w:rPr>
                <w:rFonts w:hint="default" w:ascii="Times New Roman" w:hAnsi="Times New Roman" w:eastAsia="新宋体" w:cs="Times New Roman"/>
                <w:b w:val="0"/>
                <w:bCs/>
                <w:color w:val="000000" w:themeColor="text1"/>
                <w:lang w:val="en-US" w:eastAsia="zh-CN"/>
                <w14:textFill>
                  <w14:solidFill>
                    <w14:schemeClr w14:val="tx1"/>
                  </w14:solidFill>
                </w14:textFill>
              </w:rPr>
              <w:t>。</w:t>
            </w:r>
          </w:p>
          <w:p w14:paraId="310D2643">
            <w:pPr>
              <w:numPr>
                <w:ilvl w:val="255"/>
                <w:numId w:val="0"/>
              </w:numPr>
              <w:ind w:firstLine="482" w:firstLineChars="200"/>
              <w:jc w:val="left"/>
              <w:rPr>
                <w:rFonts w:hint="default" w:ascii="Times New Roman" w:hAnsi="Times New Roman" w:eastAsia="新宋体" w:cs="Times New Roman"/>
                <w:b/>
                <w:color w:val="000000" w:themeColor="text1"/>
                <w14:textFill>
                  <w14:solidFill>
                    <w14:schemeClr w14:val="tx1"/>
                  </w14:solidFill>
                </w14:textFill>
              </w:rPr>
            </w:pPr>
            <w:r>
              <w:rPr>
                <w:rFonts w:hint="default" w:ascii="Times New Roman" w:hAnsi="Times New Roman" w:eastAsia="新宋体" w:cs="Times New Roman"/>
                <w:b/>
                <w:color w:val="000000" w:themeColor="text1"/>
                <w:lang w:val="en-US" w:eastAsia="zh-CN"/>
                <w14:textFill>
                  <w14:solidFill>
                    <w14:schemeClr w14:val="tx1"/>
                  </w14:solidFill>
                </w14:textFill>
              </w:rPr>
              <w:t>4、</w:t>
            </w:r>
            <w:r>
              <w:rPr>
                <w:rFonts w:hint="default" w:ascii="Times New Roman" w:hAnsi="Times New Roman" w:eastAsia="新宋体" w:cs="Times New Roman"/>
                <w:b/>
                <w:color w:val="000000" w:themeColor="text1"/>
                <w14:textFill>
                  <w14:solidFill>
                    <w14:schemeClr w14:val="tx1"/>
                  </w14:solidFill>
                </w14:textFill>
              </w:rPr>
              <w:t>噪声</w:t>
            </w:r>
          </w:p>
          <w:p w14:paraId="65614E63">
            <w:pPr>
              <w:ind w:firstLine="480"/>
              <w:jc w:val="both"/>
              <w:rPr>
                <w:rFonts w:hint="default" w:ascii="Times New Roman" w:hAnsi="Times New Roman" w:eastAsia="新宋体" w:cs="Times New Roman"/>
                <w:color w:val="000000" w:themeColor="text1"/>
                <w:lang w:val="en-US"/>
                <w14:textFill>
                  <w14:solidFill>
                    <w14:schemeClr w14:val="tx1"/>
                  </w14:solidFill>
                </w14:textFill>
              </w:rPr>
            </w:pP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运营期</w:t>
            </w:r>
            <w:r>
              <w:rPr>
                <w:rFonts w:hint="eastAsia" w:eastAsia="新宋体" w:cs="Times New Roman"/>
                <w:color w:val="000000" w:themeColor="text1"/>
                <w:sz w:val="24"/>
                <w:szCs w:val="24"/>
                <w:highlight w:val="none"/>
                <w:lang w:val="en-US" w:eastAsia="zh-CN"/>
                <w14:textFill>
                  <w14:solidFill>
                    <w14:schemeClr w14:val="tx1"/>
                  </w14:solidFill>
                </w14:textFill>
              </w:rPr>
              <w:t>厂界</w:t>
            </w: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噪声排放执行《工业企业厂界环境噪声排放标准》（GB12348-2008）中的</w:t>
            </w:r>
            <w:r>
              <w:rPr>
                <w:rFonts w:hint="eastAsia" w:eastAsia="新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类标</w:t>
            </w:r>
            <w:r>
              <w:rPr>
                <w:rFonts w:hint="eastAsia" w:eastAsia="新宋体" w:cs="Times New Roman"/>
                <w:color w:val="000000" w:themeColor="text1"/>
                <w:sz w:val="24"/>
                <w:szCs w:val="24"/>
                <w:highlight w:val="none"/>
                <w:lang w:val="en-US" w:eastAsia="zh-CN"/>
                <w14:textFill>
                  <w14:solidFill>
                    <w14:schemeClr w14:val="tx1"/>
                  </w14:solidFill>
                </w14:textFill>
              </w:rPr>
              <w:t>准</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限值。</w:t>
            </w:r>
          </w:p>
          <w:p w14:paraId="04F28D9D">
            <w:pPr>
              <w:pStyle w:val="70"/>
              <w:spacing w:before="0" w:beforeLines="0"/>
              <w:rPr>
                <w:rFonts w:hint="default" w:ascii="Times New Roman" w:hAnsi="Times New Roman" w:eastAsia="新宋体" w:cs="Times New Roman"/>
                <w:color w:val="000000" w:themeColor="text1"/>
                <w:sz w:val="21"/>
                <w:szCs w:val="21"/>
                <w:highlight w:val="none"/>
                <w14:textFill>
                  <w14:solidFill>
                    <w14:schemeClr w14:val="tx1"/>
                  </w14:solidFill>
                </w14:textFill>
              </w:rPr>
            </w:pPr>
            <w:r>
              <w:rPr>
                <w:rFonts w:hint="default" w:ascii="Times New Roman" w:hAnsi="Times New Roman" w:eastAsia="新宋体" w:cs="Times New Roman"/>
                <w:color w:val="000000" w:themeColor="text1"/>
                <w:sz w:val="21"/>
                <w:szCs w:val="21"/>
                <w:highlight w:val="none"/>
                <w:lang w:val="en-US" w:eastAsia="zh-CN"/>
                <w14:textFill>
                  <w14:solidFill>
                    <w14:schemeClr w14:val="tx1"/>
                  </w14:solidFill>
                </w14:textFill>
              </w:rPr>
              <w:t>表3-</w:t>
            </w:r>
            <w:r>
              <w:rPr>
                <w:rFonts w:hint="eastAsia" w:eastAsia="新宋体" w:cs="Times New Roman"/>
                <w:color w:val="000000" w:themeColor="text1"/>
                <w:sz w:val="21"/>
                <w:szCs w:val="21"/>
                <w:highlight w:val="none"/>
                <w:lang w:val="en-US" w:eastAsia="zh-CN"/>
                <w14:textFill>
                  <w14:solidFill>
                    <w14:schemeClr w14:val="tx1"/>
                  </w14:solidFill>
                </w14:textFill>
              </w:rPr>
              <w:t>6</w:t>
            </w:r>
            <w:r>
              <w:rPr>
                <w:rFonts w:hint="default" w:ascii="Times New Roman" w:hAnsi="Times New Roman" w:eastAsia="新宋体" w:cs="Times New Roman"/>
                <w:color w:val="000000" w:themeColor="text1"/>
                <w:sz w:val="21"/>
                <w:szCs w:val="21"/>
                <w:highlight w:val="none"/>
                <w:lang w:val="en-US" w:eastAsia="zh-CN"/>
                <w14:textFill>
                  <w14:solidFill>
                    <w14:schemeClr w14:val="tx1"/>
                  </w14:solidFill>
                </w14:textFill>
              </w:rPr>
              <w:t>工业企业厂界环境噪声排放标准单位：dB（A）</w:t>
            </w:r>
          </w:p>
          <w:tbl>
            <w:tblPr>
              <w:tblStyle w:val="28"/>
              <w:tblW w:w="4998"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1385"/>
              <w:gridCol w:w="1521"/>
              <w:gridCol w:w="1552"/>
              <w:gridCol w:w="3751"/>
            </w:tblGrid>
            <w:tr w14:paraId="7FB7938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exact"/>
              </w:trPr>
              <w:tc>
                <w:tcPr>
                  <w:tcW w:w="843" w:type="pct"/>
                  <w:vMerge w:val="restart"/>
                  <w:noWrap w:val="0"/>
                  <w:vAlign w:val="center"/>
                </w:tcPr>
                <w:p w14:paraId="0161F651">
                  <w:pPr>
                    <w:pStyle w:val="72"/>
                    <w:bidi w:val="0"/>
                    <w:spacing w:line="240" w:lineRule="auto"/>
                    <w:ind w:left="0" w:leftChars="0" w:firstLine="0" w:firstLineChars="0"/>
                    <w:jc w:val="center"/>
                    <w:rPr>
                      <w:rFonts w:hint="default" w:ascii="Times New Roman" w:hAnsi="Times New Roman" w:eastAsia="新宋体" w:cs="Times New Roman"/>
                      <w:color w:val="000000" w:themeColor="text1"/>
                      <w:sz w:val="21"/>
                      <w:szCs w:val="21"/>
                      <w:highlight w:val="none"/>
                      <w14:textFill>
                        <w14:solidFill>
                          <w14:schemeClr w14:val="tx1"/>
                        </w14:solidFill>
                      </w14:textFill>
                    </w:rPr>
                  </w:pPr>
                  <w:r>
                    <w:rPr>
                      <w:rFonts w:hint="default" w:ascii="Times New Roman" w:hAnsi="Times New Roman" w:eastAsia="新宋体" w:cs="Times New Roman"/>
                      <w:color w:val="000000" w:themeColor="text1"/>
                      <w:sz w:val="21"/>
                      <w:szCs w:val="21"/>
                      <w:highlight w:val="none"/>
                      <w14:textFill>
                        <w14:solidFill>
                          <w14:schemeClr w14:val="tx1"/>
                        </w14:solidFill>
                      </w14:textFill>
                    </w:rPr>
                    <w:t>类别</w:t>
                  </w:r>
                </w:p>
              </w:tc>
              <w:tc>
                <w:tcPr>
                  <w:tcW w:w="1871" w:type="pct"/>
                  <w:gridSpan w:val="2"/>
                  <w:noWrap w:val="0"/>
                  <w:vAlign w:val="center"/>
                </w:tcPr>
                <w:p w14:paraId="46C8736C">
                  <w:pPr>
                    <w:pStyle w:val="72"/>
                    <w:bidi w:val="0"/>
                    <w:spacing w:line="240" w:lineRule="auto"/>
                    <w:ind w:left="0" w:leftChars="0" w:firstLine="0" w:firstLineChars="0"/>
                    <w:jc w:val="center"/>
                    <w:rPr>
                      <w:rFonts w:hint="default" w:ascii="Times New Roman" w:hAnsi="Times New Roman" w:eastAsia="新宋体" w:cs="Times New Roman"/>
                      <w:color w:val="000000" w:themeColor="text1"/>
                      <w:sz w:val="21"/>
                      <w:szCs w:val="21"/>
                      <w:highlight w:val="none"/>
                      <w14:textFill>
                        <w14:solidFill>
                          <w14:schemeClr w14:val="tx1"/>
                        </w14:solidFill>
                      </w14:textFill>
                    </w:rPr>
                  </w:pPr>
                  <w:r>
                    <w:rPr>
                      <w:rFonts w:hint="default" w:ascii="Times New Roman" w:hAnsi="Times New Roman" w:eastAsia="新宋体" w:cs="Times New Roman"/>
                      <w:color w:val="000000" w:themeColor="text1"/>
                      <w:sz w:val="21"/>
                      <w:szCs w:val="21"/>
                      <w:highlight w:val="none"/>
                      <w14:textFill>
                        <w14:solidFill>
                          <w14:schemeClr w14:val="tx1"/>
                        </w14:solidFill>
                      </w14:textFill>
                    </w:rPr>
                    <w:t>标准值</w:t>
                  </w:r>
                </w:p>
              </w:tc>
              <w:tc>
                <w:tcPr>
                  <w:tcW w:w="2284" w:type="pct"/>
                  <w:vMerge w:val="restart"/>
                  <w:noWrap w:val="0"/>
                  <w:vAlign w:val="center"/>
                </w:tcPr>
                <w:p w14:paraId="050C756D">
                  <w:pPr>
                    <w:pStyle w:val="72"/>
                    <w:bidi w:val="0"/>
                    <w:spacing w:line="240" w:lineRule="auto"/>
                    <w:ind w:left="0" w:leftChars="0" w:firstLine="0" w:firstLineChars="0"/>
                    <w:jc w:val="center"/>
                    <w:rPr>
                      <w:rFonts w:hint="default" w:ascii="Times New Roman" w:hAnsi="Times New Roman" w:eastAsia="新宋体" w:cs="Times New Roman"/>
                      <w:color w:val="000000" w:themeColor="text1"/>
                      <w:sz w:val="21"/>
                      <w:szCs w:val="21"/>
                      <w:highlight w:val="none"/>
                      <w14:textFill>
                        <w14:solidFill>
                          <w14:schemeClr w14:val="tx1"/>
                        </w14:solidFill>
                      </w14:textFill>
                    </w:rPr>
                  </w:pPr>
                  <w:r>
                    <w:rPr>
                      <w:rFonts w:hint="default" w:ascii="Times New Roman" w:hAnsi="Times New Roman" w:eastAsia="新宋体" w:cs="Times New Roman"/>
                      <w:color w:val="000000" w:themeColor="text1"/>
                      <w:sz w:val="21"/>
                      <w:szCs w:val="21"/>
                      <w:highlight w:val="none"/>
                      <w14:textFill>
                        <w14:solidFill>
                          <w14:schemeClr w14:val="tx1"/>
                        </w14:solidFill>
                      </w14:textFill>
                    </w:rPr>
                    <w:t>标准来源</w:t>
                  </w:r>
                </w:p>
              </w:tc>
            </w:tr>
            <w:tr w14:paraId="04F88A9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exact"/>
              </w:trPr>
              <w:tc>
                <w:tcPr>
                  <w:tcW w:w="843" w:type="pct"/>
                  <w:vMerge w:val="continue"/>
                  <w:noWrap w:val="0"/>
                  <w:vAlign w:val="center"/>
                </w:tcPr>
                <w:p w14:paraId="74B01E26">
                  <w:pPr>
                    <w:pStyle w:val="72"/>
                    <w:bidi w:val="0"/>
                    <w:spacing w:line="240" w:lineRule="auto"/>
                    <w:ind w:left="0" w:leftChars="0" w:firstLine="0" w:firstLineChars="0"/>
                    <w:jc w:val="center"/>
                    <w:rPr>
                      <w:rFonts w:hint="default" w:ascii="Times New Roman" w:hAnsi="Times New Roman" w:eastAsia="新宋体" w:cs="Times New Roman"/>
                      <w:color w:val="000000" w:themeColor="text1"/>
                      <w:sz w:val="21"/>
                      <w:szCs w:val="21"/>
                      <w:highlight w:val="none"/>
                      <w14:textFill>
                        <w14:solidFill>
                          <w14:schemeClr w14:val="tx1"/>
                        </w14:solidFill>
                      </w14:textFill>
                    </w:rPr>
                  </w:pPr>
                </w:p>
              </w:tc>
              <w:tc>
                <w:tcPr>
                  <w:tcW w:w="926" w:type="pct"/>
                  <w:noWrap w:val="0"/>
                  <w:vAlign w:val="center"/>
                </w:tcPr>
                <w:p w14:paraId="5D4A8D2C">
                  <w:pPr>
                    <w:pStyle w:val="72"/>
                    <w:bidi w:val="0"/>
                    <w:spacing w:line="240" w:lineRule="auto"/>
                    <w:ind w:left="0" w:leftChars="0" w:firstLine="0" w:firstLineChars="0"/>
                    <w:jc w:val="center"/>
                    <w:rPr>
                      <w:rFonts w:hint="default" w:ascii="Times New Roman" w:hAnsi="Times New Roman" w:eastAsia="新宋体" w:cs="Times New Roman"/>
                      <w:color w:val="000000" w:themeColor="text1"/>
                      <w:sz w:val="21"/>
                      <w:szCs w:val="21"/>
                      <w:highlight w:val="none"/>
                      <w14:textFill>
                        <w14:solidFill>
                          <w14:schemeClr w14:val="tx1"/>
                        </w14:solidFill>
                      </w14:textFill>
                    </w:rPr>
                  </w:pPr>
                  <w:r>
                    <w:rPr>
                      <w:rFonts w:hint="default" w:ascii="Times New Roman" w:hAnsi="Times New Roman" w:eastAsia="新宋体" w:cs="Times New Roman"/>
                      <w:color w:val="000000" w:themeColor="text1"/>
                      <w:sz w:val="21"/>
                      <w:szCs w:val="21"/>
                      <w:highlight w:val="none"/>
                      <w14:textFill>
                        <w14:solidFill>
                          <w14:schemeClr w14:val="tx1"/>
                        </w14:solidFill>
                      </w14:textFill>
                    </w:rPr>
                    <w:t>昼间</w:t>
                  </w:r>
                </w:p>
              </w:tc>
              <w:tc>
                <w:tcPr>
                  <w:tcW w:w="945" w:type="pct"/>
                  <w:noWrap w:val="0"/>
                  <w:vAlign w:val="center"/>
                </w:tcPr>
                <w:p w14:paraId="67701A85">
                  <w:pPr>
                    <w:pStyle w:val="72"/>
                    <w:bidi w:val="0"/>
                    <w:spacing w:line="240" w:lineRule="auto"/>
                    <w:ind w:left="0" w:leftChars="0" w:firstLine="0" w:firstLineChars="0"/>
                    <w:jc w:val="center"/>
                    <w:rPr>
                      <w:rFonts w:hint="default" w:ascii="Times New Roman" w:hAnsi="Times New Roman" w:eastAsia="新宋体" w:cs="Times New Roman"/>
                      <w:color w:val="000000" w:themeColor="text1"/>
                      <w:sz w:val="21"/>
                      <w:szCs w:val="21"/>
                      <w:highlight w:val="none"/>
                      <w14:textFill>
                        <w14:solidFill>
                          <w14:schemeClr w14:val="tx1"/>
                        </w14:solidFill>
                      </w14:textFill>
                    </w:rPr>
                  </w:pPr>
                  <w:r>
                    <w:rPr>
                      <w:rFonts w:hint="default" w:ascii="Times New Roman" w:hAnsi="Times New Roman" w:eastAsia="新宋体" w:cs="Times New Roman"/>
                      <w:color w:val="000000" w:themeColor="text1"/>
                      <w:sz w:val="21"/>
                      <w:szCs w:val="21"/>
                      <w:highlight w:val="none"/>
                      <w14:textFill>
                        <w14:solidFill>
                          <w14:schemeClr w14:val="tx1"/>
                        </w14:solidFill>
                      </w14:textFill>
                    </w:rPr>
                    <w:t>夜间</w:t>
                  </w:r>
                </w:p>
              </w:tc>
              <w:tc>
                <w:tcPr>
                  <w:tcW w:w="2284" w:type="pct"/>
                  <w:vMerge w:val="continue"/>
                  <w:noWrap w:val="0"/>
                  <w:vAlign w:val="center"/>
                </w:tcPr>
                <w:p w14:paraId="449E45E6">
                  <w:pPr>
                    <w:pStyle w:val="72"/>
                    <w:bidi w:val="0"/>
                    <w:spacing w:line="240" w:lineRule="auto"/>
                    <w:ind w:left="0" w:leftChars="0" w:firstLine="0" w:firstLineChars="0"/>
                    <w:jc w:val="center"/>
                    <w:rPr>
                      <w:rFonts w:hint="default" w:ascii="Times New Roman" w:hAnsi="Times New Roman" w:eastAsia="新宋体" w:cs="Times New Roman"/>
                      <w:color w:val="000000" w:themeColor="text1"/>
                      <w:sz w:val="21"/>
                      <w:szCs w:val="21"/>
                      <w:highlight w:val="none"/>
                      <w14:textFill>
                        <w14:solidFill>
                          <w14:schemeClr w14:val="tx1"/>
                        </w14:solidFill>
                      </w14:textFill>
                    </w:rPr>
                  </w:pPr>
                </w:p>
              </w:tc>
            </w:tr>
            <w:tr w14:paraId="0717AE3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595" w:hRule="exact"/>
              </w:trPr>
              <w:tc>
                <w:tcPr>
                  <w:tcW w:w="843" w:type="pct"/>
                  <w:noWrap w:val="0"/>
                  <w:vAlign w:val="center"/>
                </w:tcPr>
                <w:p w14:paraId="0F016BDB">
                  <w:pPr>
                    <w:pStyle w:val="72"/>
                    <w:bidi w:val="0"/>
                    <w:spacing w:line="240" w:lineRule="auto"/>
                    <w:ind w:left="0" w:leftChars="0" w:firstLine="0" w:firstLineChars="0"/>
                    <w:jc w:val="center"/>
                    <w:rPr>
                      <w:rFonts w:hint="default" w:ascii="Times New Roman" w:hAnsi="Times New Roman" w:eastAsia="新宋体" w:cs="Times New Roman"/>
                      <w:color w:val="000000" w:themeColor="text1"/>
                      <w:sz w:val="21"/>
                      <w:szCs w:val="21"/>
                      <w:highlight w:val="none"/>
                      <w:lang w:val="en-US"/>
                      <w14:textFill>
                        <w14:solidFill>
                          <w14:schemeClr w14:val="tx1"/>
                        </w14:solidFill>
                      </w14:textFill>
                    </w:rPr>
                  </w:pPr>
                  <w:r>
                    <w:rPr>
                      <w:rFonts w:hint="eastAsia" w:ascii="Times New Roman" w:hAnsi="Times New Roman" w:eastAsia="新宋体" w:cs="Times New Roman"/>
                      <w:color w:val="000000" w:themeColor="text1"/>
                      <w:sz w:val="21"/>
                      <w:szCs w:val="21"/>
                      <w:highlight w:val="none"/>
                      <w:lang w:val="en-US" w:eastAsia="zh-CN"/>
                      <w14:textFill>
                        <w14:solidFill>
                          <w14:schemeClr w14:val="tx1"/>
                        </w14:solidFill>
                      </w14:textFill>
                    </w:rPr>
                    <w:t>厂界</w:t>
                  </w:r>
                </w:p>
              </w:tc>
              <w:tc>
                <w:tcPr>
                  <w:tcW w:w="926" w:type="pct"/>
                  <w:noWrap w:val="0"/>
                  <w:vAlign w:val="center"/>
                </w:tcPr>
                <w:p w14:paraId="40B87B82">
                  <w:pPr>
                    <w:pStyle w:val="72"/>
                    <w:bidi w:val="0"/>
                    <w:spacing w:line="240" w:lineRule="auto"/>
                    <w:ind w:left="0" w:leftChars="0" w:firstLine="0" w:firstLineChars="0"/>
                    <w:jc w:val="center"/>
                    <w:rPr>
                      <w:rFonts w:hint="default" w:ascii="Times New Roman" w:hAnsi="Times New Roman" w:eastAsia="新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新宋体" w:cs="Times New Roman"/>
                      <w:color w:val="000000" w:themeColor="text1"/>
                      <w:sz w:val="21"/>
                      <w:szCs w:val="21"/>
                      <w:highlight w:val="none"/>
                      <w:lang w:val="en-US" w:eastAsia="zh-CN"/>
                      <w14:textFill>
                        <w14:solidFill>
                          <w14:schemeClr w14:val="tx1"/>
                        </w14:solidFill>
                      </w14:textFill>
                    </w:rPr>
                    <w:t>60</w:t>
                  </w:r>
                </w:p>
              </w:tc>
              <w:tc>
                <w:tcPr>
                  <w:tcW w:w="945" w:type="pct"/>
                  <w:noWrap w:val="0"/>
                  <w:vAlign w:val="center"/>
                </w:tcPr>
                <w:p w14:paraId="4EE534C1">
                  <w:pPr>
                    <w:pStyle w:val="72"/>
                    <w:bidi w:val="0"/>
                    <w:spacing w:line="240" w:lineRule="auto"/>
                    <w:ind w:left="0" w:leftChars="0" w:firstLine="0" w:firstLineChars="0"/>
                    <w:jc w:val="center"/>
                    <w:rPr>
                      <w:rFonts w:hint="default" w:ascii="Times New Roman" w:hAnsi="Times New Roman" w:eastAsia="新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highlight w:val="none"/>
                      <w:lang w:val="en-US" w:eastAsia="zh-CN"/>
                      <w14:textFill>
                        <w14:solidFill>
                          <w14:schemeClr w14:val="tx1"/>
                        </w14:solidFill>
                      </w14:textFill>
                    </w:rPr>
                    <w:t>5</w:t>
                  </w:r>
                  <w:r>
                    <w:rPr>
                      <w:rFonts w:hint="eastAsia" w:ascii="Times New Roman" w:hAnsi="Times New Roman" w:eastAsia="新宋体" w:cs="Times New Roman"/>
                      <w:color w:val="000000" w:themeColor="text1"/>
                      <w:sz w:val="21"/>
                      <w:szCs w:val="21"/>
                      <w:highlight w:val="none"/>
                      <w:lang w:val="en-US" w:eastAsia="zh-CN"/>
                      <w14:textFill>
                        <w14:solidFill>
                          <w14:schemeClr w14:val="tx1"/>
                        </w14:solidFill>
                      </w14:textFill>
                    </w:rPr>
                    <w:t>0</w:t>
                  </w:r>
                </w:p>
              </w:tc>
              <w:tc>
                <w:tcPr>
                  <w:tcW w:w="2284" w:type="pct"/>
                  <w:noWrap w:val="0"/>
                  <w:vAlign w:val="center"/>
                </w:tcPr>
                <w:p w14:paraId="12760AE5">
                  <w:pPr>
                    <w:pStyle w:val="72"/>
                    <w:bidi w:val="0"/>
                    <w:spacing w:line="240" w:lineRule="auto"/>
                    <w:ind w:left="0" w:leftChars="0" w:firstLine="0" w:firstLineChars="0"/>
                    <w:jc w:val="center"/>
                    <w:rPr>
                      <w:rFonts w:hint="default" w:ascii="Times New Roman" w:hAnsi="Times New Roman" w:eastAsia="新宋体" w:cs="Times New Roman"/>
                      <w:color w:val="000000" w:themeColor="text1"/>
                      <w:sz w:val="21"/>
                      <w:szCs w:val="21"/>
                      <w:highlight w:val="none"/>
                      <w14:textFill>
                        <w14:solidFill>
                          <w14:schemeClr w14:val="tx1"/>
                        </w14:solidFill>
                      </w14:textFill>
                    </w:rPr>
                  </w:pPr>
                  <w:r>
                    <w:rPr>
                      <w:rFonts w:hint="default" w:ascii="Times New Roman" w:hAnsi="Times New Roman" w:eastAsia="新宋体" w:cs="Times New Roman"/>
                      <w:color w:val="000000" w:themeColor="text1"/>
                      <w:sz w:val="21"/>
                      <w:szCs w:val="21"/>
                      <w:highlight w:val="none"/>
                      <w14:textFill>
                        <w14:solidFill>
                          <w14:schemeClr w14:val="tx1"/>
                        </w14:solidFill>
                      </w14:textFill>
                    </w:rPr>
                    <w:t>《工业企业厂界环境噪声排放标准》（GB12348-2008）中的</w:t>
                  </w:r>
                  <w:r>
                    <w:rPr>
                      <w:rFonts w:hint="eastAsia" w:ascii="Times New Roman" w:hAnsi="Times New Roman" w:eastAsia="新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新宋体" w:cs="Times New Roman"/>
                      <w:color w:val="000000" w:themeColor="text1"/>
                      <w:sz w:val="21"/>
                      <w:szCs w:val="21"/>
                      <w:highlight w:val="none"/>
                      <w14:textFill>
                        <w14:solidFill>
                          <w14:schemeClr w14:val="tx1"/>
                        </w14:solidFill>
                      </w14:textFill>
                    </w:rPr>
                    <w:t>类标准</w:t>
                  </w:r>
                </w:p>
              </w:tc>
            </w:tr>
          </w:tbl>
          <w:p w14:paraId="2829A8DA">
            <w:pPr>
              <w:ind w:firstLine="482"/>
              <w:jc w:val="left"/>
              <w:rPr>
                <w:rFonts w:hint="default" w:ascii="Times New Roman" w:hAnsi="Times New Roman" w:eastAsia="新宋体" w:cs="Times New Roman"/>
                <w:b/>
                <w:color w:val="000000" w:themeColor="text1"/>
                <w14:textFill>
                  <w14:solidFill>
                    <w14:schemeClr w14:val="tx1"/>
                  </w14:solidFill>
                </w14:textFill>
              </w:rPr>
            </w:pPr>
            <w:r>
              <w:rPr>
                <w:rFonts w:hint="default" w:ascii="Times New Roman" w:hAnsi="Times New Roman" w:eastAsia="新宋体" w:cs="Times New Roman"/>
                <w:b/>
                <w:color w:val="000000" w:themeColor="text1"/>
                <w:lang w:val="en-US" w:eastAsia="zh-CN"/>
                <w14:textFill>
                  <w14:solidFill>
                    <w14:schemeClr w14:val="tx1"/>
                  </w14:solidFill>
                </w14:textFill>
              </w:rPr>
              <w:t>5</w:t>
            </w:r>
            <w:r>
              <w:rPr>
                <w:rFonts w:hint="default" w:ascii="Times New Roman" w:hAnsi="Times New Roman" w:eastAsia="新宋体" w:cs="Times New Roman"/>
                <w:b/>
                <w:color w:val="000000" w:themeColor="text1"/>
                <w:lang w:eastAsia="zh-CN"/>
                <w14:textFill>
                  <w14:solidFill>
                    <w14:schemeClr w14:val="tx1"/>
                  </w14:solidFill>
                </w14:textFill>
              </w:rPr>
              <w:t>、</w:t>
            </w:r>
            <w:r>
              <w:rPr>
                <w:rFonts w:hint="default" w:ascii="Times New Roman" w:hAnsi="Times New Roman" w:eastAsia="新宋体" w:cs="Times New Roman"/>
                <w:b/>
                <w:color w:val="000000" w:themeColor="text1"/>
                <w14:textFill>
                  <w14:solidFill>
                    <w14:schemeClr w14:val="tx1"/>
                  </w14:solidFill>
                </w14:textFill>
              </w:rPr>
              <w:t>固废</w:t>
            </w:r>
          </w:p>
          <w:p w14:paraId="5EC75D2E">
            <w:pPr>
              <w:spacing w:line="360" w:lineRule="auto"/>
              <w:ind w:firstLine="480" w:firstLineChars="200"/>
              <w:jc w:val="both"/>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（1）一般固废处置执行《一般工业固体废物贮存和填埋污染控制标准》（GB18599-2020）。</w:t>
            </w:r>
          </w:p>
          <w:p w14:paraId="00AD9623">
            <w:pPr>
              <w:spacing w:line="360" w:lineRule="auto"/>
              <w:ind w:firstLine="480" w:firstLineChars="200"/>
              <w:jc w:val="both"/>
              <w:rPr>
                <w:rFonts w:hint="default" w:ascii="Times New Roman" w:hAnsi="Times New Roman" w:eastAsia="新宋体" w:cs="Times New Roman"/>
                <w:color w:val="000000" w:themeColor="text1"/>
                <w14:textFill>
                  <w14:solidFill>
                    <w14:schemeClr w14:val="tx1"/>
                  </w14:solidFill>
                </w14:textFill>
              </w:rPr>
            </w:pP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（2）危险废物处置执行《危险废物贮存污染控制标准》（GB18597-2023）的相关规定。</w:t>
            </w:r>
          </w:p>
        </w:tc>
      </w:tr>
      <w:tr w14:paraId="1211DC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38" w:hRule="atLeast"/>
          <w:jc w:val="center"/>
        </w:trPr>
        <w:tc>
          <w:tcPr>
            <w:tcW w:w="633" w:type="dxa"/>
            <w:tcBorders>
              <w:tl2br w:val="nil"/>
              <w:tr2bl w:val="nil"/>
            </w:tcBorders>
            <w:vAlign w:val="center"/>
          </w:tcPr>
          <w:p w14:paraId="5A74732A">
            <w:pPr>
              <w:adjustRightInd w:val="0"/>
              <w:snapToGrid w:val="0"/>
              <w:ind w:firstLine="0" w:firstLineChars="0"/>
              <w:jc w:val="center"/>
              <w:rPr>
                <w:rFonts w:hint="default" w:ascii="Times New Roman" w:hAnsi="Times New Roman" w:eastAsia="新宋体" w:cs="Times New Roman"/>
                <w:color w:val="000000" w:themeColor="text1"/>
                <w14:textFill>
                  <w14:solidFill>
                    <w14:schemeClr w14:val="tx1"/>
                  </w14:solidFill>
                </w14:textFill>
              </w:rPr>
            </w:pPr>
            <w:r>
              <w:rPr>
                <w:rFonts w:hint="default" w:ascii="Times New Roman" w:hAnsi="Times New Roman" w:eastAsia="新宋体" w:cs="Times New Roman"/>
                <w:color w:val="000000" w:themeColor="text1"/>
                <w14:textFill>
                  <w14:solidFill>
                    <w14:schemeClr w14:val="tx1"/>
                  </w14:solidFill>
                </w14:textFill>
              </w:rPr>
              <w:t>总量</w:t>
            </w:r>
          </w:p>
          <w:p w14:paraId="4778900C">
            <w:pPr>
              <w:adjustRightInd w:val="0"/>
              <w:snapToGrid w:val="0"/>
              <w:ind w:firstLine="0" w:firstLineChars="0"/>
              <w:jc w:val="center"/>
              <w:rPr>
                <w:rFonts w:hint="default" w:ascii="Times New Roman" w:hAnsi="Times New Roman" w:eastAsia="新宋体" w:cs="Times New Roman"/>
                <w:color w:val="000000" w:themeColor="text1"/>
                <w14:textFill>
                  <w14:solidFill>
                    <w14:schemeClr w14:val="tx1"/>
                  </w14:solidFill>
                </w14:textFill>
              </w:rPr>
            </w:pPr>
            <w:r>
              <w:rPr>
                <w:rFonts w:hint="default" w:ascii="Times New Roman" w:hAnsi="Times New Roman" w:eastAsia="新宋体" w:cs="Times New Roman"/>
                <w:color w:val="000000" w:themeColor="text1"/>
                <w14:textFill>
                  <w14:solidFill>
                    <w14:schemeClr w14:val="tx1"/>
                  </w14:solidFill>
                </w14:textFill>
              </w:rPr>
              <w:t>控制</w:t>
            </w:r>
          </w:p>
          <w:p w14:paraId="709F383A">
            <w:pPr>
              <w:adjustRightInd w:val="0"/>
              <w:snapToGrid w:val="0"/>
              <w:ind w:firstLine="0" w:firstLineChars="0"/>
              <w:jc w:val="center"/>
              <w:rPr>
                <w:rFonts w:hint="default" w:ascii="Times New Roman" w:hAnsi="Times New Roman" w:eastAsia="新宋体" w:cs="Times New Roman"/>
                <w:color w:val="000000" w:themeColor="text1"/>
                <w:kern w:val="0"/>
                <w:szCs w:val="21"/>
                <w14:textFill>
                  <w14:solidFill>
                    <w14:schemeClr w14:val="tx1"/>
                  </w14:solidFill>
                </w14:textFill>
              </w:rPr>
            </w:pPr>
            <w:r>
              <w:rPr>
                <w:rFonts w:hint="default" w:ascii="Times New Roman" w:hAnsi="Times New Roman" w:eastAsia="新宋体" w:cs="Times New Roman"/>
                <w:color w:val="000000" w:themeColor="text1"/>
                <w14:textFill>
                  <w14:solidFill>
                    <w14:schemeClr w14:val="tx1"/>
                  </w14:solidFill>
                </w14:textFill>
              </w:rPr>
              <w:t>指标</w:t>
            </w:r>
          </w:p>
        </w:tc>
        <w:tc>
          <w:tcPr>
            <w:tcW w:w="8428" w:type="dxa"/>
            <w:tcBorders>
              <w:tl2br w:val="nil"/>
              <w:tr2bl w:val="nil"/>
            </w:tcBorders>
            <w:vAlign w:val="center"/>
          </w:tcPr>
          <w:p w14:paraId="475E3870">
            <w:pPr>
              <w:spacing w:line="360" w:lineRule="auto"/>
              <w:ind w:firstLine="480" w:firstLineChars="200"/>
              <w:jc w:val="both"/>
              <w:rPr>
                <w:rFonts w:hint="default" w:ascii="Times New Roman" w:hAnsi="Times New Roman" w:eastAsia="新宋体" w:cs="Times New Roman"/>
                <w:color w:val="000000" w:themeColor="text1"/>
                <w:lang w:val="en-US" w:eastAsia="zh-CN"/>
                <w14:textFill>
                  <w14:solidFill>
                    <w14:schemeClr w14:val="tx1"/>
                  </w14:solidFill>
                </w14:textFill>
              </w:rPr>
            </w:pPr>
            <w:r>
              <w:rPr>
                <w:rFonts w:hint="default" w:ascii="Times New Roman" w:hAnsi="Times New Roman" w:eastAsia="新宋体" w:cs="Times New Roman"/>
                <w:color w:val="000000" w:themeColor="text1"/>
                <w:lang w:val="en-US" w:eastAsia="zh-CN"/>
                <w14:textFill>
                  <w14:solidFill>
                    <w14:schemeClr w14:val="tx1"/>
                  </w14:solidFill>
                </w14:textFill>
              </w:rPr>
              <w:t>本项目无需申请总量。</w:t>
            </w:r>
          </w:p>
        </w:tc>
      </w:tr>
    </w:tbl>
    <w:p w14:paraId="6C8B68D0">
      <w:pPr>
        <w:ind w:firstLine="480"/>
        <w:rPr>
          <w:rFonts w:hint="default" w:ascii="Times New Roman" w:hAnsi="Times New Roman" w:eastAsia="新宋体" w:cs="Times New Roman"/>
          <w:color w:val="000000" w:themeColor="text1"/>
          <w14:textFill>
            <w14:solidFill>
              <w14:schemeClr w14:val="tx1"/>
            </w14:solidFill>
          </w14:textFill>
        </w:rPr>
      </w:pPr>
      <w:r>
        <w:rPr>
          <w:rFonts w:hint="default" w:ascii="Times New Roman" w:hAnsi="Times New Roman" w:eastAsia="新宋体" w:cs="Times New Roman"/>
          <w:color w:val="000000" w:themeColor="text1"/>
          <w14:textFill>
            <w14:solidFill>
              <w14:schemeClr w14:val="tx1"/>
            </w14:solidFill>
          </w14:textFill>
        </w:rPr>
        <w:br w:type="page"/>
      </w:r>
    </w:p>
    <w:p w14:paraId="17C35D42">
      <w:pPr>
        <w:pStyle w:val="24"/>
        <w:spacing w:before="0" w:beforeAutospacing="0" w:after="0" w:afterAutospacing="0" w:line="240" w:lineRule="auto"/>
        <w:ind w:firstLine="600"/>
        <w:jc w:val="center"/>
        <w:outlineLvl w:val="0"/>
        <w:rPr>
          <w:rFonts w:hint="default" w:ascii="Times New Roman" w:hAnsi="Times New Roman" w:eastAsia="新宋体" w:cs="Times New Roman"/>
          <w:snapToGrid w:val="0"/>
          <w:color w:val="000000" w:themeColor="text1"/>
          <w:sz w:val="30"/>
          <w:szCs w:val="30"/>
          <w14:textFill>
            <w14:solidFill>
              <w14:schemeClr w14:val="tx1"/>
            </w14:solidFill>
          </w14:textFill>
        </w:rPr>
      </w:pPr>
      <w:r>
        <w:rPr>
          <w:rFonts w:hint="default" w:ascii="Times New Roman" w:hAnsi="Times New Roman" w:eastAsia="新宋体" w:cs="Times New Roman"/>
          <w:b/>
          <w:bCs/>
          <w:snapToGrid w:val="0"/>
          <w:color w:val="000000" w:themeColor="text1"/>
          <w:sz w:val="30"/>
          <w:szCs w:val="30"/>
          <w14:textFill>
            <w14:solidFill>
              <w14:schemeClr w14:val="tx1"/>
            </w14:solidFill>
          </w14:textFill>
        </w:rPr>
        <w:t>四、主要环境影响和保护措施</w:t>
      </w:r>
    </w:p>
    <w:tbl>
      <w:tblPr>
        <w:tblStyle w:val="28"/>
        <w:tblpPr w:leftFromText="180" w:rightFromText="180" w:vertAnchor="text" w:tblpXSpec="center" w:tblpY="1"/>
        <w:tblOverlap w:val="never"/>
        <w:tblW w:w="5095"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521"/>
        <w:gridCol w:w="8081"/>
      </w:tblGrid>
      <w:tr w14:paraId="599521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89" w:hRule="atLeast"/>
          <w:jc w:val="center"/>
        </w:trPr>
        <w:tc>
          <w:tcPr>
            <w:tcW w:w="333" w:type="pct"/>
            <w:tcBorders>
              <w:tl2br w:val="nil"/>
              <w:tr2bl w:val="nil"/>
            </w:tcBorders>
            <w:tcMar>
              <w:left w:w="28" w:type="dxa"/>
              <w:right w:w="28" w:type="dxa"/>
            </w:tcMar>
            <w:vAlign w:val="center"/>
          </w:tcPr>
          <w:p w14:paraId="1AD475BB">
            <w:pPr>
              <w:pStyle w:val="24"/>
              <w:adjustRightInd w:val="0"/>
              <w:snapToGrid w:val="0"/>
              <w:spacing w:before="0" w:beforeAutospacing="0" w:after="0" w:afterAutospacing="0"/>
              <w:ind w:firstLine="0" w:firstLineChars="0"/>
              <w:jc w:val="center"/>
              <w:rPr>
                <w:rFonts w:hint="default" w:ascii="Times New Roman" w:hAnsi="Times New Roman" w:eastAsia="新宋体" w:cs="Times New Roman"/>
                <w:color w:val="000000" w:themeColor="text1"/>
                <w:kern w:val="2"/>
                <w:szCs w:val="22"/>
                <w14:textFill>
                  <w14:solidFill>
                    <w14:schemeClr w14:val="tx1"/>
                  </w14:solidFill>
                </w14:textFill>
              </w:rPr>
            </w:pPr>
            <w:r>
              <w:rPr>
                <w:rFonts w:hint="default" w:ascii="Times New Roman" w:hAnsi="Times New Roman" w:eastAsia="新宋体" w:cs="Times New Roman"/>
                <w:color w:val="000000" w:themeColor="text1"/>
                <w:kern w:val="2"/>
                <w:szCs w:val="22"/>
                <w14:textFill>
                  <w14:solidFill>
                    <w14:schemeClr w14:val="tx1"/>
                  </w14:solidFill>
                </w14:textFill>
              </w:rPr>
              <w:t>施工</w:t>
            </w:r>
          </w:p>
          <w:p w14:paraId="4BC1F3FA">
            <w:pPr>
              <w:pStyle w:val="24"/>
              <w:adjustRightInd w:val="0"/>
              <w:snapToGrid w:val="0"/>
              <w:spacing w:before="0" w:beforeAutospacing="0" w:after="0" w:afterAutospacing="0"/>
              <w:ind w:firstLine="0" w:firstLineChars="0"/>
              <w:jc w:val="center"/>
              <w:rPr>
                <w:rFonts w:hint="default" w:ascii="Times New Roman" w:hAnsi="Times New Roman" w:eastAsia="新宋体" w:cs="Times New Roman"/>
                <w:color w:val="000000" w:themeColor="text1"/>
                <w:kern w:val="2"/>
                <w:szCs w:val="22"/>
                <w14:textFill>
                  <w14:solidFill>
                    <w14:schemeClr w14:val="tx1"/>
                  </w14:solidFill>
                </w14:textFill>
              </w:rPr>
            </w:pPr>
            <w:r>
              <w:rPr>
                <w:rFonts w:hint="default" w:ascii="Times New Roman" w:hAnsi="Times New Roman" w:eastAsia="新宋体" w:cs="Times New Roman"/>
                <w:color w:val="000000" w:themeColor="text1"/>
                <w:kern w:val="2"/>
                <w:szCs w:val="22"/>
                <w14:textFill>
                  <w14:solidFill>
                    <w14:schemeClr w14:val="tx1"/>
                  </w14:solidFill>
                </w14:textFill>
              </w:rPr>
              <w:t>期环</w:t>
            </w:r>
          </w:p>
          <w:p w14:paraId="0963D47C">
            <w:pPr>
              <w:pStyle w:val="24"/>
              <w:adjustRightInd w:val="0"/>
              <w:snapToGrid w:val="0"/>
              <w:spacing w:before="0" w:beforeAutospacing="0" w:after="0" w:afterAutospacing="0"/>
              <w:ind w:firstLine="0" w:firstLineChars="0"/>
              <w:jc w:val="center"/>
              <w:rPr>
                <w:rFonts w:hint="default" w:ascii="Times New Roman" w:hAnsi="Times New Roman" w:eastAsia="新宋体" w:cs="Times New Roman"/>
                <w:color w:val="000000" w:themeColor="text1"/>
                <w:kern w:val="2"/>
                <w:szCs w:val="22"/>
                <w14:textFill>
                  <w14:solidFill>
                    <w14:schemeClr w14:val="tx1"/>
                  </w14:solidFill>
                </w14:textFill>
              </w:rPr>
            </w:pPr>
            <w:r>
              <w:rPr>
                <w:rFonts w:hint="default" w:ascii="Times New Roman" w:hAnsi="Times New Roman" w:eastAsia="新宋体" w:cs="Times New Roman"/>
                <w:color w:val="000000" w:themeColor="text1"/>
                <w:kern w:val="2"/>
                <w:szCs w:val="22"/>
                <w14:textFill>
                  <w14:solidFill>
                    <w14:schemeClr w14:val="tx1"/>
                  </w14:solidFill>
                </w14:textFill>
              </w:rPr>
              <w:t>境保</w:t>
            </w:r>
          </w:p>
          <w:p w14:paraId="43BBC334">
            <w:pPr>
              <w:pStyle w:val="24"/>
              <w:adjustRightInd w:val="0"/>
              <w:snapToGrid w:val="0"/>
              <w:spacing w:before="0" w:beforeAutospacing="0" w:after="0" w:afterAutospacing="0"/>
              <w:ind w:firstLine="0" w:firstLineChars="0"/>
              <w:jc w:val="center"/>
              <w:rPr>
                <w:rFonts w:hint="default" w:ascii="Times New Roman" w:hAnsi="Times New Roman" w:eastAsia="新宋体" w:cs="Times New Roman"/>
                <w:color w:val="000000" w:themeColor="text1"/>
                <w:kern w:val="2"/>
                <w:szCs w:val="22"/>
                <w14:textFill>
                  <w14:solidFill>
                    <w14:schemeClr w14:val="tx1"/>
                  </w14:solidFill>
                </w14:textFill>
              </w:rPr>
            </w:pPr>
            <w:r>
              <w:rPr>
                <w:rFonts w:hint="default" w:ascii="Times New Roman" w:hAnsi="Times New Roman" w:eastAsia="新宋体" w:cs="Times New Roman"/>
                <w:color w:val="000000" w:themeColor="text1"/>
                <w:kern w:val="2"/>
                <w:szCs w:val="22"/>
                <w14:textFill>
                  <w14:solidFill>
                    <w14:schemeClr w14:val="tx1"/>
                  </w14:solidFill>
                </w14:textFill>
              </w:rPr>
              <w:t>护措</w:t>
            </w:r>
          </w:p>
          <w:p w14:paraId="27399D18">
            <w:pPr>
              <w:pStyle w:val="24"/>
              <w:adjustRightInd w:val="0"/>
              <w:snapToGrid w:val="0"/>
              <w:spacing w:before="0" w:beforeAutospacing="0" w:after="0" w:afterAutospacing="0"/>
              <w:ind w:firstLine="0" w:firstLineChars="0"/>
              <w:jc w:val="center"/>
              <w:rPr>
                <w:rFonts w:hint="default" w:ascii="Times New Roman" w:hAnsi="Times New Roman" w:eastAsia="新宋体" w:cs="Times New Roman"/>
                <w:color w:val="000000" w:themeColor="text1"/>
                <w:kern w:val="2"/>
                <w:szCs w:val="22"/>
                <w14:textFill>
                  <w14:solidFill>
                    <w14:schemeClr w14:val="tx1"/>
                  </w14:solidFill>
                </w14:textFill>
              </w:rPr>
            </w:pPr>
            <w:r>
              <w:rPr>
                <w:rFonts w:hint="default" w:ascii="Times New Roman" w:hAnsi="Times New Roman" w:eastAsia="新宋体" w:cs="Times New Roman"/>
                <w:color w:val="000000" w:themeColor="text1"/>
                <w:kern w:val="2"/>
                <w:szCs w:val="22"/>
                <w14:textFill>
                  <w14:solidFill>
                    <w14:schemeClr w14:val="tx1"/>
                  </w14:solidFill>
                </w14:textFill>
              </w:rPr>
              <w:t>施</w:t>
            </w:r>
          </w:p>
          <w:p w14:paraId="1A3D9965">
            <w:pPr>
              <w:pStyle w:val="24"/>
              <w:adjustRightInd w:val="0"/>
              <w:snapToGrid w:val="0"/>
              <w:spacing w:before="0" w:beforeAutospacing="0" w:after="0" w:afterAutospacing="0"/>
              <w:ind w:firstLine="0" w:firstLineChars="0"/>
              <w:jc w:val="center"/>
              <w:rPr>
                <w:rFonts w:hint="default" w:ascii="Times New Roman" w:hAnsi="Times New Roman" w:eastAsia="新宋体" w:cs="Times New Roman"/>
                <w:bCs/>
                <w:color w:val="000000" w:themeColor="text1"/>
                <w:kern w:val="2"/>
                <w:sz w:val="21"/>
                <w:szCs w:val="21"/>
                <w14:textFill>
                  <w14:solidFill>
                    <w14:schemeClr w14:val="tx1"/>
                  </w14:solidFill>
                </w14:textFill>
              </w:rPr>
            </w:pPr>
          </w:p>
        </w:tc>
        <w:tc>
          <w:tcPr>
            <w:tcW w:w="4666" w:type="pct"/>
            <w:tcBorders>
              <w:tl2br w:val="nil"/>
              <w:tr2bl w:val="nil"/>
            </w:tcBorders>
            <w:vAlign w:val="top"/>
          </w:tcPr>
          <w:p w14:paraId="0BBFAD4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4"/>
                <w:highlight w:val="none"/>
                <w14:textFill>
                  <w14:solidFill>
                    <w14:schemeClr w14:val="tx1"/>
                  </w14:solidFill>
                </w14:textFill>
              </w:rPr>
              <w:t>本项目建设施工期污染源主要有设备基础施工扬尘、运输车辆施工机械产生废气</w:t>
            </w: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szCs w:val="24"/>
                <w:highlight w:val="none"/>
                <w14:textFill>
                  <w14:solidFill>
                    <w14:schemeClr w14:val="tx1"/>
                  </w14:solidFill>
                </w14:textFill>
              </w:rPr>
              <w:t>施工机械噪声</w:t>
            </w: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szCs w:val="24"/>
                <w:highlight w:val="none"/>
                <w14:textFill>
                  <w14:solidFill>
                    <w14:schemeClr w14:val="tx1"/>
                  </w14:solidFill>
                </w14:textFill>
              </w:rPr>
              <w:t>施工废水和建筑垃圾。</w:t>
            </w:r>
            <w:r>
              <w:rPr>
                <w:rFonts w:hint="default" w:ascii="Times New Roman" w:hAnsi="Times New Roman" w:eastAsia="新宋体" w:cs="Times New Roman"/>
              </w:rPr>
              <w:t>施工采用机械施工为主、人工为辅的施工方式，施工用钢结构、彩钢等建筑材料，均外购自相关加工企业加工好后安装使用。</w:t>
            </w:r>
            <w:r>
              <w:rPr>
                <w:rFonts w:hint="default" w:ascii="Times New Roman" w:hAnsi="Times New Roman" w:eastAsia="新宋体" w:cs="Times New Roman"/>
                <w:lang w:val="en-US" w:eastAsia="zh-CN"/>
              </w:rPr>
              <w:t>施工工期预计</w:t>
            </w:r>
            <w:r>
              <w:rPr>
                <w:rFonts w:hint="eastAsia" w:eastAsia="新宋体" w:cs="Times New Roman"/>
                <w:lang w:val="en-US" w:eastAsia="zh-CN"/>
              </w:rPr>
              <w:t>1</w:t>
            </w:r>
            <w:r>
              <w:rPr>
                <w:rFonts w:hint="default" w:ascii="Times New Roman" w:hAnsi="Times New Roman" w:eastAsia="新宋体" w:cs="Times New Roman"/>
                <w:lang w:val="en-US" w:eastAsia="zh-CN"/>
              </w:rPr>
              <w:t>个月。</w:t>
            </w:r>
          </w:p>
          <w:p w14:paraId="307DC305">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eastAsia="新宋体" w:cs="Times New Roman"/>
                <w:b/>
                <w:bCs/>
                <w:color w:val="000000" w:themeColor="text1"/>
                <w:sz w:val="24"/>
                <w:szCs w:val="24"/>
                <w:highlight w:val="none"/>
                <w14:textFill>
                  <w14:solidFill>
                    <w14:schemeClr w14:val="tx1"/>
                  </w14:solidFill>
                </w14:textFill>
              </w:rPr>
            </w:pPr>
            <w:r>
              <w:rPr>
                <w:rFonts w:hint="default" w:ascii="Times New Roman" w:hAnsi="Times New Roman" w:eastAsia="新宋体" w:cs="Times New Roman"/>
                <w:b/>
                <w:bCs/>
                <w:color w:val="000000" w:themeColor="text1"/>
                <w:sz w:val="24"/>
                <w:szCs w:val="24"/>
                <w:highlight w:val="none"/>
                <w14:textFill>
                  <w14:solidFill>
                    <w14:schemeClr w14:val="tx1"/>
                  </w14:solidFill>
                </w14:textFill>
              </w:rPr>
              <w:t>1、大气环境影响分析</w:t>
            </w:r>
          </w:p>
          <w:p w14:paraId="0F85BC5D">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新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新宋体" w:cs="Times New Roman"/>
              </w:rPr>
              <w:t>建设期大气污染主要来自建筑材料（水泥、沙子、石子、砖等）的现场搬运及堆放扬尘；施工垃圾的清理及堆放扬尘；运输车辆造成的道路扬尘；施工机械所排废气（含CO、碳氢化合物、NO</w:t>
            </w:r>
            <w:r>
              <w:rPr>
                <w:rFonts w:hint="default" w:ascii="Times New Roman" w:hAnsi="Times New Roman" w:eastAsia="新宋体" w:cs="Times New Roman"/>
                <w:vertAlign w:val="subscript"/>
              </w:rPr>
              <w:t>X</w:t>
            </w:r>
            <w:r>
              <w:rPr>
                <w:rFonts w:hint="default" w:ascii="Times New Roman" w:hAnsi="Times New Roman" w:eastAsia="新宋体" w:cs="Times New Roman"/>
              </w:rPr>
              <w:t>等污染物）。施工期大气污染源及污染物详见表</w:t>
            </w:r>
            <w:r>
              <w:rPr>
                <w:rFonts w:hint="default" w:ascii="Times New Roman" w:hAnsi="Times New Roman" w:eastAsia="新宋体" w:cs="Times New Roman"/>
                <w:lang w:val="en-US" w:eastAsia="zh-CN"/>
              </w:rPr>
              <w:t>4-1</w:t>
            </w:r>
            <w:r>
              <w:rPr>
                <w:rFonts w:hint="default" w:ascii="Times New Roman" w:hAnsi="Times New Roman" w:eastAsia="新宋体" w:cs="Times New Roman"/>
              </w:rPr>
              <w:t>。</w:t>
            </w:r>
          </w:p>
          <w:p w14:paraId="2B1B65FF">
            <w:pPr>
              <w:jc w:val="center"/>
              <w:rPr>
                <w:rFonts w:hint="default" w:ascii="Times New Roman" w:hAnsi="Times New Roman" w:eastAsia="新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新宋体" w:cs="Times New Roman"/>
                <w:b/>
                <w:bCs/>
                <w:color w:val="000000" w:themeColor="text1"/>
                <w:kern w:val="2"/>
                <w:sz w:val="21"/>
                <w:szCs w:val="21"/>
                <w:highlight w:val="none"/>
                <w:lang w:val="en-US" w:eastAsia="zh-CN" w:bidi="ar-SA"/>
                <w14:textFill>
                  <w14:solidFill>
                    <w14:schemeClr w14:val="tx1"/>
                  </w14:solidFill>
                </w14:textFill>
              </w:rPr>
              <w:t>表4-1施工期大气污染源及污染物</w:t>
            </w:r>
          </w:p>
          <w:tbl>
            <w:tblPr>
              <w:tblStyle w:val="28"/>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699"/>
              <w:gridCol w:w="3103"/>
              <w:gridCol w:w="1902"/>
              <w:gridCol w:w="2158"/>
            </w:tblGrid>
            <w:tr w14:paraId="1262272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40" w:hRule="atLeast"/>
                <w:jc w:val="center"/>
              </w:trPr>
              <w:tc>
                <w:tcPr>
                  <w:tcW w:w="445" w:type="pct"/>
                  <w:tcBorders>
                    <w:tl2br w:val="nil"/>
                    <w:tr2bl w:val="nil"/>
                  </w:tcBorders>
                  <w:vAlign w:val="center"/>
                </w:tcPr>
                <w:p w14:paraId="2E42BD18">
                  <w:pPr>
                    <w:pStyle w:val="40"/>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序号</w:t>
                  </w:r>
                </w:p>
              </w:tc>
              <w:tc>
                <w:tcPr>
                  <w:tcW w:w="1973" w:type="pct"/>
                  <w:tcBorders>
                    <w:tl2br w:val="nil"/>
                    <w:tr2bl w:val="nil"/>
                  </w:tcBorders>
                  <w:vAlign w:val="center"/>
                </w:tcPr>
                <w:p w14:paraId="7989CF61">
                  <w:pPr>
                    <w:pStyle w:val="40"/>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产生地点</w:t>
                  </w:r>
                </w:p>
              </w:tc>
              <w:tc>
                <w:tcPr>
                  <w:tcW w:w="1209" w:type="pct"/>
                  <w:tcBorders>
                    <w:tl2br w:val="nil"/>
                    <w:tr2bl w:val="nil"/>
                  </w:tcBorders>
                  <w:vAlign w:val="center"/>
                </w:tcPr>
                <w:p w14:paraId="0019000D">
                  <w:pPr>
                    <w:pStyle w:val="40"/>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产生原因</w:t>
                  </w:r>
                </w:p>
              </w:tc>
              <w:tc>
                <w:tcPr>
                  <w:tcW w:w="1372" w:type="pct"/>
                  <w:tcBorders>
                    <w:tl2br w:val="nil"/>
                    <w:tr2bl w:val="nil"/>
                  </w:tcBorders>
                  <w:vAlign w:val="center"/>
                </w:tcPr>
                <w:p w14:paraId="0AE155FC">
                  <w:pPr>
                    <w:pStyle w:val="40"/>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污染物名称</w:t>
                  </w:r>
                </w:p>
              </w:tc>
            </w:tr>
            <w:tr w14:paraId="5A70021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40" w:hRule="atLeast"/>
                <w:jc w:val="center"/>
              </w:trPr>
              <w:tc>
                <w:tcPr>
                  <w:tcW w:w="445" w:type="pct"/>
                  <w:tcBorders>
                    <w:tl2br w:val="nil"/>
                    <w:tr2bl w:val="nil"/>
                  </w:tcBorders>
                  <w:vAlign w:val="center"/>
                </w:tcPr>
                <w:p w14:paraId="3ACCF921">
                  <w:pPr>
                    <w:pStyle w:val="40"/>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1</w:t>
                  </w:r>
                </w:p>
              </w:tc>
              <w:tc>
                <w:tcPr>
                  <w:tcW w:w="1973" w:type="pct"/>
                  <w:tcBorders>
                    <w:tl2br w:val="nil"/>
                    <w:tr2bl w:val="nil"/>
                  </w:tcBorders>
                  <w:vAlign w:val="center"/>
                </w:tcPr>
                <w:p w14:paraId="6C49C220">
                  <w:pPr>
                    <w:pStyle w:val="40"/>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土石方挖掘、堆放、回填</w:t>
                  </w:r>
                </w:p>
              </w:tc>
              <w:tc>
                <w:tcPr>
                  <w:tcW w:w="1209" w:type="pct"/>
                  <w:tcBorders>
                    <w:tl2br w:val="nil"/>
                    <w:tr2bl w:val="nil"/>
                  </w:tcBorders>
                  <w:vAlign w:val="center"/>
                </w:tcPr>
                <w:p w14:paraId="2080A29D">
                  <w:pPr>
                    <w:pStyle w:val="40"/>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厂界内、堆存点</w:t>
                  </w:r>
                </w:p>
              </w:tc>
              <w:tc>
                <w:tcPr>
                  <w:tcW w:w="1372" w:type="pct"/>
                  <w:vMerge w:val="restart"/>
                  <w:tcBorders>
                    <w:tl2br w:val="nil"/>
                    <w:tr2bl w:val="nil"/>
                  </w:tcBorders>
                  <w:vAlign w:val="center"/>
                </w:tcPr>
                <w:p w14:paraId="31E86754">
                  <w:pPr>
                    <w:pStyle w:val="40"/>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扬尘</w:t>
                  </w:r>
                </w:p>
              </w:tc>
            </w:tr>
            <w:tr w14:paraId="1CD959A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40" w:hRule="atLeast"/>
                <w:jc w:val="center"/>
              </w:trPr>
              <w:tc>
                <w:tcPr>
                  <w:tcW w:w="445" w:type="pct"/>
                  <w:tcBorders>
                    <w:tl2br w:val="nil"/>
                    <w:tr2bl w:val="nil"/>
                  </w:tcBorders>
                  <w:vAlign w:val="center"/>
                </w:tcPr>
                <w:p w14:paraId="04EDD250">
                  <w:pPr>
                    <w:pStyle w:val="40"/>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2</w:t>
                  </w:r>
                </w:p>
              </w:tc>
              <w:tc>
                <w:tcPr>
                  <w:tcW w:w="1973" w:type="pct"/>
                  <w:tcBorders>
                    <w:tl2br w:val="nil"/>
                    <w:tr2bl w:val="nil"/>
                  </w:tcBorders>
                  <w:vAlign w:val="center"/>
                </w:tcPr>
                <w:p w14:paraId="16EBBD61">
                  <w:pPr>
                    <w:pStyle w:val="40"/>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起尘材料搬运、使用</w:t>
                  </w:r>
                </w:p>
              </w:tc>
              <w:tc>
                <w:tcPr>
                  <w:tcW w:w="1209" w:type="pct"/>
                  <w:tcBorders>
                    <w:tl2br w:val="nil"/>
                    <w:tr2bl w:val="nil"/>
                  </w:tcBorders>
                  <w:vAlign w:val="center"/>
                </w:tcPr>
                <w:p w14:paraId="01F482AD">
                  <w:pPr>
                    <w:pStyle w:val="40"/>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厂界内</w:t>
                  </w:r>
                </w:p>
              </w:tc>
              <w:tc>
                <w:tcPr>
                  <w:tcW w:w="1372" w:type="pct"/>
                  <w:vMerge w:val="continue"/>
                  <w:tcBorders>
                    <w:tl2br w:val="nil"/>
                    <w:tr2bl w:val="nil"/>
                  </w:tcBorders>
                  <w:vAlign w:val="center"/>
                </w:tcPr>
                <w:p w14:paraId="2ADE47B7">
                  <w:pPr>
                    <w:pStyle w:val="40"/>
                    <w:rPr>
                      <w:rFonts w:hint="default" w:ascii="Times New Roman" w:hAnsi="Times New Roman" w:eastAsia="新宋体" w:cs="Times New Roman"/>
                      <w:color w:val="auto"/>
                      <w:sz w:val="21"/>
                      <w:szCs w:val="21"/>
                    </w:rPr>
                  </w:pPr>
                </w:p>
              </w:tc>
            </w:tr>
            <w:tr w14:paraId="5035A28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40" w:hRule="atLeast"/>
                <w:jc w:val="center"/>
              </w:trPr>
              <w:tc>
                <w:tcPr>
                  <w:tcW w:w="445" w:type="pct"/>
                  <w:tcBorders>
                    <w:tl2br w:val="nil"/>
                    <w:tr2bl w:val="nil"/>
                  </w:tcBorders>
                  <w:vAlign w:val="center"/>
                </w:tcPr>
                <w:p w14:paraId="5040D252">
                  <w:pPr>
                    <w:pStyle w:val="40"/>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3</w:t>
                  </w:r>
                </w:p>
              </w:tc>
              <w:tc>
                <w:tcPr>
                  <w:tcW w:w="1973" w:type="pct"/>
                  <w:tcBorders>
                    <w:tl2br w:val="nil"/>
                    <w:tr2bl w:val="nil"/>
                  </w:tcBorders>
                  <w:vAlign w:val="center"/>
                </w:tcPr>
                <w:p w14:paraId="1F3FD720">
                  <w:pPr>
                    <w:pStyle w:val="40"/>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运输车辆行驶</w:t>
                  </w:r>
                </w:p>
              </w:tc>
              <w:tc>
                <w:tcPr>
                  <w:tcW w:w="1209" w:type="pct"/>
                  <w:tcBorders>
                    <w:tl2br w:val="nil"/>
                    <w:tr2bl w:val="nil"/>
                  </w:tcBorders>
                  <w:vAlign w:val="center"/>
                </w:tcPr>
                <w:p w14:paraId="56B70646">
                  <w:pPr>
                    <w:pStyle w:val="40"/>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厂界内、道路</w:t>
                  </w:r>
                </w:p>
              </w:tc>
              <w:tc>
                <w:tcPr>
                  <w:tcW w:w="1372" w:type="pct"/>
                  <w:vMerge w:val="continue"/>
                  <w:tcBorders>
                    <w:tl2br w:val="nil"/>
                    <w:tr2bl w:val="nil"/>
                  </w:tcBorders>
                  <w:vAlign w:val="center"/>
                </w:tcPr>
                <w:p w14:paraId="44FB678D">
                  <w:pPr>
                    <w:pStyle w:val="40"/>
                    <w:rPr>
                      <w:rFonts w:hint="default" w:ascii="Times New Roman" w:hAnsi="Times New Roman" w:eastAsia="新宋体" w:cs="Times New Roman"/>
                      <w:color w:val="auto"/>
                      <w:sz w:val="21"/>
                      <w:szCs w:val="21"/>
                    </w:rPr>
                  </w:pPr>
                </w:p>
              </w:tc>
            </w:tr>
            <w:tr w14:paraId="5AF3FC1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40" w:hRule="atLeast"/>
                <w:jc w:val="center"/>
              </w:trPr>
              <w:tc>
                <w:tcPr>
                  <w:tcW w:w="445" w:type="pct"/>
                  <w:tcBorders>
                    <w:tl2br w:val="nil"/>
                    <w:tr2bl w:val="nil"/>
                  </w:tcBorders>
                  <w:vAlign w:val="center"/>
                </w:tcPr>
                <w:p w14:paraId="614B3301">
                  <w:pPr>
                    <w:pStyle w:val="40"/>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4</w:t>
                  </w:r>
                </w:p>
              </w:tc>
              <w:tc>
                <w:tcPr>
                  <w:tcW w:w="1973" w:type="pct"/>
                  <w:tcBorders>
                    <w:tl2br w:val="nil"/>
                    <w:tr2bl w:val="nil"/>
                  </w:tcBorders>
                  <w:vAlign w:val="center"/>
                </w:tcPr>
                <w:p w14:paraId="5CE91B27">
                  <w:pPr>
                    <w:pStyle w:val="40"/>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工程机械及运输车辆</w:t>
                  </w:r>
                </w:p>
              </w:tc>
              <w:tc>
                <w:tcPr>
                  <w:tcW w:w="1209" w:type="pct"/>
                  <w:tcBorders>
                    <w:tl2br w:val="nil"/>
                    <w:tr2bl w:val="nil"/>
                  </w:tcBorders>
                  <w:vAlign w:val="center"/>
                </w:tcPr>
                <w:p w14:paraId="6C9F4914">
                  <w:pPr>
                    <w:pStyle w:val="40"/>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厂界内、道路</w:t>
                  </w:r>
                </w:p>
              </w:tc>
              <w:tc>
                <w:tcPr>
                  <w:tcW w:w="1372" w:type="pct"/>
                  <w:tcBorders>
                    <w:tl2br w:val="nil"/>
                    <w:tr2bl w:val="nil"/>
                  </w:tcBorders>
                  <w:vAlign w:val="center"/>
                </w:tcPr>
                <w:p w14:paraId="4682A29D">
                  <w:pPr>
                    <w:pStyle w:val="40"/>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NO</w:t>
                  </w:r>
                  <w:r>
                    <w:rPr>
                      <w:rFonts w:hint="default" w:ascii="Times New Roman" w:hAnsi="Times New Roman" w:eastAsia="新宋体" w:cs="Times New Roman"/>
                      <w:color w:val="auto"/>
                      <w:sz w:val="21"/>
                      <w:szCs w:val="21"/>
                      <w:vertAlign w:val="subscript"/>
                    </w:rPr>
                    <w:t>X</w:t>
                  </w:r>
                  <w:r>
                    <w:rPr>
                      <w:rFonts w:hint="default" w:ascii="Times New Roman" w:hAnsi="Times New Roman" w:eastAsia="新宋体" w:cs="Times New Roman"/>
                      <w:color w:val="auto"/>
                      <w:sz w:val="21"/>
                      <w:szCs w:val="21"/>
                    </w:rPr>
                    <w:t>、CO、碳氢化合物</w:t>
                  </w:r>
                </w:p>
              </w:tc>
            </w:tr>
          </w:tbl>
          <w:p w14:paraId="4E5F4582">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新宋体" w:cs="Times New Roman"/>
                <w:b/>
                <w:bCs/>
                <w:color w:val="000000" w:themeColor="text1"/>
                <w:sz w:val="24"/>
                <w:szCs w:val="24"/>
                <w:highlight w:val="none"/>
                <w14:textFill>
                  <w14:solidFill>
                    <w14:schemeClr w14:val="tx1"/>
                  </w14:solidFill>
                </w14:textFill>
              </w:rPr>
            </w:pPr>
            <w:r>
              <w:rPr>
                <w:rFonts w:hint="default" w:ascii="Times New Roman" w:hAnsi="Times New Roman" w:eastAsia="新宋体" w:cs="Times New Roman"/>
                <w:b/>
                <w:bCs/>
                <w:color w:val="000000" w:themeColor="text1"/>
                <w:sz w:val="24"/>
                <w:szCs w:val="24"/>
                <w:highlight w:val="none"/>
                <w:lang w:val="en-US" w:eastAsia="zh-CN"/>
                <w14:textFill>
                  <w14:solidFill>
                    <w14:schemeClr w14:val="tx1"/>
                  </w14:solidFill>
                </w14:textFill>
              </w:rPr>
              <w:t>1.1</w:t>
            </w:r>
            <w:r>
              <w:rPr>
                <w:rFonts w:hint="default" w:ascii="Times New Roman" w:hAnsi="Times New Roman" w:eastAsia="新宋体" w:cs="Times New Roman"/>
                <w:b/>
                <w:bCs/>
                <w:color w:val="000000" w:themeColor="text1"/>
                <w:sz w:val="24"/>
                <w:szCs w:val="24"/>
                <w:highlight w:val="none"/>
                <w14:textFill>
                  <w14:solidFill>
                    <w14:schemeClr w14:val="tx1"/>
                  </w14:solidFill>
                </w14:textFill>
              </w:rPr>
              <w:t>施工扬尘</w:t>
            </w:r>
          </w:p>
          <w:p w14:paraId="2A657A8C">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default" w:ascii="Times New Roman" w:hAnsi="Times New Roman" w:eastAsia="新宋体" w:cs="Times New Roman"/>
              </w:rPr>
              <w:t>根据类比调查资料，</w:t>
            </w:r>
            <w:r>
              <w:rPr>
                <w:rFonts w:hint="eastAsia" w:eastAsia="新宋体" w:cs="Times New Roman"/>
                <w:lang w:val="en-US" w:eastAsia="zh-CN"/>
              </w:rPr>
              <w:t>和硕</w:t>
            </w:r>
            <w:r>
              <w:rPr>
                <w:rFonts w:hint="default" w:ascii="Times New Roman" w:hAnsi="Times New Roman" w:eastAsia="新宋体" w:cs="Times New Roman"/>
                <w:lang w:val="en-US" w:eastAsia="zh-CN"/>
              </w:rPr>
              <w:t>县主导风向北偏东，</w:t>
            </w:r>
            <w:r>
              <w:rPr>
                <w:rFonts w:hint="eastAsia" w:eastAsia="新宋体" w:cs="Times New Roman"/>
                <w:lang w:val="en-US" w:eastAsia="zh-CN"/>
              </w:rPr>
              <w:t>10-12</w:t>
            </w:r>
            <w:r>
              <w:rPr>
                <w:rFonts w:hint="default" w:ascii="Times New Roman" w:hAnsi="Times New Roman" w:eastAsia="新宋体" w:cs="Times New Roman"/>
                <w:lang w:val="en-US" w:eastAsia="zh-CN"/>
              </w:rPr>
              <w:t>月平均风速</w:t>
            </w:r>
            <w:r>
              <w:rPr>
                <w:rFonts w:hint="eastAsia" w:eastAsia="新宋体" w:cs="Times New Roman"/>
                <w:lang w:val="en-US" w:eastAsia="zh-CN"/>
              </w:rPr>
              <w:t>1.7</w:t>
            </w:r>
            <w:r>
              <w:rPr>
                <w:rFonts w:hint="default" w:ascii="Times New Roman" w:hAnsi="Times New Roman" w:eastAsia="新宋体" w:cs="Times New Roman"/>
                <w:lang w:val="en-US" w:eastAsia="zh-CN"/>
              </w:rPr>
              <w:t>m/s</w:t>
            </w:r>
            <w:r>
              <w:rPr>
                <w:rFonts w:hint="default" w:ascii="Times New Roman" w:hAnsi="Times New Roman" w:eastAsia="新宋体" w:cs="Times New Roman"/>
              </w:rPr>
              <w:t>，</w:t>
            </w:r>
            <w:r>
              <w:rPr>
                <w:rFonts w:hint="default" w:ascii="Times New Roman" w:hAnsi="Times New Roman" w:eastAsia="新宋体" w:cs="Times New Roman"/>
                <w:lang w:val="en-US" w:eastAsia="zh-CN"/>
              </w:rPr>
              <w:t>在无任何防治措施的情况下，</w:t>
            </w:r>
            <w:r>
              <w:rPr>
                <w:rFonts w:hint="default" w:ascii="Times New Roman" w:hAnsi="Times New Roman" w:eastAsia="新宋体" w:cs="Times New Roman"/>
              </w:rPr>
              <w:t>施工扬尘的大致影响范围在</w:t>
            </w:r>
            <w:r>
              <w:rPr>
                <w:rFonts w:hint="default" w:ascii="Times New Roman" w:hAnsi="Times New Roman" w:eastAsia="新宋体" w:cs="Times New Roman"/>
                <w:lang w:val="en-US" w:eastAsia="zh-CN"/>
              </w:rPr>
              <w:t>1</w:t>
            </w:r>
            <w:r>
              <w:rPr>
                <w:rFonts w:hint="eastAsia" w:eastAsia="新宋体" w:cs="Times New Roman"/>
                <w:lang w:val="en-US" w:eastAsia="zh-CN"/>
              </w:rPr>
              <w:t>2</w:t>
            </w:r>
            <w:r>
              <w:rPr>
                <w:rFonts w:hint="default" w:ascii="Times New Roman" w:hAnsi="Times New Roman" w:eastAsia="新宋体" w:cs="Times New Roman"/>
                <w:lang w:val="en-US" w:eastAsia="zh-CN"/>
              </w:rPr>
              <w:t>0</w:t>
            </w:r>
            <w:r>
              <w:rPr>
                <w:rFonts w:hint="default" w:ascii="Times New Roman" w:hAnsi="Times New Roman" w:eastAsia="新宋体" w:cs="Times New Roman"/>
              </w:rPr>
              <w:t>m左右，受气象条件影响这个范围会有所增大或缩小</w:t>
            </w:r>
            <w:r>
              <w:rPr>
                <w:rFonts w:hint="default" w:ascii="Times New Roman" w:hAnsi="Times New Roman" w:eastAsia="新宋体" w:cs="Times New Roman"/>
                <w:lang w:eastAsia="zh-CN"/>
              </w:rPr>
              <w:t>，</w:t>
            </w:r>
            <w:r>
              <w:rPr>
                <w:rFonts w:hint="default" w:ascii="Times New Roman" w:hAnsi="Times New Roman" w:eastAsia="新宋体" w:cs="Times New Roman"/>
              </w:rPr>
              <w:t>项目</w:t>
            </w:r>
            <w:r>
              <w:rPr>
                <w:rFonts w:hint="eastAsia" w:eastAsia="新宋体" w:cs="Times New Roman"/>
                <w:lang w:val="en-US" w:eastAsia="zh-CN"/>
              </w:rPr>
              <w:t>下风向220</w:t>
            </w:r>
            <w:r>
              <w:rPr>
                <w:rFonts w:hint="default" w:ascii="Times New Roman" w:hAnsi="Times New Roman" w:eastAsia="新宋体" w:cs="Times New Roman"/>
              </w:rPr>
              <w:t>m范围内</w:t>
            </w:r>
            <w:r>
              <w:rPr>
                <w:rFonts w:hint="default" w:ascii="Times New Roman" w:hAnsi="Times New Roman" w:eastAsia="新宋体" w:cs="Times New Roman"/>
                <w:lang w:val="en-US" w:eastAsia="zh-CN"/>
              </w:rPr>
              <w:t>有</w:t>
            </w:r>
            <w:r>
              <w:rPr>
                <w:rFonts w:hint="eastAsia" w:eastAsia="新宋体" w:cs="Times New Roman"/>
                <w:lang w:val="en-US" w:eastAsia="zh-CN"/>
              </w:rPr>
              <w:t>集中</w:t>
            </w:r>
            <w:r>
              <w:rPr>
                <w:rFonts w:hint="default" w:ascii="Times New Roman" w:hAnsi="Times New Roman" w:eastAsia="新宋体" w:cs="Times New Roman"/>
                <w:lang w:val="en-US" w:eastAsia="zh-CN"/>
              </w:rPr>
              <w:t>居民</w:t>
            </w:r>
            <w:r>
              <w:rPr>
                <w:rFonts w:hint="default" w:ascii="Times New Roman" w:hAnsi="Times New Roman" w:eastAsia="新宋体" w:cs="Times New Roman"/>
              </w:rPr>
              <w:t>。施工过程中，建设方应加强管理，切实落实本报告提出的各项防尘措施，最大限度的减少施工扬尘对周边环境的影响，如施工过程中有扰民的现象产生，施工方应立即停业整顿</w:t>
            </w:r>
            <w:r>
              <w:rPr>
                <w:rFonts w:hint="default" w:ascii="Times New Roman" w:hAnsi="Times New Roman" w:eastAsia="新宋体" w:cs="Times New Roman"/>
                <w:lang w:eastAsia="zh-CN"/>
              </w:rPr>
              <w:t>。</w:t>
            </w:r>
          </w:p>
          <w:p w14:paraId="09080B71">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新宋体" w:cs="Times New Roman"/>
                <w:color w:val="000000" w:themeColor="text1"/>
                <w:sz w:val="24"/>
                <w:szCs w:val="24"/>
                <w:lang w:eastAsia="zh-CN"/>
                <w14:textFill>
                  <w14:solidFill>
                    <w14:schemeClr w14:val="tx1"/>
                  </w14:solidFill>
                </w14:textFill>
              </w:rPr>
            </w:pPr>
            <w:r>
              <w:rPr>
                <w:rFonts w:hint="default" w:ascii="Times New Roman" w:hAnsi="Times New Roman" w:eastAsia="新宋体" w:cs="Times New Roman"/>
                <w:color w:val="000000" w:themeColor="text1"/>
                <w:sz w:val="24"/>
                <w:szCs w:val="24"/>
                <w:lang w:val="en-US" w:eastAsia="zh-CN"/>
                <w14:textFill>
                  <w14:solidFill>
                    <w14:schemeClr w14:val="tx1"/>
                  </w14:solidFill>
                </w14:textFill>
              </w:rPr>
              <w:t>依据《巴音郭楞蒙古自治州大气污染防治办法》《新疆维吾尔自治区重污染天气应急预案》（新政办发〔2017〕108号）相关要求对扬尘的任务要求</w:t>
            </w:r>
            <w:r>
              <w:rPr>
                <w:rFonts w:hint="default" w:ascii="Times New Roman" w:hAnsi="Times New Roman" w:eastAsia="新宋体" w:cs="Times New Roman"/>
                <w:color w:val="000000" w:themeColor="text1"/>
                <w:sz w:val="24"/>
                <w:szCs w:val="24"/>
                <w14:textFill>
                  <w14:solidFill>
                    <w14:schemeClr w14:val="tx1"/>
                  </w14:solidFill>
                </w14:textFill>
              </w:rPr>
              <w:t>提出以下措施：</w:t>
            </w:r>
          </w:p>
          <w:p w14:paraId="7DF94A27">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新宋体" w:cs="Times New Roman"/>
                <w:color w:val="000000" w:themeColor="text1"/>
                <w:sz w:val="24"/>
                <w:szCs w:val="24"/>
                <w:lang w:eastAsia="zh-CN"/>
                <w14:textFill>
                  <w14:solidFill>
                    <w14:schemeClr w14:val="tx1"/>
                  </w14:solidFill>
                </w14:textFill>
              </w:rPr>
            </w:pPr>
            <w:r>
              <w:rPr>
                <w:rFonts w:hint="default" w:ascii="Times New Roman" w:hAnsi="Times New Roman" w:eastAsia="新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新宋体" w:cs="Times New Roman"/>
                <w:color w:val="000000" w:themeColor="text1"/>
                <w:sz w:val="24"/>
                <w:szCs w:val="24"/>
                <w14:textFill>
                  <w14:solidFill>
                    <w14:schemeClr w14:val="tx1"/>
                  </w14:solidFill>
                </w14:textFill>
              </w:rPr>
              <w:t>施工现场必须设置环境保护牌</w:t>
            </w:r>
            <w:r>
              <w:rPr>
                <w:rFonts w:hint="default" w:ascii="Times New Roman" w:hAnsi="Times New Roman" w:eastAsia="新宋体" w:cs="Times New Roman"/>
                <w:color w:val="000000" w:themeColor="text1"/>
                <w:sz w:val="24"/>
                <w:szCs w:val="24"/>
                <w:lang w:eastAsia="zh-CN"/>
                <w14:textFill>
                  <w14:solidFill>
                    <w14:schemeClr w14:val="tx1"/>
                  </w14:solidFill>
                </w14:textFill>
              </w:rPr>
              <w:t>，</w:t>
            </w:r>
            <w:r>
              <w:rPr>
                <w:rFonts w:hint="default" w:ascii="Times New Roman" w:hAnsi="Times New Roman" w:eastAsia="新宋体" w:cs="Times New Roman"/>
                <w:color w:val="000000" w:themeColor="text1"/>
                <w:sz w:val="24"/>
                <w:szCs w:val="24"/>
                <w14:textFill>
                  <w14:solidFill>
                    <w14:schemeClr w14:val="tx1"/>
                  </w14:solidFill>
                </w14:textFill>
              </w:rPr>
              <w:t>标明扬尘污染防治措施、责任人及环保监督电话等。本项目的建设单位名称、工程负责人姓名、联系电话、开工和计划竣工日期、施工许可证批准文号等标志牌；</w:t>
            </w:r>
          </w:p>
          <w:p w14:paraId="4A5109F0">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新宋体" w:cs="Times New Roman"/>
                <w:color w:val="000000" w:themeColor="text1"/>
                <w:sz w:val="24"/>
                <w:szCs w:val="24"/>
                <w14:textFill>
                  <w14:solidFill>
                    <w14:schemeClr w14:val="tx1"/>
                  </w14:solidFill>
                </w14:textFill>
              </w:rPr>
              <w:t>建设施工场地必须采取封闭、围挡、喷淋等防尘措施；</w:t>
            </w:r>
          </w:p>
          <w:p w14:paraId="2E9E0B98">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新宋体" w:cs="Times New Roman"/>
                <w:color w:val="000000" w:themeColor="text1"/>
                <w:sz w:val="24"/>
                <w:szCs w:val="24"/>
                <w:lang w:eastAsia="zh-CN"/>
                <w14:textFill>
                  <w14:solidFill>
                    <w14:schemeClr w14:val="tx1"/>
                  </w14:solidFill>
                </w14:textFill>
              </w:rPr>
            </w:pPr>
            <w:r>
              <w:rPr>
                <w:rFonts w:hint="default" w:ascii="Times New Roman" w:hAnsi="Times New Roman" w:eastAsia="新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新宋体" w:cs="Times New Roman"/>
                <w:color w:val="000000" w:themeColor="text1"/>
                <w:sz w:val="24"/>
                <w:szCs w:val="24"/>
                <w14:textFill>
                  <w14:solidFill>
                    <w14:schemeClr w14:val="tx1"/>
                  </w14:solidFill>
                </w14:textFill>
              </w:rPr>
              <w:t>根据主导风向和工地的相对位置</w:t>
            </w:r>
            <w:r>
              <w:rPr>
                <w:rFonts w:hint="default" w:ascii="Times New Roman" w:hAnsi="Times New Roman" w:eastAsia="新宋体" w:cs="Times New Roman"/>
                <w:color w:val="000000" w:themeColor="text1"/>
                <w:sz w:val="24"/>
                <w:szCs w:val="24"/>
                <w:lang w:eastAsia="zh-CN"/>
                <w14:textFill>
                  <w14:solidFill>
                    <w14:schemeClr w14:val="tx1"/>
                  </w14:solidFill>
                </w14:textFill>
              </w:rPr>
              <w:t>，</w:t>
            </w:r>
            <w:r>
              <w:rPr>
                <w:rFonts w:hint="default" w:ascii="Times New Roman" w:hAnsi="Times New Roman" w:eastAsia="新宋体" w:cs="Times New Roman"/>
                <w:color w:val="000000" w:themeColor="text1"/>
                <w:sz w:val="24"/>
                <w:szCs w:val="24"/>
                <w14:textFill>
                  <w14:solidFill>
                    <w14:schemeClr w14:val="tx1"/>
                  </w14:solidFill>
                </w14:textFill>
              </w:rPr>
              <w:t>对施工现场合理布局</w:t>
            </w:r>
            <w:r>
              <w:rPr>
                <w:rFonts w:hint="default" w:ascii="Times New Roman" w:hAnsi="Times New Roman" w:eastAsia="新宋体" w:cs="Times New Roman"/>
                <w:color w:val="000000" w:themeColor="text1"/>
                <w:sz w:val="24"/>
                <w:szCs w:val="24"/>
                <w:lang w:eastAsia="zh-CN"/>
                <w14:textFill>
                  <w14:solidFill>
                    <w14:schemeClr w14:val="tx1"/>
                  </w14:solidFill>
                </w14:textFill>
              </w:rPr>
              <w:t>，</w:t>
            </w:r>
            <w:r>
              <w:rPr>
                <w:rFonts w:hint="default" w:ascii="Times New Roman" w:hAnsi="Times New Roman" w:eastAsia="新宋体" w:cs="Times New Roman"/>
                <w:color w:val="000000" w:themeColor="text1"/>
                <w:sz w:val="24"/>
                <w:szCs w:val="24"/>
                <w14:textFill>
                  <w14:solidFill>
                    <w14:schemeClr w14:val="tx1"/>
                  </w14:solidFill>
                </w14:textFill>
              </w:rPr>
              <w:t>建材堆场应尽量远离环境保护目标；堆放易产生扬尘污染的物料、垃圾的</w:t>
            </w:r>
            <w:r>
              <w:rPr>
                <w:rFonts w:hint="default" w:ascii="Times New Roman" w:hAnsi="Times New Roman" w:eastAsia="新宋体" w:cs="Times New Roman"/>
                <w:color w:val="000000" w:themeColor="text1"/>
                <w:sz w:val="24"/>
                <w:szCs w:val="24"/>
                <w:lang w:eastAsia="zh-CN"/>
                <w14:textFill>
                  <w14:solidFill>
                    <w14:schemeClr w14:val="tx1"/>
                  </w14:solidFill>
                </w14:textFill>
              </w:rPr>
              <w:t>，</w:t>
            </w:r>
            <w:r>
              <w:rPr>
                <w:rFonts w:hint="default" w:ascii="Times New Roman" w:hAnsi="Times New Roman" w:eastAsia="新宋体" w:cs="Times New Roman"/>
                <w:color w:val="000000" w:themeColor="text1"/>
                <w:sz w:val="24"/>
                <w:szCs w:val="24"/>
                <w14:textFill>
                  <w14:solidFill>
                    <w14:schemeClr w14:val="tx1"/>
                  </w14:solidFill>
                </w14:textFill>
              </w:rPr>
              <w:t>必须采取封闭、覆盖等措施防止扬尘污染；</w:t>
            </w:r>
          </w:p>
          <w:p w14:paraId="5F46F73E">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新宋体" w:cs="Times New Roman"/>
                <w:color w:val="000000" w:themeColor="text1"/>
                <w:sz w:val="24"/>
                <w:szCs w:val="24"/>
                <w:lang w:eastAsia="zh-CN"/>
                <w14:textFill>
                  <w14:solidFill>
                    <w14:schemeClr w14:val="tx1"/>
                  </w14:solidFill>
                </w14:textFill>
              </w:rPr>
            </w:pPr>
            <w:r>
              <w:rPr>
                <w:rFonts w:hint="default" w:ascii="Times New Roman" w:hAnsi="Times New Roman" w:eastAsia="新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新宋体" w:cs="Times New Roman"/>
                <w:color w:val="000000" w:themeColor="text1"/>
                <w:sz w:val="24"/>
                <w:szCs w:val="24"/>
                <w14:textFill>
                  <w14:solidFill>
                    <w14:schemeClr w14:val="tx1"/>
                  </w14:solidFill>
                </w14:textFill>
              </w:rPr>
              <w:t>现场出入口应设置冲洗车辆设施</w:t>
            </w:r>
            <w:r>
              <w:rPr>
                <w:rFonts w:hint="default" w:ascii="Times New Roman" w:hAnsi="Times New Roman" w:eastAsia="新宋体" w:cs="Times New Roman"/>
                <w:color w:val="000000" w:themeColor="text1"/>
                <w:sz w:val="24"/>
                <w:szCs w:val="24"/>
                <w:lang w:eastAsia="zh-CN"/>
                <w14:textFill>
                  <w14:solidFill>
                    <w14:schemeClr w14:val="tx1"/>
                  </w14:solidFill>
                </w14:textFill>
              </w:rPr>
              <w:t>，</w:t>
            </w:r>
            <w:r>
              <w:rPr>
                <w:rFonts w:hint="default" w:ascii="Times New Roman" w:hAnsi="Times New Roman" w:eastAsia="新宋体" w:cs="Times New Roman"/>
                <w:color w:val="000000" w:themeColor="text1"/>
                <w:sz w:val="24"/>
                <w:szCs w:val="24"/>
                <w14:textFill>
                  <w14:solidFill>
                    <w14:schemeClr w14:val="tx1"/>
                  </w14:solidFill>
                </w14:textFill>
              </w:rPr>
              <w:t>施工运输车辆必须在除泥、冲洗干净后驶出作业场所；</w:t>
            </w:r>
          </w:p>
          <w:p w14:paraId="473F9B20">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新宋体" w:cs="Times New Roman"/>
                <w:color w:val="000000" w:themeColor="text1"/>
                <w:sz w:val="24"/>
                <w:szCs w:val="24"/>
                <w14:textFill>
                  <w14:solidFill>
                    <w14:schemeClr w14:val="tx1"/>
                  </w14:solidFill>
                </w14:textFill>
              </w:rPr>
              <w:t>建筑垃圾、生活垃圾集中、分类堆放</w:t>
            </w:r>
            <w:r>
              <w:rPr>
                <w:rFonts w:hint="default" w:ascii="Times New Roman" w:hAnsi="Times New Roman" w:eastAsia="新宋体" w:cs="Times New Roman"/>
                <w:color w:val="000000" w:themeColor="text1"/>
                <w:sz w:val="24"/>
                <w:szCs w:val="24"/>
                <w:lang w:eastAsia="zh-CN"/>
                <w14:textFill>
                  <w14:solidFill>
                    <w14:schemeClr w14:val="tx1"/>
                  </w14:solidFill>
                </w14:textFill>
              </w:rPr>
              <w:t>，</w:t>
            </w:r>
            <w:r>
              <w:rPr>
                <w:rFonts w:hint="default" w:ascii="Times New Roman" w:hAnsi="Times New Roman" w:eastAsia="新宋体" w:cs="Times New Roman"/>
                <w:color w:val="000000" w:themeColor="text1"/>
                <w:sz w:val="24"/>
                <w:szCs w:val="24"/>
                <w14:textFill>
                  <w14:solidFill>
                    <w14:schemeClr w14:val="tx1"/>
                  </w14:solidFill>
                </w14:textFill>
              </w:rPr>
              <w:t>严密遮盖</w:t>
            </w:r>
            <w:r>
              <w:rPr>
                <w:rFonts w:hint="default" w:ascii="Times New Roman" w:hAnsi="Times New Roman" w:eastAsia="新宋体" w:cs="Times New Roman"/>
                <w:color w:val="000000" w:themeColor="text1"/>
                <w:sz w:val="24"/>
                <w:szCs w:val="24"/>
                <w:lang w:eastAsia="zh-CN"/>
                <w14:textFill>
                  <w14:solidFill>
                    <w14:schemeClr w14:val="tx1"/>
                  </w14:solidFill>
                </w14:textFill>
              </w:rPr>
              <w:t>，</w:t>
            </w:r>
            <w:r>
              <w:rPr>
                <w:rFonts w:hint="default" w:ascii="Times New Roman" w:hAnsi="Times New Roman" w:eastAsia="新宋体" w:cs="Times New Roman"/>
                <w:color w:val="000000" w:themeColor="text1"/>
                <w:sz w:val="24"/>
                <w:szCs w:val="24"/>
                <w14:textFill>
                  <w14:solidFill>
                    <w14:schemeClr w14:val="tx1"/>
                  </w14:solidFill>
                </w14:textFill>
              </w:rPr>
              <w:t>日产日清；</w:t>
            </w:r>
          </w:p>
          <w:p w14:paraId="3F9B89BD">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新宋体" w:cs="Times New Roman"/>
                <w:color w:val="000000" w:themeColor="text1"/>
                <w:sz w:val="24"/>
                <w:szCs w:val="24"/>
                <w:lang w:eastAsia="zh-CN"/>
                <w14:textFill>
                  <w14:solidFill>
                    <w14:schemeClr w14:val="tx1"/>
                  </w14:solidFill>
                </w14:textFill>
              </w:rPr>
            </w:pPr>
            <w:r>
              <w:rPr>
                <w:rFonts w:hint="default" w:ascii="Times New Roman" w:hAnsi="Times New Roman" w:eastAsia="新宋体" w:cs="Times New Roman"/>
                <w:color w:val="000000" w:themeColor="text1"/>
                <w:sz w:val="24"/>
                <w:szCs w:val="24"/>
                <w:lang w:val="en-US" w:eastAsia="zh-CN"/>
                <w14:textFill>
                  <w14:solidFill>
                    <w14:schemeClr w14:val="tx1"/>
                  </w14:solidFill>
                </w14:textFill>
              </w:rPr>
              <w:t>（6）三</w:t>
            </w:r>
            <w:r>
              <w:rPr>
                <w:rFonts w:hint="default" w:ascii="Times New Roman" w:hAnsi="Times New Roman" w:eastAsia="新宋体" w:cs="Times New Roman"/>
                <w:color w:val="000000" w:themeColor="text1"/>
                <w:sz w:val="24"/>
                <w:szCs w:val="24"/>
                <w14:textFill>
                  <w14:solidFill>
                    <w14:schemeClr w14:val="tx1"/>
                  </w14:solidFill>
                </w14:textFill>
              </w:rPr>
              <w:t>级以上大风天气或市政府发布空气质量预警时</w:t>
            </w:r>
            <w:r>
              <w:rPr>
                <w:rFonts w:hint="default" w:ascii="Times New Roman" w:hAnsi="Times New Roman" w:eastAsia="新宋体" w:cs="Times New Roman"/>
                <w:color w:val="000000" w:themeColor="text1"/>
                <w:sz w:val="24"/>
                <w:szCs w:val="24"/>
                <w:lang w:eastAsia="zh-CN"/>
                <w14:textFill>
                  <w14:solidFill>
                    <w14:schemeClr w14:val="tx1"/>
                  </w14:solidFill>
                </w14:textFill>
              </w:rPr>
              <w:t>，</w:t>
            </w:r>
            <w:r>
              <w:rPr>
                <w:rFonts w:hint="default" w:ascii="Times New Roman" w:hAnsi="Times New Roman" w:eastAsia="新宋体" w:cs="Times New Roman"/>
                <w:color w:val="000000" w:themeColor="text1"/>
                <w:sz w:val="24"/>
                <w:szCs w:val="24"/>
                <w14:textFill>
                  <w14:solidFill>
                    <w14:schemeClr w14:val="tx1"/>
                  </w14:solidFill>
                </w14:textFill>
              </w:rPr>
              <w:t>严禁进行土方开挖、回填等可能产生扬尘的施工</w:t>
            </w:r>
            <w:r>
              <w:rPr>
                <w:rFonts w:hint="default" w:ascii="Times New Roman" w:hAnsi="Times New Roman" w:eastAsia="新宋体" w:cs="Times New Roman"/>
                <w:color w:val="000000" w:themeColor="text1"/>
                <w:sz w:val="24"/>
                <w:szCs w:val="24"/>
                <w:lang w:eastAsia="zh-CN"/>
                <w14:textFill>
                  <w14:solidFill>
                    <w14:schemeClr w14:val="tx1"/>
                  </w14:solidFill>
                </w14:textFill>
              </w:rPr>
              <w:t>，</w:t>
            </w:r>
            <w:r>
              <w:rPr>
                <w:rFonts w:hint="default" w:ascii="Times New Roman" w:hAnsi="Times New Roman" w:eastAsia="新宋体" w:cs="Times New Roman"/>
                <w:color w:val="000000" w:themeColor="text1"/>
                <w:sz w:val="24"/>
                <w:szCs w:val="24"/>
                <w14:textFill>
                  <w14:solidFill>
                    <w14:schemeClr w14:val="tx1"/>
                  </w14:solidFill>
                </w14:textFill>
              </w:rPr>
              <w:t>同时覆网防尘；</w:t>
            </w:r>
          </w:p>
          <w:p w14:paraId="66943DDC">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lang w:val="en-US" w:eastAsia="zh-CN"/>
                <w14:textFill>
                  <w14:solidFill>
                    <w14:schemeClr w14:val="tx1"/>
                  </w14:solidFill>
                </w14:textFill>
              </w:rPr>
              <w:t>（7）施工优选成品商品混凝土水泥罐车直接加注</w:t>
            </w:r>
            <w:r>
              <w:rPr>
                <w:rFonts w:hint="default" w:ascii="Times New Roman" w:hAnsi="Times New Roman" w:eastAsia="新宋体" w:cs="Times New Roman"/>
                <w:color w:val="000000" w:themeColor="text1"/>
                <w:sz w:val="24"/>
                <w:szCs w:val="24"/>
                <w14:textFill>
                  <w14:solidFill>
                    <w14:schemeClr w14:val="tx1"/>
                  </w14:solidFill>
                </w14:textFill>
              </w:rPr>
              <w:t>。场内装卸、</w:t>
            </w:r>
            <w:r>
              <w:rPr>
                <w:rFonts w:hint="eastAsia" w:eastAsia="新宋体" w:cs="Times New Roman"/>
                <w:color w:val="000000" w:themeColor="text1"/>
                <w:sz w:val="24"/>
                <w:szCs w:val="24"/>
                <w:lang w:eastAsia="zh-CN"/>
                <w14:textFill>
                  <w14:solidFill>
                    <w14:schemeClr w14:val="tx1"/>
                  </w14:solidFill>
                </w14:textFill>
              </w:rPr>
              <w:t>搬运</w:t>
            </w:r>
            <w:r>
              <w:rPr>
                <w:rFonts w:hint="default" w:ascii="Times New Roman" w:hAnsi="Times New Roman" w:eastAsia="新宋体" w:cs="Times New Roman"/>
                <w:color w:val="000000" w:themeColor="text1"/>
                <w:sz w:val="24"/>
                <w:szCs w:val="24"/>
                <w14:textFill>
                  <w14:solidFill>
                    <w14:schemeClr w14:val="tx1"/>
                  </w14:solidFill>
                </w14:textFill>
              </w:rPr>
              <w:t>物料应遮盖、封闭或洒水</w:t>
            </w:r>
            <w:r>
              <w:rPr>
                <w:rFonts w:hint="default" w:ascii="Times New Roman" w:hAnsi="Times New Roman" w:eastAsia="新宋体" w:cs="Times New Roman"/>
                <w:color w:val="000000" w:themeColor="text1"/>
                <w:sz w:val="24"/>
                <w:szCs w:val="24"/>
                <w:lang w:eastAsia="zh-CN"/>
                <w14:textFill>
                  <w14:solidFill>
                    <w14:schemeClr w14:val="tx1"/>
                  </w14:solidFill>
                </w14:textFill>
              </w:rPr>
              <w:t>，</w:t>
            </w:r>
            <w:r>
              <w:rPr>
                <w:rFonts w:hint="default" w:ascii="Times New Roman" w:hAnsi="Times New Roman" w:eastAsia="新宋体" w:cs="Times New Roman"/>
                <w:color w:val="000000" w:themeColor="text1"/>
                <w:sz w:val="24"/>
                <w:szCs w:val="24"/>
                <w14:textFill>
                  <w14:solidFill>
                    <w14:schemeClr w14:val="tx1"/>
                  </w14:solidFill>
                </w14:textFill>
              </w:rPr>
              <w:t>不得凌空抛掷、</w:t>
            </w:r>
            <w:r>
              <w:rPr>
                <w:rFonts w:hint="default" w:ascii="Times New Roman" w:hAnsi="Times New Roman" w:eastAsia="新宋体" w:cs="Times New Roman"/>
                <w:color w:val="000000" w:themeColor="text1"/>
                <w:sz w:val="24"/>
                <w:szCs w:val="24"/>
                <w:lang w:eastAsia="zh-CN"/>
                <w14:textFill>
                  <w14:solidFill>
                    <w14:schemeClr w14:val="tx1"/>
                  </w14:solidFill>
                </w14:textFill>
              </w:rPr>
              <w:t>抛洒</w:t>
            </w:r>
            <w:r>
              <w:rPr>
                <w:rFonts w:hint="default" w:ascii="Times New Roman" w:hAnsi="Times New Roman" w:eastAsia="新宋体" w:cs="Times New Roman"/>
                <w:color w:val="000000" w:themeColor="text1"/>
                <w:sz w:val="24"/>
                <w:szCs w:val="24"/>
                <w14:textFill>
                  <w14:solidFill>
                    <w14:schemeClr w14:val="tx1"/>
                  </w14:solidFill>
                </w14:textFill>
              </w:rPr>
              <w:t>；</w:t>
            </w:r>
          </w:p>
          <w:p w14:paraId="7FF4FBF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lang w:val="en-US" w:eastAsia="zh-CN"/>
                <w14:textFill>
                  <w14:solidFill>
                    <w14:schemeClr w14:val="tx1"/>
                  </w14:solidFill>
                </w14:textFill>
              </w:rPr>
              <w:t>（8）</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地方各级人民政府应当加强对建设施工和运输的管理，保持道路清洁，控制料堆和渣土堆放，扩大绿地、水面、湿地和地面铺装面积，防治扬尘污染。易产生扬尘的物料应当密闭；不能密闭的，应当设置不低于堆放物高度的严密围挡，并采取有效覆盖措施防治扬尘污染。</w:t>
            </w:r>
          </w:p>
          <w:p w14:paraId="4C348FB3">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4"/>
                <w:lang w:val="en-US" w:eastAsia="zh-CN"/>
                <w14:textFill>
                  <w14:solidFill>
                    <w14:schemeClr w14:val="tx1"/>
                  </w14:solidFill>
                </w14:textFill>
              </w:rPr>
              <w:t>（9）</w:t>
            </w:r>
            <w:r>
              <w:rPr>
                <w:rFonts w:hint="default" w:ascii="Times New Roman" w:hAnsi="Times New Roman" w:eastAsia="新宋体" w:cs="Times New Roman"/>
                <w:color w:val="000000" w:themeColor="text1"/>
                <w:sz w:val="24"/>
                <w:szCs w:val="24"/>
                <w14:textFill>
                  <w14:solidFill>
                    <w14:schemeClr w14:val="tx1"/>
                  </w14:solidFill>
                </w14:textFill>
              </w:rPr>
              <w:t>强化管理</w:t>
            </w:r>
            <w:r>
              <w:rPr>
                <w:rFonts w:hint="default" w:ascii="Times New Roman" w:hAnsi="Times New Roman" w:eastAsia="新宋体" w:cs="Times New Roman"/>
                <w:color w:val="000000" w:themeColor="text1"/>
                <w:sz w:val="24"/>
                <w:szCs w:val="24"/>
                <w:lang w:eastAsia="zh-CN"/>
                <w14:textFill>
                  <w14:solidFill>
                    <w14:schemeClr w14:val="tx1"/>
                  </w14:solidFill>
                </w14:textFill>
              </w:rPr>
              <w:t>，</w:t>
            </w:r>
            <w:r>
              <w:rPr>
                <w:rFonts w:hint="default" w:ascii="Times New Roman" w:hAnsi="Times New Roman" w:eastAsia="新宋体" w:cs="Times New Roman"/>
                <w:color w:val="000000" w:themeColor="text1"/>
                <w:sz w:val="24"/>
                <w:szCs w:val="24"/>
                <w14:textFill>
                  <w14:solidFill>
                    <w14:schemeClr w14:val="tx1"/>
                  </w14:solidFill>
                </w14:textFill>
              </w:rPr>
              <w:t>施工工地需设有专职人员</w:t>
            </w:r>
            <w:r>
              <w:rPr>
                <w:rFonts w:hint="default" w:ascii="Times New Roman" w:hAnsi="Times New Roman" w:eastAsia="新宋体" w:cs="Times New Roman"/>
                <w:color w:val="000000" w:themeColor="text1"/>
                <w:sz w:val="24"/>
                <w:szCs w:val="24"/>
                <w:lang w:eastAsia="zh-CN"/>
                <w14:textFill>
                  <w14:solidFill>
                    <w14:schemeClr w14:val="tx1"/>
                  </w14:solidFill>
                </w14:textFill>
              </w:rPr>
              <w:t>，</w:t>
            </w:r>
            <w:r>
              <w:rPr>
                <w:rFonts w:hint="default" w:ascii="Times New Roman" w:hAnsi="Times New Roman" w:eastAsia="新宋体" w:cs="Times New Roman"/>
                <w:color w:val="000000" w:themeColor="text1"/>
                <w:sz w:val="24"/>
                <w:szCs w:val="24"/>
                <w14:textFill>
                  <w14:solidFill>
                    <w14:schemeClr w14:val="tx1"/>
                  </w14:solidFill>
                </w14:textFill>
              </w:rPr>
              <w:t>实行管理责任制</w:t>
            </w:r>
            <w:r>
              <w:rPr>
                <w:rFonts w:hint="default" w:ascii="Times New Roman" w:hAnsi="Times New Roman" w:eastAsia="新宋体" w:cs="Times New Roman"/>
                <w:color w:val="000000" w:themeColor="text1"/>
                <w:sz w:val="24"/>
                <w:szCs w:val="24"/>
                <w:lang w:eastAsia="zh-CN"/>
                <w14:textFill>
                  <w14:solidFill>
                    <w14:schemeClr w14:val="tx1"/>
                  </w14:solidFill>
                </w14:textFill>
              </w:rPr>
              <w:t>，</w:t>
            </w:r>
            <w:r>
              <w:rPr>
                <w:rFonts w:hint="default" w:ascii="Times New Roman" w:hAnsi="Times New Roman" w:eastAsia="新宋体" w:cs="Times New Roman"/>
                <w:color w:val="000000" w:themeColor="text1"/>
                <w:sz w:val="24"/>
                <w:szCs w:val="24"/>
                <w14:textFill>
                  <w14:solidFill>
                    <w14:schemeClr w14:val="tx1"/>
                  </w14:solidFill>
                </w14:textFill>
              </w:rPr>
              <w:t>倡导文明施工。</w:t>
            </w:r>
          </w:p>
          <w:p w14:paraId="10E43BFE">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新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新宋体" w:cs="Times New Roman"/>
                <w:b/>
                <w:bCs/>
                <w:color w:val="000000" w:themeColor="text1"/>
                <w:sz w:val="24"/>
                <w:szCs w:val="24"/>
                <w:lang w:val="en-US" w:eastAsia="zh-CN"/>
                <w14:textFill>
                  <w14:solidFill>
                    <w14:schemeClr w14:val="tx1"/>
                  </w14:solidFill>
                </w14:textFill>
              </w:rPr>
              <w:t>1.2施工设备废气</w:t>
            </w:r>
          </w:p>
          <w:p w14:paraId="48AC67AA">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default" w:ascii="Times New Roman" w:hAnsi="Times New Roman" w:eastAsia="新宋体" w:cs="Times New Roman"/>
                <w:lang w:val="en-US" w:eastAsia="zh-CN"/>
              </w:rPr>
              <w:t>施工机械一般采用柴油作为动力，施工运输车辆如自卸车和载重汽车等通常是大型柴油车，作业时会产生一些废气，其中主要污染物为NOx、SO</w:t>
            </w:r>
            <w:r>
              <w:rPr>
                <w:rFonts w:hint="default" w:ascii="Times New Roman" w:hAnsi="Times New Roman" w:eastAsia="新宋体" w:cs="Times New Roman"/>
                <w:vertAlign w:val="subscript"/>
                <w:lang w:val="en-US" w:eastAsia="zh-CN"/>
              </w:rPr>
              <w:t>2</w:t>
            </w:r>
            <w:r>
              <w:rPr>
                <w:rFonts w:hint="default" w:ascii="Times New Roman" w:hAnsi="Times New Roman" w:eastAsia="新宋体" w:cs="Times New Roman"/>
                <w:lang w:val="en-US" w:eastAsia="zh-CN"/>
              </w:rPr>
              <w:t>和CO，这些气体的排放将影响区域大气环境质量及周围植物的生长，施工期间禁止运输车辆超载，不使用劣质燃料，施工机械及运输车辆均采用清洁燃料。</w:t>
            </w:r>
          </w:p>
          <w:p w14:paraId="566CD62D">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eastAsia="新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新宋体" w:cs="Times New Roman"/>
                <w:b/>
                <w:bCs/>
                <w:color w:val="000000" w:themeColor="text1"/>
                <w:sz w:val="24"/>
                <w:szCs w:val="24"/>
                <w:highlight w:val="none"/>
                <w:lang w:val="en-US" w:eastAsia="zh-CN"/>
                <w14:textFill>
                  <w14:solidFill>
                    <w14:schemeClr w14:val="tx1"/>
                  </w14:solidFill>
                </w14:textFill>
              </w:rPr>
              <w:t>1.3装修废气</w:t>
            </w:r>
          </w:p>
          <w:p w14:paraId="5A148F8D">
            <w:pPr>
              <w:bidi w:val="0"/>
              <w:rPr>
                <w:rFonts w:hint="default" w:ascii="Times New Roman" w:hAnsi="Times New Roman" w:eastAsia="新宋体" w:cs="Times New Roman"/>
              </w:rPr>
            </w:pPr>
            <w:r>
              <w:rPr>
                <w:rFonts w:hint="default" w:ascii="Times New Roman" w:hAnsi="Times New Roman" w:eastAsia="新宋体" w:cs="Times New Roman"/>
                <w:lang w:val="en-US" w:eastAsia="zh-CN"/>
              </w:rPr>
              <w:t>装饰工程过程中使用油漆及涂料产生废气，主要为有机溶剂废气，采用无毒或低毒等不含VOC的绿色环保涂料及油漆，装修产生的废气对周围环境影响较小。建议在装修完成后一至三个月后投入运营。</w:t>
            </w:r>
          </w:p>
          <w:p w14:paraId="3DE5603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新宋体" w:cs="Times New Roman"/>
                <w:b/>
                <w:bCs/>
                <w:color w:val="000000" w:themeColor="text1"/>
                <w:sz w:val="24"/>
                <w:szCs w:val="24"/>
                <w:highlight w:val="none"/>
                <w14:textFill>
                  <w14:solidFill>
                    <w14:schemeClr w14:val="tx1"/>
                  </w14:solidFill>
                </w14:textFill>
              </w:rPr>
            </w:pPr>
            <w:r>
              <w:rPr>
                <w:rFonts w:hint="default" w:ascii="Times New Roman" w:hAnsi="Times New Roman" w:eastAsia="新宋体" w:cs="Times New Roman"/>
              </w:rPr>
              <w:t>施工大气污染对环境的不利影响是暂时的、短期的行为。随着工程竣工，施工扬尘</w:t>
            </w:r>
            <w:r>
              <w:rPr>
                <w:rFonts w:hint="default" w:ascii="Times New Roman" w:hAnsi="Times New Roman" w:eastAsia="新宋体" w:cs="Times New Roman"/>
                <w:lang w:val="en-US" w:eastAsia="zh-CN"/>
              </w:rPr>
              <w:t>和车辆废气</w:t>
            </w:r>
            <w:r>
              <w:rPr>
                <w:rFonts w:hint="default" w:ascii="Times New Roman" w:hAnsi="Times New Roman" w:eastAsia="新宋体" w:cs="Times New Roman"/>
              </w:rPr>
              <w:t>的影响将不再存在，受影响的环境要素将恢复至现状水平。</w:t>
            </w:r>
          </w:p>
          <w:p w14:paraId="178B4999">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eastAsia="新宋体" w:cs="Times New Roman"/>
                <w:b/>
                <w:bCs/>
                <w:color w:val="000000" w:themeColor="text1"/>
                <w:sz w:val="24"/>
                <w:szCs w:val="24"/>
                <w:highlight w:val="none"/>
                <w14:textFill>
                  <w14:solidFill>
                    <w14:schemeClr w14:val="tx1"/>
                  </w14:solidFill>
                </w14:textFill>
              </w:rPr>
            </w:pPr>
            <w:r>
              <w:rPr>
                <w:rFonts w:hint="default" w:ascii="Times New Roman" w:hAnsi="Times New Roman" w:eastAsia="新宋体" w:cs="Times New Roman"/>
                <w:b/>
                <w:bCs/>
                <w:color w:val="000000" w:themeColor="text1"/>
                <w:sz w:val="24"/>
                <w:szCs w:val="24"/>
                <w:highlight w:val="none"/>
                <w14:textFill>
                  <w14:solidFill>
                    <w14:schemeClr w14:val="tx1"/>
                  </w14:solidFill>
                </w14:textFill>
              </w:rPr>
              <w:t>2、水环境影响分析</w:t>
            </w:r>
          </w:p>
          <w:p w14:paraId="223253F8">
            <w:pPr>
              <w:keepNext w:val="0"/>
              <w:keepLines w:val="0"/>
              <w:widowControl/>
              <w:suppressLineNumbers w:val="0"/>
              <w:jc w:val="left"/>
              <w:rPr>
                <w:rFonts w:hint="default" w:ascii="Times New Roman" w:hAnsi="Times New Roman" w:eastAsia="新宋体" w:cs="Times New Roman"/>
              </w:rPr>
            </w:pPr>
            <w:r>
              <w:rPr>
                <w:rFonts w:hint="default" w:ascii="Times New Roman" w:hAnsi="Times New Roman" w:eastAsia="新宋体" w:cs="Times New Roman"/>
                <w:color w:val="000000"/>
                <w:kern w:val="0"/>
                <w:sz w:val="24"/>
                <w:szCs w:val="24"/>
                <w:lang w:val="en-US" w:eastAsia="zh-CN" w:bidi="ar"/>
              </w:rPr>
              <w:t>施工期废水来源于施工场地的工程废水，施工场地不设施工营地无施工人员生活污水产生。</w:t>
            </w:r>
          </w:p>
          <w:p w14:paraId="2E740E2B">
            <w:pPr>
              <w:keepNext w:val="0"/>
              <w:keepLines w:val="0"/>
              <w:widowControl/>
              <w:suppressLineNumbers w:val="0"/>
              <w:jc w:val="left"/>
              <w:rPr>
                <w:rFonts w:hint="default" w:ascii="Times New Roman" w:hAnsi="Times New Roman" w:eastAsia="新宋体" w:cs="Times New Roman"/>
              </w:rPr>
            </w:pPr>
            <w:r>
              <w:rPr>
                <w:rFonts w:hint="default" w:ascii="Times New Roman" w:hAnsi="Times New Roman" w:eastAsia="新宋体" w:cs="Times New Roman"/>
                <w:color w:val="000000"/>
                <w:kern w:val="0"/>
                <w:sz w:val="24"/>
                <w:szCs w:val="24"/>
                <w:lang w:val="en-US" w:eastAsia="zh-CN" w:bidi="ar"/>
              </w:rPr>
              <w:t>施工期工程废水主要来自混凝土的保养浇水、砌砖的加湿淋水，废水量不大，多为无机废水，除悬浮物含量较高外，一般不含有毒有害物质，施工工程量小一般产生不了径流。这部分废水在施工现场因自然蒸发、渗漏等原因而消耗，基本没有废污水排放。基本不会对水环境产生大的不利影响。</w:t>
            </w:r>
          </w:p>
          <w:p w14:paraId="49D14BB6">
            <w:pPr>
              <w:keepNext w:val="0"/>
              <w:keepLines w:val="0"/>
              <w:widowControl/>
              <w:suppressLineNumbers w:val="0"/>
              <w:jc w:val="left"/>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新宋体" w:cs="Times New Roman"/>
                <w:color w:val="000000"/>
                <w:kern w:val="0"/>
                <w:sz w:val="24"/>
                <w:szCs w:val="24"/>
                <w:lang w:val="en-US" w:eastAsia="zh-CN" w:bidi="ar"/>
              </w:rPr>
              <w:t>施工过程在出口处拟修建临时沉淀池，含SS、微量机油的泥沙废水以及进出施工场地的车辆清洗废水排入沉淀池进行沉淀澄清处理后洒水降尘，沉淀泥沙用于回填场内道路</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w:t>
            </w:r>
          </w:p>
          <w:p w14:paraId="0FA76FE0">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eastAsia="新宋体" w:cs="Times New Roman"/>
                <w:b/>
                <w:bCs/>
                <w:color w:val="000000" w:themeColor="text1"/>
                <w:sz w:val="24"/>
                <w:szCs w:val="24"/>
                <w:highlight w:val="none"/>
                <w14:textFill>
                  <w14:solidFill>
                    <w14:schemeClr w14:val="tx1"/>
                  </w14:solidFill>
                </w14:textFill>
              </w:rPr>
            </w:pPr>
            <w:r>
              <w:rPr>
                <w:rFonts w:hint="default" w:ascii="Times New Roman" w:hAnsi="Times New Roman" w:eastAsia="新宋体" w:cs="Times New Roman"/>
                <w:b/>
                <w:bCs/>
                <w:color w:val="000000" w:themeColor="text1"/>
                <w:sz w:val="24"/>
                <w:szCs w:val="24"/>
                <w:highlight w:val="none"/>
                <w14:textFill>
                  <w14:solidFill>
                    <w14:schemeClr w14:val="tx1"/>
                  </w14:solidFill>
                </w14:textFill>
              </w:rPr>
              <w:t>3、施工噪声影响分析</w:t>
            </w:r>
          </w:p>
          <w:p w14:paraId="37A25E6F">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eastAsia="新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新宋体" w:cs="Times New Roman"/>
                <w:b/>
                <w:bCs/>
                <w:color w:val="000000" w:themeColor="text1"/>
                <w:sz w:val="24"/>
                <w:szCs w:val="24"/>
                <w:highlight w:val="none"/>
                <w:lang w:val="en-US" w:eastAsia="zh-CN"/>
                <w14:textFill>
                  <w14:solidFill>
                    <w14:schemeClr w14:val="tx1"/>
                  </w14:solidFill>
                </w14:textFill>
              </w:rPr>
              <w:t>3.1施工噪声源强</w:t>
            </w:r>
          </w:p>
          <w:p w14:paraId="701900E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工程施工期间，本项目基本不涉及土石方施工，</w:t>
            </w:r>
            <w:r>
              <w:rPr>
                <w:rFonts w:hint="default" w:ascii="Times New Roman" w:hAnsi="Times New Roman" w:eastAsia="新宋体" w:cs="Times New Roman"/>
                <w:color w:val="000000" w:themeColor="text1"/>
                <w:sz w:val="24"/>
                <w:szCs w:val="24"/>
                <w:highlight w:val="none"/>
                <w:lang w:val="en-US"/>
                <w14:textFill>
                  <w14:solidFill>
                    <w14:schemeClr w14:val="tx1"/>
                  </w14:solidFill>
                </w14:textFill>
              </w:rPr>
              <w:t>施工期噪声污染主要为</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主体结构施工</w:t>
            </w:r>
            <w:r>
              <w:rPr>
                <w:rFonts w:hint="default" w:ascii="Times New Roman" w:hAnsi="Times New Roman" w:eastAsia="新宋体" w:cs="Times New Roman"/>
                <w:color w:val="000000" w:themeColor="text1"/>
                <w:sz w:val="24"/>
                <w:szCs w:val="24"/>
                <w:highlight w:val="none"/>
                <w:lang w:val="en-US"/>
                <w14:textFill>
                  <w14:solidFill>
                    <w14:schemeClr w14:val="tx1"/>
                  </w14:solidFill>
                </w14:textFill>
              </w:rPr>
              <w:t>设备运行产生的噪声，主要产噪机械设备有</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装载机、中型运输车、商混输送泵/振捣器、电锤、振动夯机、打桩机</w:t>
            </w:r>
            <w:r>
              <w:rPr>
                <w:rFonts w:hint="default" w:ascii="Times New Roman" w:hAnsi="Times New Roman" w:eastAsia="新宋体" w:cs="Times New Roman"/>
                <w:color w:val="000000" w:themeColor="text1"/>
                <w:sz w:val="24"/>
                <w:szCs w:val="24"/>
                <w:highlight w:val="none"/>
                <w:lang w:val="en-US"/>
                <w14:textFill>
                  <w14:solidFill>
                    <w14:schemeClr w14:val="tx1"/>
                  </w14:solidFill>
                </w14:textFill>
              </w:rPr>
              <w:t>等，大多属于高噪声设备。</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装修和施工人员噪声影响甚微。</w:t>
            </w:r>
          </w:p>
          <w:p w14:paraId="0B032ED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新宋体" w:cs="Times New Roman"/>
                <w:color w:val="000000" w:themeColor="text1"/>
                <w:sz w:val="24"/>
                <w:szCs w:val="24"/>
                <w:highlight w:val="none"/>
                <w14:textFill>
                  <w14:solidFill>
                    <w14:schemeClr w14:val="tx1"/>
                  </w14:solidFill>
                </w14:textFill>
              </w:rPr>
            </w:pP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类别同类型加气站施工内容，</w:t>
            </w:r>
            <w:r>
              <w:rPr>
                <w:rFonts w:hint="default" w:ascii="Times New Roman" w:hAnsi="Times New Roman" w:eastAsia="新宋体" w:cs="Times New Roman"/>
                <w:color w:val="000000" w:themeColor="text1"/>
                <w:sz w:val="24"/>
                <w:szCs w:val="24"/>
                <w:highlight w:val="none"/>
                <w14:textFill>
                  <w14:solidFill>
                    <w14:schemeClr w14:val="tx1"/>
                  </w14:solidFill>
                </w14:textFill>
              </w:rPr>
              <w:t>施工作业噪声源按点声源几何发散模式进行预测：</w:t>
            </w:r>
          </w:p>
          <w:p w14:paraId="46B3BAC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新宋体" w:cs="Times New Roman"/>
                <w:color w:val="000000" w:themeColor="text1"/>
                <w:sz w:val="24"/>
                <w:szCs w:val="24"/>
                <w:highlight w:val="none"/>
                <w14:textFill>
                  <w14:solidFill>
                    <w14:schemeClr w14:val="tx1"/>
                  </w14:solidFill>
                </w14:textFill>
              </w:rPr>
              <w:t>L</w:t>
            </w:r>
            <w:r>
              <w:rPr>
                <w:rFonts w:hint="default" w:ascii="Times New Roman" w:hAnsi="Times New Roman" w:eastAsia="新宋体" w:cs="Times New Roman"/>
                <w:color w:val="000000" w:themeColor="text1"/>
                <w:sz w:val="24"/>
                <w:szCs w:val="24"/>
                <w:highlight w:val="none"/>
                <w:vertAlign w:val="subscript"/>
                <w14:textFill>
                  <w14:solidFill>
                    <w14:schemeClr w14:val="tx1"/>
                  </w14:solidFill>
                </w14:textFill>
              </w:rPr>
              <w:t>p</w:t>
            </w: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szCs w:val="24"/>
                <w:highlight w:val="none"/>
                <w14:textFill>
                  <w14:solidFill>
                    <w14:schemeClr w14:val="tx1"/>
                  </w14:solidFill>
                </w14:textFill>
              </w:rPr>
              <w:t>r</w:t>
            </w: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szCs w:val="24"/>
                <w:highlight w:val="none"/>
                <w14:textFill>
                  <w14:solidFill>
                    <w14:schemeClr w14:val="tx1"/>
                  </w14:solidFill>
                </w14:textFill>
              </w:rPr>
              <w:t>=L</w:t>
            </w:r>
            <w:r>
              <w:rPr>
                <w:rFonts w:hint="default" w:ascii="Times New Roman" w:hAnsi="Times New Roman" w:eastAsia="新宋体" w:cs="Times New Roman"/>
                <w:color w:val="000000" w:themeColor="text1"/>
                <w:sz w:val="24"/>
                <w:szCs w:val="24"/>
                <w:highlight w:val="none"/>
                <w:vertAlign w:val="subscript"/>
                <w14:textFill>
                  <w14:solidFill>
                    <w14:schemeClr w14:val="tx1"/>
                  </w14:solidFill>
                </w14:textFill>
              </w:rPr>
              <w:t>p</w:t>
            </w: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szCs w:val="24"/>
                <w:highlight w:val="none"/>
                <w14:textFill>
                  <w14:solidFill>
                    <w14:schemeClr w14:val="tx1"/>
                  </w14:solidFill>
                </w14:textFill>
              </w:rPr>
              <w:t>r</w:t>
            </w:r>
            <w:r>
              <w:rPr>
                <w:rFonts w:hint="default" w:ascii="Times New Roman" w:hAnsi="Times New Roman" w:eastAsia="新宋体" w:cs="Times New Roman"/>
                <w:color w:val="000000" w:themeColor="text1"/>
                <w:sz w:val="24"/>
                <w:szCs w:val="24"/>
                <w:highlight w:val="none"/>
                <w:vertAlign w:val="subscript"/>
                <w14:textFill>
                  <w14:solidFill>
                    <w14:schemeClr w14:val="tx1"/>
                  </w14:solidFill>
                </w14:textFill>
              </w:rPr>
              <w:t>0</w:t>
            </w: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szCs w:val="24"/>
                <w:highlight w:val="none"/>
                <w14:textFill>
                  <w14:solidFill>
                    <w14:schemeClr w14:val="tx1"/>
                  </w14:solidFill>
                </w14:textFill>
              </w:rPr>
              <w:t>-20lg</w:t>
            </w: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szCs w:val="24"/>
                <w:highlight w:val="none"/>
                <w14:textFill>
                  <w14:solidFill>
                    <w14:schemeClr w14:val="tx1"/>
                  </w14:solidFill>
                </w14:textFill>
              </w:rPr>
              <w:t>r/r</w:t>
            </w:r>
            <w:r>
              <w:rPr>
                <w:rFonts w:hint="default" w:ascii="Times New Roman" w:hAnsi="Times New Roman" w:eastAsia="新宋体" w:cs="Times New Roman"/>
                <w:color w:val="000000" w:themeColor="text1"/>
                <w:sz w:val="24"/>
                <w:szCs w:val="24"/>
                <w:highlight w:val="none"/>
                <w:vertAlign w:val="subscript"/>
                <w14:textFill>
                  <w14:solidFill>
                    <w14:schemeClr w14:val="tx1"/>
                  </w14:solidFill>
                </w14:textFill>
              </w:rPr>
              <w:t>0</w:t>
            </w: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w:t>
            </w:r>
          </w:p>
          <w:p w14:paraId="1B6F4F4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新宋体" w:cs="Times New Roman"/>
                <w:color w:val="000000" w:themeColor="text1"/>
                <w:sz w:val="24"/>
                <w:szCs w:val="24"/>
                <w:highlight w:val="none"/>
                <w14:textFill>
                  <w14:solidFill>
                    <w14:schemeClr w14:val="tx1"/>
                  </w14:solidFill>
                </w14:textFill>
              </w:rPr>
              <w:t>L</w:t>
            </w:r>
            <w:r>
              <w:rPr>
                <w:rFonts w:hint="default" w:ascii="Times New Roman" w:hAnsi="Times New Roman" w:eastAsia="新宋体" w:cs="Times New Roman"/>
                <w:color w:val="000000" w:themeColor="text1"/>
                <w:sz w:val="24"/>
                <w:szCs w:val="24"/>
                <w:highlight w:val="none"/>
                <w:vertAlign w:val="subscript"/>
                <w14:textFill>
                  <w14:solidFill>
                    <w14:schemeClr w14:val="tx1"/>
                  </w14:solidFill>
                </w14:textFill>
              </w:rPr>
              <w:t>p</w:t>
            </w: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szCs w:val="24"/>
                <w:highlight w:val="none"/>
                <w14:textFill>
                  <w14:solidFill>
                    <w14:schemeClr w14:val="tx1"/>
                  </w14:solidFill>
                </w14:textFill>
              </w:rPr>
              <w:t>r</w:t>
            </w: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szCs w:val="24"/>
                <w:highlight w:val="none"/>
                <w14:textFill>
                  <w14:solidFill>
                    <w14:schemeClr w14:val="tx1"/>
                  </w14:solidFill>
                </w14:textFill>
              </w:rPr>
              <w:t>、L</w:t>
            </w:r>
            <w:r>
              <w:rPr>
                <w:rFonts w:hint="default" w:ascii="Times New Roman" w:hAnsi="Times New Roman" w:eastAsia="新宋体" w:cs="Times New Roman"/>
                <w:color w:val="000000" w:themeColor="text1"/>
                <w:sz w:val="24"/>
                <w:szCs w:val="24"/>
                <w:highlight w:val="none"/>
                <w:vertAlign w:val="subscript"/>
                <w14:textFill>
                  <w14:solidFill>
                    <w14:schemeClr w14:val="tx1"/>
                  </w14:solidFill>
                </w14:textFill>
              </w:rPr>
              <w:t>p</w:t>
            </w: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szCs w:val="24"/>
                <w:highlight w:val="none"/>
                <w14:textFill>
                  <w14:solidFill>
                    <w14:schemeClr w14:val="tx1"/>
                  </w14:solidFill>
                </w14:textFill>
              </w:rPr>
              <w:t>r</w:t>
            </w:r>
            <w:r>
              <w:rPr>
                <w:rFonts w:hint="default" w:ascii="Times New Roman" w:hAnsi="Times New Roman" w:eastAsia="新宋体" w:cs="Times New Roman"/>
                <w:color w:val="000000" w:themeColor="text1"/>
                <w:sz w:val="24"/>
                <w:szCs w:val="24"/>
                <w:highlight w:val="none"/>
                <w:vertAlign w:val="subscript"/>
                <w14:textFill>
                  <w14:solidFill>
                    <w14:schemeClr w14:val="tx1"/>
                  </w14:solidFill>
                </w14:textFill>
              </w:rPr>
              <w:t>0</w:t>
            </w: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szCs w:val="24"/>
                <w:highlight w:val="none"/>
                <w14:textFill>
                  <w14:solidFill>
                    <w14:schemeClr w14:val="tx1"/>
                  </w14:solidFill>
                </w14:textFill>
              </w:rPr>
              <w:t>—离声源r和r</w:t>
            </w:r>
            <w:r>
              <w:rPr>
                <w:rFonts w:hint="default" w:ascii="Times New Roman" w:hAnsi="Times New Roman" w:eastAsia="新宋体" w:cs="Times New Roman"/>
                <w:color w:val="000000" w:themeColor="text1"/>
                <w:sz w:val="24"/>
                <w:szCs w:val="24"/>
                <w:highlight w:val="none"/>
                <w:vertAlign w:val="subscript"/>
                <w14:textFill>
                  <w14:solidFill>
                    <w14:schemeClr w14:val="tx1"/>
                  </w14:solidFill>
                </w14:textFill>
              </w:rPr>
              <w:t>0</w:t>
            </w:r>
            <w:r>
              <w:rPr>
                <w:rFonts w:hint="default" w:ascii="Times New Roman" w:hAnsi="Times New Roman" w:eastAsia="新宋体" w:cs="Times New Roman"/>
                <w:color w:val="000000" w:themeColor="text1"/>
                <w:sz w:val="24"/>
                <w:szCs w:val="24"/>
                <w:highlight w:val="none"/>
                <w14:textFill>
                  <w14:solidFill>
                    <w14:schemeClr w14:val="tx1"/>
                  </w14:solidFill>
                </w14:textFill>
              </w:rPr>
              <w:t>（m）距离的噪声值</w:t>
            </w: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w:t>
            </w:r>
          </w:p>
          <w:p w14:paraId="7600A24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新宋体" w:cs="Times New Roman"/>
                <w:color w:val="000000" w:themeColor="text1"/>
                <w:sz w:val="24"/>
                <w:szCs w:val="24"/>
                <w:highlight w:val="none"/>
                <w14:textFill>
                  <w14:solidFill>
                    <w14:schemeClr w14:val="tx1"/>
                  </w14:solidFill>
                </w14:textFill>
              </w:rPr>
            </w:pPr>
            <w:r>
              <w:rPr>
                <w:rFonts w:hint="default" w:ascii="Times New Roman" w:hAnsi="Times New Roman" w:eastAsia="新宋体" w:cs="Times New Roman"/>
                <w:color w:val="000000" w:themeColor="text1"/>
                <w:sz w:val="24"/>
                <w:szCs w:val="24"/>
                <w:highlight w:val="none"/>
                <w14:textFill>
                  <w14:solidFill>
                    <w14:schemeClr w14:val="tx1"/>
                  </w14:solidFill>
                </w14:textFill>
              </w:rPr>
              <w:t>选取项目主要的施工机械在没有消声和屏障等衰减条件下，其噪声影响范围进行预测，预测结果详见表4-</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新宋体" w:cs="Times New Roman"/>
                <w:color w:val="000000" w:themeColor="text1"/>
                <w:sz w:val="24"/>
                <w:szCs w:val="24"/>
                <w:highlight w:val="none"/>
                <w14:textFill>
                  <w14:solidFill>
                    <w14:schemeClr w14:val="tx1"/>
                  </w14:solidFill>
                </w14:textFill>
              </w:rPr>
              <w:t>。</w:t>
            </w:r>
          </w:p>
          <w:p w14:paraId="16F65549">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eastAsia="新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新宋体" w:cs="Times New Roman"/>
                <w:b/>
                <w:bCs/>
                <w:color w:val="000000" w:themeColor="text1"/>
                <w:sz w:val="21"/>
                <w:szCs w:val="21"/>
                <w:highlight w:val="none"/>
                <w:lang w:val="en-US" w:eastAsia="zh-CN"/>
                <w14:textFill>
                  <w14:solidFill>
                    <w14:schemeClr w14:val="tx1"/>
                  </w14:solidFill>
                </w14:textFill>
              </w:rPr>
              <w:t>表4-2基础建筑不同施工机械几何衰减预测</w:t>
            </w:r>
          </w:p>
          <w:tbl>
            <w:tblPr>
              <w:tblStyle w:val="29"/>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1355"/>
              <w:gridCol w:w="764"/>
              <w:gridCol w:w="764"/>
              <w:gridCol w:w="764"/>
              <w:gridCol w:w="764"/>
              <w:gridCol w:w="764"/>
              <w:gridCol w:w="764"/>
              <w:gridCol w:w="769"/>
            </w:tblGrid>
            <w:tr w14:paraId="586E2D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1" w:type="pct"/>
                  <w:vMerge w:val="restart"/>
                  <w:tcBorders>
                    <w:tl2br w:val="nil"/>
                    <w:tr2bl w:val="nil"/>
                  </w:tcBorders>
                  <w:vAlign w:val="center"/>
                </w:tcPr>
                <w:p w14:paraId="458A7ED8">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设备名称</w:t>
                  </w:r>
                </w:p>
              </w:tc>
              <w:tc>
                <w:tcPr>
                  <w:tcW w:w="862" w:type="pct"/>
                  <w:vMerge w:val="restart"/>
                  <w:tcBorders>
                    <w:tl2br w:val="nil"/>
                    <w:tr2bl w:val="nil"/>
                  </w:tcBorders>
                  <w:vAlign w:val="center"/>
                </w:tcPr>
                <w:p w14:paraId="6CAB3B76">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预测噪声源强（dB（A））</w:t>
                  </w:r>
                </w:p>
              </w:tc>
              <w:tc>
                <w:tcPr>
                  <w:tcW w:w="3405" w:type="pct"/>
                  <w:gridSpan w:val="7"/>
                  <w:tcBorders>
                    <w:tl2br w:val="nil"/>
                    <w:tr2bl w:val="nil"/>
                  </w:tcBorders>
                  <w:vAlign w:val="center"/>
                </w:tcPr>
                <w:p w14:paraId="2DDFD555">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距离（m）</w:t>
                  </w:r>
                </w:p>
              </w:tc>
            </w:tr>
            <w:tr w14:paraId="081DBE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pct"/>
                  <w:vMerge w:val="continue"/>
                  <w:tcBorders>
                    <w:tl2br w:val="nil"/>
                    <w:tr2bl w:val="nil"/>
                  </w:tcBorders>
                  <w:vAlign w:val="center"/>
                </w:tcPr>
                <w:p w14:paraId="0D9810CF">
                  <w:pPr>
                    <w:pStyle w:val="40"/>
                    <w:widowControl w:val="0"/>
                    <w:jc w:val="center"/>
                    <w:rPr>
                      <w:rFonts w:hint="default" w:ascii="Times New Roman" w:hAnsi="Times New Roman" w:eastAsia="新宋体" w:cs="Times New Roman"/>
                      <w:color w:val="auto"/>
                      <w:sz w:val="21"/>
                      <w:szCs w:val="21"/>
                      <w:lang w:val="en-US" w:eastAsia="zh-CN"/>
                    </w:rPr>
                  </w:pPr>
                </w:p>
              </w:tc>
              <w:tc>
                <w:tcPr>
                  <w:tcW w:w="862" w:type="pct"/>
                  <w:vMerge w:val="continue"/>
                  <w:tcBorders>
                    <w:tl2br w:val="nil"/>
                    <w:tr2bl w:val="nil"/>
                  </w:tcBorders>
                  <w:vAlign w:val="center"/>
                </w:tcPr>
                <w:p w14:paraId="54737D51">
                  <w:pPr>
                    <w:pStyle w:val="40"/>
                    <w:widowControl w:val="0"/>
                    <w:jc w:val="center"/>
                    <w:rPr>
                      <w:rFonts w:hint="default" w:ascii="Times New Roman" w:hAnsi="Times New Roman" w:eastAsia="新宋体" w:cs="Times New Roman"/>
                      <w:color w:val="auto"/>
                      <w:sz w:val="21"/>
                      <w:szCs w:val="21"/>
                      <w:lang w:val="en-US" w:eastAsia="zh-CN"/>
                    </w:rPr>
                  </w:pPr>
                </w:p>
              </w:tc>
              <w:tc>
                <w:tcPr>
                  <w:tcW w:w="486" w:type="pct"/>
                  <w:tcBorders>
                    <w:tl2br w:val="nil"/>
                    <w:tr2bl w:val="nil"/>
                  </w:tcBorders>
                  <w:vAlign w:val="center"/>
                </w:tcPr>
                <w:p w14:paraId="2254905B">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10</w:t>
                  </w:r>
                </w:p>
              </w:tc>
              <w:tc>
                <w:tcPr>
                  <w:tcW w:w="486" w:type="pct"/>
                  <w:tcBorders>
                    <w:tl2br w:val="nil"/>
                    <w:tr2bl w:val="nil"/>
                  </w:tcBorders>
                  <w:vAlign w:val="center"/>
                </w:tcPr>
                <w:p w14:paraId="7D1E7B5C">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20</w:t>
                  </w:r>
                </w:p>
              </w:tc>
              <w:tc>
                <w:tcPr>
                  <w:tcW w:w="486" w:type="pct"/>
                  <w:tcBorders>
                    <w:tl2br w:val="nil"/>
                    <w:tr2bl w:val="nil"/>
                  </w:tcBorders>
                  <w:vAlign w:val="center"/>
                </w:tcPr>
                <w:p w14:paraId="5FFF72B4">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40</w:t>
                  </w:r>
                </w:p>
              </w:tc>
              <w:tc>
                <w:tcPr>
                  <w:tcW w:w="486" w:type="pct"/>
                  <w:tcBorders>
                    <w:tl2br w:val="nil"/>
                    <w:tr2bl w:val="nil"/>
                  </w:tcBorders>
                  <w:vAlign w:val="center"/>
                </w:tcPr>
                <w:p w14:paraId="1895F415">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50</w:t>
                  </w:r>
                </w:p>
              </w:tc>
              <w:tc>
                <w:tcPr>
                  <w:tcW w:w="486" w:type="pct"/>
                  <w:tcBorders>
                    <w:tl2br w:val="nil"/>
                    <w:tr2bl w:val="nil"/>
                  </w:tcBorders>
                  <w:vAlign w:val="center"/>
                </w:tcPr>
                <w:p w14:paraId="01FFAADC">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60</w:t>
                  </w:r>
                </w:p>
              </w:tc>
              <w:tc>
                <w:tcPr>
                  <w:tcW w:w="486" w:type="pct"/>
                  <w:tcBorders>
                    <w:tl2br w:val="nil"/>
                    <w:tr2bl w:val="nil"/>
                  </w:tcBorders>
                  <w:vAlign w:val="center"/>
                </w:tcPr>
                <w:p w14:paraId="5BF03E97">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100</w:t>
                  </w:r>
                </w:p>
              </w:tc>
              <w:tc>
                <w:tcPr>
                  <w:tcW w:w="489" w:type="pct"/>
                  <w:tcBorders>
                    <w:tl2br w:val="nil"/>
                    <w:tr2bl w:val="nil"/>
                  </w:tcBorders>
                  <w:vAlign w:val="center"/>
                </w:tcPr>
                <w:p w14:paraId="7DFC051C">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200</w:t>
                  </w:r>
                </w:p>
              </w:tc>
            </w:tr>
            <w:tr w14:paraId="5F4AC9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1" w:type="pct"/>
                  <w:tcBorders>
                    <w:tl2br w:val="nil"/>
                    <w:tr2bl w:val="nil"/>
                  </w:tcBorders>
                  <w:vAlign w:val="center"/>
                </w:tcPr>
                <w:p w14:paraId="4C0ED03B">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装载机</w:t>
                  </w:r>
                </w:p>
              </w:tc>
              <w:tc>
                <w:tcPr>
                  <w:tcW w:w="862" w:type="pct"/>
                  <w:tcBorders>
                    <w:tl2br w:val="nil"/>
                    <w:tr2bl w:val="nil"/>
                  </w:tcBorders>
                  <w:vAlign w:val="center"/>
                </w:tcPr>
                <w:p w14:paraId="1EC4B700">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95</w:t>
                  </w:r>
                </w:p>
              </w:tc>
              <w:tc>
                <w:tcPr>
                  <w:tcW w:w="486" w:type="pct"/>
                  <w:tcBorders>
                    <w:tl2br w:val="nil"/>
                    <w:tr2bl w:val="nil"/>
                  </w:tcBorders>
                  <w:vAlign w:val="center"/>
                </w:tcPr>
                <w:p w14:paraId="4B3D3882">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75</w:t>
                  </w:r>
                </w:p>
              </w:tc>
              <w:tc>
                <w:tcPr>
                  <w:tcW w:w="486" w:type="pct"/>
                  <w:tcBorders>
                    <w:tl2br w:val="nil"/>
                    <w:tr2bl w:val="nil"/>
                  </w:tcBorders>
                  <w:vAlign w:val="center"/>
                </w:tcPr>
                <w:p w14:paraId="4AD52CB4">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68.9</w:t>
                  </w:r>
                </w:p>
              </w:tc>
              <w:tc>
                <w:tcPr>
                  <w:tcW w:w="486" w:type="pct"/>
                  <w:tcBorders>
                    <w:tl2br w:val="nil"/>
                    <w:tr2bl w:val="nil"/>
                  </w:tcBorders>
                  <w:vAlign w:val="center"/>
                </w:tcPr>
                <w:p w14:paraId="05645FE5">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63.9</w:t>
                  </w:r>
                </w:p>
              </w:tc>
              <w:tc>
                <w:tcPr>
                  <w:tcW w:w="486" w:type="pct"/>
                  <w:tcBorders>
                    <w:tl2br w:val="nil"/>
                    <w:tr2bl w:val="nil"/>
                  </w:tcBorders>
                  <w:vAlign w:val="center"/>
                </w:tcPr>
                <w:p w14:paraId="0E119E39">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61.0</w:t>
                  </w:r>
                </w:p>
              </w:tc>
              <w:tc>
                <w:tcPr>
                  <w:tcW w:w="486" w:type="pct"/>
                  <w:tcBorders>
                    <w:tl2br w:val="nil"/>
                    <w:tr2bl w:val="nil"/>
                  </w:tcBorders>
                  <w:vAlign w:val="center"/>
                </w:tcPr>
                <w:p w14:paraId="42D127E2">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59.4</w:t>
                  </w:r>
                </w:p>
              </w:tc>
              <w:tc>
                <w:tcPr>
                  <w:tcW w:w="486" w:type="pct"/>
                  <w:tcBorders>
                    <w:tl2br w:val="nil"/>
                    <w:tr2bl w:val="nil"/>
                  </w:tcBorders>
                  <w:vAlign w:val="center"/>
                </w:tcPr>
                <w:p w14:paraId="3E61A777">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55</w:t>
                  </w:r>
                </w:p>
              </w:tc>
              <w:tc>
                <w:tcPr>
                  <w:tcW w:w="489" w:type="pct"/>
                  <w:tcBorders>
                    <w:tl2br w:val="nil"/>
                    <w:tr2bl w:val="nil"/>
                  </w:tcBorders>
                  <w:vAlign w:val="center"/>
                </w:tcPr>
                <w:p w14:paraId="4F18E10B">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49.0</w:t>
                  </w:r>
                </w:p>
              </w:tc>
            </w:tr>
            <w:tr w14:paraId="3F824F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1" w:type="pct"/>
                  <w:tcBorders>
                    <w:tl2br w:val="nil"/>
                    <w:tr2bl w:val="nil"/>
                  </w:tcBorders>
                  <w:vAlign w:val="center"/>
                </w:tcPr>
                <w:p w14:paraId="7FB45A93">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运输车</w:t>
                  </w:r>
                </w:p>
              </w:tc>
              <w:tc>
                <w:tcPr>
                  <w:tcW w:w="862" w:type="pct"/>
                  <w:tcBorders>
                    <w:tl2br w:val="nil"/>
                    <w:tr2bl w:val="nil"/>
                  </w:tcBorders>
                  <w:vAlign w:val="center"/>
                </w:tcPr>
                <w:p w14:paraId="18CA770A">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90</w:t>
                  </w:r>
                </w:p>
              </w:tc>
              <w:tc>
                <w:tcPr>
                  <w:tcW w:w="486" w:type="pct"/>
                  <w:tcBorders>
                    <w:tl2br w:val="nil"/>
                    <w:tr2bl w:val="nil"/>
                  </w:tcBorders>
                  <w:vAlign w:val="center"/>
                </w:tcPr>
                <w:p w14:paraId="55E0DE4E">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70</w:t>
                  </w:r>
                </w:p>
              </w:tc>
              <w:tc>
                <w:tcPr>
                  <w:tcW w:w="486" w:type="pct"/>
                  <w:tcBorders>
                    <w:tl2br w:val="nil"/>
                    <w:tr2bl w:val="nil"/>
                  </w:tcBorders>
                  <w:vAlign w:val="center"/>
                </w:tcPr>
                <w:p w14:paraId="41F80592">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64.0</w:t>
                  </w:r>
                </w:p>
              </w:tc>
              <w:tc>
                <w:tcPr>
                  <w:tcW w:w="486" w:type="pct"/>
                  <w:tcBorders>
                    <w:tl2br w:val="nil"/>
                    <w:tr2bl w:val="nil"/>
                  </w:tcBorders>
                  <w:vAlign w:val="center"/>
                </w:tcPr>
                <w:p w14:paraId="742910E1">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57.9</w:t>
                  </w:r>
                </w:p>
              </w:tc>
              <w:tc>
                <w:tcPr>
                  <w:tcW w:w="486" w:type="pct"/>
                  <w:tcBorders>
                    <w:tl2br w:val="nil"/>
                    <w:tr2bl w:val="nil"/>
                  </w:tcBorders>
                  <w:vAlign w:val="center"/>
                </w:tcPr>
                <w:p w14:paraId="0CAD7015">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56.0</w:t>
                  </w:r>
                </w:p>
              </w:tc>
              <w:tc>
                <w:tcPr>
                  <w:tcW w:w="486" w:type="pct"/>
                  <w:tcBorders>
                    <w:tl2br w:val="nil"/>
                    <w:tr2bl w:val="nil"/>
                  </w:tcBorders>
                  <w:vAlign w:val="center"/>
                </w:tcPr>
                <w:p w14:paraId="69BD7478">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54.4</w:t>
                  </w:r>
                </w:p>
              </w:tc>
              <w:tc>
                <w:tcPr>
                  <w:tcW w:w="486" w:type="pct"/>
                  <w:tcBorders>
                    <w:tl2br w:val="nil"/>
                    <w:tr2bl w:val="nil"/>
                  </w:tcBorders>
                  <w:vAlign w:val="center"/>
                </w:tcPr>
                <w:p w14:paraId="06A08F2D">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50</w:t>
                  </w:r>
                </w:p>
              </w:tc>
              <w:tc>
                <w:tcPr>
                  <w:tcW w:w="489" w:type="pct"/>
                  <w:tcBorders>
                    <w:tl2br w:val="nil"/>
                    <w:tr2bl w:val="nil"/>
                  </w:tcBorders>
                  <w:vAlign w:val="center"/>
                </w:tcPr>
                <w:p w14:paraId="505FAF1D">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44.0</w:t>
                  </w:r>
                </w:p>
              </w:tc>
            </w:tr>
            <w:tr w14:paraId="1F6FAC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1" w:type="pct"/>
                  <w:tcBorders>
                    <w:tl2br w:val="nil"/>
                    <w:tr2bl w:val="nil"/>
                  </w:tcBorders>
                  <w:vAlign w:val="center"/>
                </w:tcPr>
                <w:p w14:paraId="6AB18319">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电锤</w:t>
                  </w:r>
                </w:p>
              </w:tc>
              <w:tc>
                <w:tcPr>
                  <w:tcW w:w="862" w:type="pct"/>
                  <w:tcBorders>
                    <w:tl2br w:val="nil"/>
                    <w:tr2bl w:val="nil"/>
                  </w:tcBorders>
                  <w:vAlign w:val="center"/>
                </w:tcPr>
                <w:p w14:paraId="5DE6F22F">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100</w:t>
                  </w:r>
                </w:p>
              </w:tc>
              <w:tc>
                <w:tcPr>
                  <w:tcW w:w="486" w:type="pct"/>
                  <w:tcBorders>
                    <w:tl2br w:val="nil"/>
                    <w:tr2bl w:val="nil"/>
                  </w:tcBorders>
                  <w:vAlign w:val="center"/>
                </w:tcPr>
                <w:p w14:paraId="1214B15D">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80</w:t>
                  </w:r>
                </w:p>
              </w:tc>
              <w:tc>
                <w:tcPr>
                  <w:tcW w:w="486" w:type="pct"/>
                  <w:tcBorders>
                    <w:tl2br w:val="nil"/>
                    <w:tr2bl w:val="nil"/>
                  </w:tcBorders>
                  <w:vAlign w:val="center"/>
                </w:tcPr>
                <w:p w14:paraId="05999245">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73.9</w:t>
                  </w:r>
                </w:p>
              </w:tc>
              <w:tc>
                <w:tcPr>
                  <w:tcW w:w="486" w:type="pct"/>
                  <w:tcBorders>
                    <w:tl2br w:val="nil"/>
                    <w:tr2bl w:val="nil"/>
                  </w:tcBorders>
                  <w:vAlign w:val="center"/>
                </w:tcPr>
                <w:p w14:paraId="5AB41CC9">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67.9</w:t>
                  </w:r>
                </w:p>
              </w:tc>
              <w:tc>
                <w:tcPr>
                  <w:tcW w:w="486" w:type="pct"/>
                  <w:tcBorders>
                    <w:tl2br w:val="nil"/>
                    <w:tr2bl w:val="nil"/>
                  </w:tcBorders>
                  <w:vAlign w:val="center"/>
                </w:tcPr>
                <w:p w14:paraId="0C17DF0E">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66.0</w:t>
                  </w:r>
                </w:p>
              </w:tc>
              <w:tc>
                <w:tcPr>
                  <w:tcW w:w="486" w:type="pct"/>
                  <w:tcBorders>
                    <w:tl2br w:val="nil"/>
                    <w:tr2bl w:val="nil"/>
                  </w:tcBorders>
                  <w:vAlign w:val="center"/>
                </w:tcPr>
                <w:p w14:paraId="3D528D17">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64.4</w:t>
                  </w:r>
                </w:p>
              </w:tc>
              <w:tc>
                <w:tcPr>
                  <w:tcW w:w="486" w:type="pct"/>
                  <w:tcBorders>
                    <w:tl2br w:val="nil"/>
                    <w:tr2bl w:val="nil"/>
                  </w:tcBorders>
                  <w:vAlign w:val="center"/>
                </w:tcPr>
                <w:p w14:paraId="356DA23E">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60</w:t>
                  </w:r>
                </w:p>
              </w:tc>
              <w:tc>
                <w:tcPr>
                  <w:tcW w:w="489" w:type="pct"/>
                  <w:tcBorders>
                    <w:tl2br w:val="nil"/>
                    <w:tr2bl w:val="nil"/>
                  </w:tcBorders>
                  <w:vAlign w:val="center"/>
                </w:tcPr>
                <w:p w14:paraId="55E76754">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53.9</w:t>
                  </w:r>
                </w:p>
              </w:tc>
            </w:tr>
            <w:tr w14:paraId="767DFC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1" w:type="pct"/>
                  <w:tcBorders>
                    <w:tl2br w:val="nil"/>
                    <w:tr2bl w:val="nil"/>
                  </w:tcBorders>
                  <w:vAlign w:val="center"/>
                </w:tcPr>
                <w:p w14:paraId="5BB2981D">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振动夯机</w:t>
                  </w:r>
                </w:p>
              </w:tc>
              <w:tc>
                <w:tcPr>
                  <w:tcW w:w="862" w:type="pct"/>
                  <w:tcBorders>
                    <w:tl2br w:val="nil"/>
                    <w:tr2bl w:val="nil"/>
                  </w:tcBorders>
                  <w:vAlign w:val="center"/>
                </w:tcPr>
                <w:p w14:paraId="1C872F6D">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100</w:t>
                  </w:r>
                </w:p>
              </w:tc>
              <w:tc>
                <w:tcPr>
                  <w:tcW w:w="486" w:type="pct"/>
                  <w:tcBorders>
                    <w:tl2br w:val="nil"/>
                    <w:tr2bl w:val="nil"/>
                  </w:tcBorders>
                  <w:vAlign w:val="center"/>
                </w:tcPr>
                <w:p w14:paraId="75E0FFD3">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80</w:t>
                  </w:r>
                </w:p>
              </w:tc>
              <w:tc>
                <w:tcPr>
                  <w:tcW w:w="486" w:type="pct"/>
                  <w:tcBorders>
                    <w:tl2br w:val="nil"/>
                    <w:tr2bl w:val="nil"/>
                  </w:tcBorders>
                  <w:vAlign w:val="center"/>
                </w:tcPr>
                <w:p w14:paraId="5D8B40CC">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73.9</w:t>
                  </w:r>
                </w:p>
              </w:tc>
              <w:tc>
                <w:tcPr>
                  <w:tcW w:w="486" w:type="pct"/>
                  <w:tcBorders>
                    <w:tl2br w:val="nil"/>
                    <w:tr2bl w:val="nil"/>
                  </w:tcBorders>
                  <w:vAlign w:val="center"/>
                </w:tcPr>
                <w:p w14:paraId="0305138C">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67.9</w:t>
                  </w:r>
                </w:p>
              </w:tc>
              <w:tc>
                <w:tcPr>
                  <w:tcW w:w="486" w:type="pct"/>
                  <w:tcBorders>
                    <w:tl2br w:val="nil"/>
                    <w:tr2bl w:val="nil"/>
                  </w:tcBorders>
                  <w:vAlign w:val="center"/>
                </w:tcPr>
                <w:p w14:paraId="105504E6">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66.0</w:t>
                  </w:r>
                </w:p>
              </w:tc>
              <w:tc>
                <w:tcPr>
                  <w:tcW w:w="486" w:type="pct"/>
                  <w:tcBorders>
                    <w:tl2br w:val="nil"/>
                    <w:tr2bl w:val="nil"/>
                  </w:tcBorders>
                  <w:vAlign w:val="center"/>
                </w:tcPr>
                <w:p w14:paraId="06FB4DE3">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64.4</w:t>
                  </w:r>
                </w:p>
              </w:tc>
              <w:tc>
                <w:tcPr>
                  <w:tcW w:w="486" w:type="pct"/>
                  <w:tcBorders>
                    <w:tl2br w:val="nil"/>
                    <w:tr2bl w:val="nil"/>
                  </w:tcBorders>
                  <w:vAlign w:val="center"/>
                </w:tcPr>
                <w:p w14:paraId="71DD409D">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60</w:t>
                  </w:r>
                </w:p>
              </w:tc>
              <w:tc>
                <w:tcPr>
                  <w:tcW w:w="489" w:type="pct"/>
                  <w:tcBorders>
                    <w:tl2br w:val="nil"/>
                    <w:tr2bl w:val="nil"/>
                  </w:tcBorders>
                  <w:vAlign w:val="center"/>
                </w:tcPr>
                <w:p w14:paraId="73AEE168">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53.9</w:t>
                  </w:r>
                </w:p>
              </w:tc>
            </w:tr>
            <w:tr w14:paraId="3E649E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1" w:type="pct"/>
                  <w:tcBorders>
                    <w:tl2br w:val="nil"/>
                    <w:tr2bl w:val="nil"/>
                  </w:tcBorders>
                  <w:vAlign w:val="center"/>
                </w:tcPr>
                <w:p w14:paraId="7E2E27DA">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输送泵</w:t>
                  </w:r>
                </w:p>
              </w:tc>
              <w:tc>
                <w:tcPr>
                  <w:tcW w:w="1425" w:type="dxa"/>
                  <w:tcBorders>
                    <w:tl2br w:val="nil"/>
                    <w:tr2bl w:val="nil"/>
                  </w:tcBorders>
                  <w:vAlign w:val="center"/>
                </w:tcPr>
                <w:p w14:paraId="18E3271E">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95</w:t>
                  </w:r>
                </w:p>
              </w:tc>
              <w:tc>
                <w:tcPr>
                  <w:tcW w:w="803" w:type="dxa"/>
                  <w:tcBorders>
                    <w:tl2br w:val="nil"/>
                    <w:tr2bl w:val="nil"/>
                  </w:tcBorders>
                  <w:vAlign w:val="center"/>
                </w:tcPr>
                <w:p w14:paraId="149D6F87">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75</w:t>
                  </w:r>
                </w:p>
              </w:tc>
              <w:tc>
                <w:tcPr>
                  <w:tcW w:w="803" w:type="dxa"/>
                  <w:tcBorders>
                    <w:tl2br w:val="nil"/>
                    <w:tr2bl w:val="nil"/>
                  </w:tcBorders>
                  <w:vAlign w:val="center"/>
                </w:tcPr>
                <w:p w14:paraId="5CF519CE">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68.9</w:t>
                  </w:r>
                </w:p>
              </w:tc>
              <w:tc>
                <w:tcPr>
                  <w:tcW w:w="803" w:type="dxa"/>
                  <w:tcBorders>
                    <w:tl2br w:val="nil"/>
                    <w:tr2bl w:val="nil"/>
                  </w:tcBorders>
                  <w:vAlign w:val="center"/>
                </w:tcPr>
                <w:p w14:paraId="234F4484">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63.9</w:t>
                  </w:r>
                </w:p>
              </w:tc>
              <w:tc>
                <w:tcPr>
                  <w:tcW w:w="803" w:type="dxa"/>
                  <w:tcBorders>
                    <w:tl2br w:val="nil"/>
                    <w:tr2bl w:val="nil"/>
                  </w:tcBorders>
                  <w:vAlign w:val="center"/>
                </w:tcPr>
                <w:p w14:paraId="54B26275">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61.0</w:t>
                  </w:r>
                </w:p>
              </w:tc>
              <w:tc>
                <w:tcPr>
                  <w:tcW w:w="803" w:type="dxa"/>
                  <w:tcBorders>
                    <w:tl2br w:val="nil"/>
                    <w:tr2bl w:val="nil"/>
                  </w:tcBorders>
                  <w:vAlign w:val="center"/>
                </w:tcPr>
                <w:p w14:paraId="5AFDB7A2">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59.4</w:t>
                  </w:r>
                </w:p>
              </w:tc>
              <w:tc>
                <w:tcPr>
                  <w:tcW w:w="803" w:type="dxa"/>
                  <w:tcBorders>
                    <w:tl2br w:val="nil"/>
                    <w:tr2bl w:val="nil"/>
                  </w:tcBorders>
                  <w:vAlign w:val="center"/>
                </w:tcPr>
                <w:p w14:paraId="5E029517">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55</w:t>
                  </w:r>
                </w:p>
              </w:tc>
              <w:tc>
                <w:tcPr>
                  <w:tcW w:w="808" w:type="dxa"/>
                  <w:tcBorders>
                    <w:tl2br w:val="nil"/>
                    <w:tr2bl w:val="nil"/>
                  </w:tcBorders>
                  <w:vAlign w:val="center"/>
                </w:tcPr>
                <w:p w14:paraId="7F442073">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49.0</w:t>
                  </w:r>
                </w:p>
              </w:tc>
            </w:tr>
            <w:tr w14:paraId="7C9309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1" w:type="pct"/>
                  <w:tcBorders>
                    <w:tl2br w:val="nil"/>
                    <w:tr2bl w:val="nil"/>
                  </w:tcBorders>
                  <w:vAlign w:val="center"/>
                </w:tcPr>
                <w:p w14:paraId="04490D4E">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振捣器</w:t>
                  </w:r>
                </w:p>
              </w:tc>
              <w:tc>
                <w:tcPr>
                  <w:tcW w:w="1425" w:type="dxa"/>
                  <w:tcBorders>
                    <w:tl2br w:val="nil"/>
                    <w:tr2bl w:val="nil"/>
                  </w:tcBorders>
                  <w:vAlign w:val="center"/>
                </w:tcPr>
                <w:p w14:paraId="3294FC3E">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88</w:t>
                  </w:r>
                </w:p>
              </w:tc>
              <w:tc>
                <w:tcPr>
                  <w:tcW w:w="803" w:type="dxa"/>
                  <w:tcBorders>
                    <w:tl2br w:val="nil"/>
                    <w:tr2bl w:val="nil"/>
                  </w:tcBorders>
                  <w:vAlign w:val="center"/>
                </w:tcPr>
                <w:p w14:paraId="510991AE">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68</w:t>
                  </w:r>
                </w:p>
              </w:tc>
              <w:tc>
                <w:tcPr>
                  <w:tcW w:w="803" w:type="dxa"/>
                  <w:tcBorders>
                    <w:tl2br w:val="nil"/>
                    <w:tr2bl w:val="nil"/>
                  </w:tcBorders>
                  <w:vAlign w:val="center"/>
                </w:tcPr>
                <w:p w14:paraId="6D58AFFC">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61.9</w:t>
                  </w:r>
                </w:p>
              </w:tc>
              <w:tc>
                <w:tcPr>
                  <w:tcW w:w="803" w:type="dxa"/>
                  <w:tcBorders>
                    <w:tl2br w:val="nil"/>
                    <w:tr2bl w:val="nil"/>
                  </w:tcBorders>
                  <w:vAlign w:val="center"/>
                </w:tcPr>
                <w:p w14:paraId="1AC76B10">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55.9</w:t>
                  </w:r>
                </w:p>
              </w:tc>
              <w:tc>
                <w:tcPr>
                  <w:tcW w:w="803" w:type="dxa"/>
                  <w:tcBorders>
                    <w:tl2br w:val="nil"/>
                    <w:tr2bl w:val="nil"/>
                  </w:tcBorders>
                  <w:vAlign w:val="center"/>
                </w:tcPr>
                <w:p w14:paraId="156225A7">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54.0</w:t>
                  </w:r>
                </w:p>
              </w:tc>
              <w:tc>
                <w:tcPr>
                  <w:tcW w:w="803" w:type="dxa"/>
                  <w:tcBorders>
                    <w:tl2br w:val="nil"/>
                    <w:tr2bl w:val="nil"/>
                  </w:tcBorders>
                  <w:vAlign w:val="center"/>
                </w:tcPr>
                <w:p w14:paraId="75F4F593">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52.4</w:t>
                  </w:r>
                </w:p>
              </w:tc>
              <w:tc>
                <w:tcPr>
                  <w:tcW w:w="803" w:type="dxa"/>
                  <w:tcBorders>
                    <w:tl2br w:val="nil"/>
                    <w:tr2bl w:val="nil"/>
                  </w:tcBorders>
                  <w:vAlign w:val="center"/>
                </w:tcPr>
                <w:p w14:paraId="1B3AEC8E">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48</w:t>
                  </w:r>
                </w:p>
              </w:tc>
              <w:tc>
                <w:tcPr>
                  <w:tcW w:w="808" w:type="dxa"/>
                  <w:tcBorders>
                    <w:tl2br w:val="nil"/>
                    <w:tr2bl w:val="nil"/>
                  </w:tcBorders>
                  <w:vAlign w:val="center"/>
                </w:tcPr>
                <w:p w14:paraId="5819487A">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41.9</w:t>
                  </w:r>
                </w:p>
              </w:tc>
            </w:tr>
            <w:tr w14:paraId="29D309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1" w:type="pct"/>
                  <w:tcBorders>
                    <w:tl2br w:val="nil"/>
                    <w:tr2bl w:val="nil"/>
                  </w:tcBorders>
                  <w:vAlign w:val="center"/>
                </w:tcPr>
                <w:p w14:paraId="747DD96A">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打桩机</w:t>
                  </w:r>
                </w:p>
              </w:tc>
              <w:tc>
                <w:tcPr>
                  <w:tcW w:w="862" w:type="pct"/>
                  <w:tcBorders>
                    <w:tl2br w:val="nil"/>
                    <w:tr2bl w:val="nil"/>
                  </w:tcBorders>
                  <w:vAlign w:val="center"/>
                </w:tcPr>
                <w:p w14:paraId="034B0947">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75</w:t>
                  </w:r>
                </w:p>
              </w:tc>
              <w:tc>
                <w:tcPr>
                  <w:tcW w:w="486" w:type="pct"/>
                  <w:tcBorders>
                    <w:tl2br w:val="nil"/>
                    <w:tr2bl w:val="nil"/>
                  </w:tcBorders>
                  <w:vAlign w:val="center"/>
                </w:tcPr>
                <w:p w14:paraId="4CD12403">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55</w:t>
                  </w:r>
                </w:p>
              </w:tc>
              <w:tc>
                <w:tcPr>
                  <w:tcW w:w="486" w:type="pct"/>
                  <w:tcBorders>
                    <w:tl2br w:val="nil"/>
                    <w:tr2bl w:val="nil"/>
                  </w:tcBorders>
                  <w:vAlign w:val="center"/>
                </w:tcPr>
                <w:p w14:paraId="486540F3">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48.9</w:t>
                  </w:r>
                </w:p>
              </w:tc>
              <w:tc>
                <w:tcPr>
                  <w:tcW w:w="486" w:type="pct"/>
                  <w:tcBorders>
                    <w:tl2br w:val="nil"/>
                    <w:tr2bl w:val="nil"/>
                  </w:tcBorders>
                  <w:vAlign w:val="center"/>
                </w:tcPr>
                <w:p w14:paraId="732ED5C2">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42.9</w:t>
                  </w:r>
                </w:p>
              </w:tc>
              <w:tc>
                <w:tcPr>
                  <w:tcW w:w="486" w:type="pct"/>
                  <w:tcBorders>
                    <w:tl2br w:val="nil"/>
                    <w:tr2bl w:val="nil"/>
                  </w:tcBorders>
                  <w:vAlign w:val="center"/>
                </w:tcPr>
                <w:p w14:paraId="76E580BD">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41.0</w:t>
                  </w:r>
                </w:p>
              </w:tc>
              <w:tc>
                <w:tcPr>
                  <w:tcW w:w="486" w:type="pct"/>
                  <w:tcBorders>
                    <w:tl2br w:val="nil"/>
                    <w:tr2bl w:val="nil"/>
                  </w:tcBorders>
                  <w:vAlign w:val="center"/>
                </w:tcPr>
                <w:p w14:paraId="3D4F6AD7">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39.4</w:t>
                  </w:r>
                </w:p>
              </w:tc>
              <w:tc>
                <w:tcPr>
                  <w:tcW w:w="486" w:type="pct"/>
                  <w:tcBorders>
                    <w:tl2br w:val="nil"/>
                    <w:tr2bl w:val="nil"/>
                  </w:tcBorders>
                  <w:vAlign w:val="center"/>
                </w:tcPr>
                <w:p w14:paraId="5932BD0A">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35</w:t>
                  </w:r>
                </w:p>
              </w:tc>
              <w:tc>
                <w:tcPr>
                  <w:tcW w:w="489" w:type="pct"/>
                  <w:tcBorders>
                    <w:tl2br w:val="nil"/>
                    <w:tr2bl w:val="nil"/>
                  </w:tcBorders>
                  <w:vAlign w:val="center"/>
                </w:tcPr>
                <w:p w14:paraId="155C9AD2">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30.0</w:t>
                  </w:r>
                </w:p>
              </w:tc>
            </w:tr>
          </w:tbl>
          <w:p w14:paraId="1219E58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新宋体" w:cs="Times New Roman"/>
                <w:color w:val="000000" w:themeColor="text1"/>
                <w:sz w:val="24"/>
                <w:szCs w:val="24"/>
                <w:highlight w:val="none"/>
                <w14:textFill>
                  <w14:solidFill>
                    <w14:schemeClr w14:val="tx1"/>
                  </w14:solidFill>
                </w14:textFill>
              </w:rPr>
            </w:pPr>
            <w:r>
              <w:rPr>
                <w:rFonts w:hint="default" w:ascii="Times New Roman" w:hAnsi="Times New Roman" w:eastAsia="新宋体" w:cs="Times New Roman"/>
                <w:color w:val="000000" w:themeColor="text1"/>
                <w:sz w:val="24"/>
                <w:szCs w:val="24"/>
                <w:highlight w:val="none"/>
                <w14:textFill>
                  <w14:solidFill>
                    <w14:schemeClr w14:val="tx1"/>
                  </w14:solidFill>
                </w14:textFill>
              </w:rPr>
              <w:t>根据表4-</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新宋体" w:cs="Times New Roman"/>
                <w:color w:val="000000" w:themeColor="text1"/>
                <w:sz w:val="24"/>
                <w:szCs w:val="24"/>
                <w:highlight w:val="none"/>
                <w14:textFill>
                  <w14:solidFill>
                    <w14:schemeClr w14:val="tx1"/>
                  </w14:solidFill>
                </w14:textFill>
              </w:rPr>
              <w:t>，施工机械噪声昼间在距施工场地40m处满足《建筑施工场界环境噪声排放标准》（GB12523-2011）标准要求。本项目仅在白天施工，</w:t>
            </w:r>
            <w:r>
              <w:rPr>
                <w:rFonts w:hint="eastAsia" w:eastAsia="新宋体" w:cs="Times New Roman"/>
                <w:color w:val="000000" w:themeColor="text1"/>
                <w:sz w:val="24"/>
                <w:szCs w:val="24"/>
                <w:highlight w:val="none"/>
                <w:lang w:val="en-US" w:eastAsia="zh-CN"/>
                <w14:textFill>
                  <w14:solidFill>
                    <w14:schemeClr w14:val="tx1"/>
                  </w14:solidFill>
                </w14:textFill>
              </w:rPr>
              <w:t>项目区周边均为仓储物流及生产企业</w:t>
            </w:r>
            <w:r>
              <w:rPr>
                <w:rFonts w:hint="default" w:ascii="Times New Roman" w:hAnsi="Times New Roman" w:eastAsia="新宋体" w:cs="Times New Roman"/>
                <w:color w:val="000000" w:themeColor="text1"/>
                <w:sz w:val="24"/>
                <w:szCs w:val="24"/>
                <w:highlight w:val="none"/>
                <w14:textFill>
                  <w14:solidFill>
                    <w14:schemeClr w14:val="tx1"/>
                  </w14:solidFill>
                </w14:textFill>
              </w:rPr>
              <w:t>，</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施工过程着重在施工场地设</w:t>
            </w:r>
            <w:r>
              <w:rPr>
                <w:rFonts w:hint="eastAsia" w:eastAsia="新宋体" w:cs="Times New Roman"/>
                <w:color w:val="000000" w:themeColor="text1"/>
                <w:sz w:val="24"/>
                <w:szCs w:val="24"/>
                <w:highlight w:val="none"/>
                <w:lang w:val="en-US" w:eastAsia="zh-CN"/>
                <w14:textFill>
                  <w14:solidFill>
                    <w14:schemeClr w14:val="tx1"/>
                  </w14:solidFill>
                </w14:textFill>
              </w:rPr>
              <w:t>隔声屏障</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w:t>
            </w:r>
            <w:r>
              <w:rPr>
                <w:rFonts w:hint="eastAsia" w:eastAsia="新宋体" w:cs="Times New Roman"/>
                <w:color w:val="000000" w:themeColor="text1"/>
                <w:sz w:val="24"/>
                <w:szCs w:val="24"/>
                <w:highlight w:val="none"/>
                <w:lang w:val="en-US" w:eastAsia="zh-CN"/>
                <w14:textFill>
                  <w14:solidFill>
                    <w14:schemeClr w14:val="tx1"/>
                  </w14:solidFill>
                </w14:textFill>
              </w:rPr>
              <w:t>运输车辆</w:t>
            </w:r>
            <w:r>
              <w:rPr>
                <w:rFonts w:hint="default" w:ascii="Times New Roman" w:hAnsi="Times New Roman" w:eastAsia="新宋体" w:cs="Times New Roman"/>
                <w:color w:val="000000" w:themeColor="text1"/>
                <w:sz w:val="24"/>
                <w:szCs w:val="24"/>
                <w:highlight w:val="none"/>
                <w14:textFill>
                  <w14:solidFill>
                    <w14:schemeClr w14:val="tx1"/>
                  </w14:solidFill>
                </w14:textFill>
              </w:rPr>
              <w:t>经过村庄时采取限速、禁鸣等措施，在此前提下，</w:t>
            </w:r>
            <w:r>
              <w:rPr>
                <w:rFonts w:hint="eastAsia" w:eastAsia="新宋体" w:cs="Times New Roman"/>
                <w:color w:val="000000" w:themeColor="text1"/>
                <w:sz w:val="24"/>
                <w:szCs w:val="24"/>
                <w:highlight w:val="none"/>
                <w:lang w:val="en-US" w:eastAsia="zh-CN"/>
                <w14:textFill>
                  <w14:solidFill>
                    <w14:schemeClr w14:val="tx1"/>
                  </w14:solidFill>
                </w14:textFill>
              </w:rPr>
              <w:t>本项目施工不会对所在地声环境产生较大影响</w:t>
            </w:r>
            <w:r>
              <w:rPr>
                <w:rFonts w:hint="default" w:ascii="Times New Roman" w:hAnsi="Times New Roman" w:eastAsia="新宋体" w:cs="Times New Roman"/>
                <w:color w:val="000000" w:themeColor="text1"/>
                <w:sz w:val="24"/>
                <w:szCs w:val="24"/>
                <w:highlight w:val="none"/>
                <w14:textFill>
                  <w14:solidFill>
                    <w14:schemeClr w14:val="tx1"/>
                  </w14:solidFill>
                </w14:textFill>
              </w:rPr>
              <w:t>。</w:t>
            </w:r>
          </w:p>
          <w:p w14:paraId="4B7AB057">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eastAsia="新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新宋体" w:cs="Times New Roman"/>
                <w:b/>
                <w:bCs/>
                <w:color w:val="000000" w:themeColor="text1"/>
                <w:sz w:val="24"/>
                <w:szCs w:val="24"/>
                <w:highlight w:val="none"/>
                <w:lang w:val="en-US" w:eastAsia="zh-CN"/>
                <w14:textFill>
                  <w14:solidFill>
                    <w14:schemeClr w14:val="tx1"/>
                  </w14:solidFill>
                </w14:textFill>
              </w:rPr>
              <w:t>3.2施工噪声防治措施</w:t>
            </w:r>
          </w:p>
          <w:p w14:paraId="2306235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新宋体" w:cs="Times New Roman"/>
                <w:color w:val="000000" w:themeColor="text1"/>
                <w:sz w:val="24"/>
                <w:szCs w:val="24"/>
                <w:highlight w:val="none"/>
                <w14:textFill>
                  <w14:solidFill>
                    <w14:schemeClr w14:val="tx1"/>
                  </w14:solidFill>
                </w14:textFill>
              </w:rPr>
              <w:t>施工现场的噪声管理必须执行《建筑施工场界环境噪声排放标准》（GB12523-2011）相关标准的规定</w:t>
            </w: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szCs w:val="24"/>
                <w:highlight w:val="none"/>
                <w:lang w:val="en-US"/>
                <w14:textFill>
                  <w14:solidFill>
                    <w14:schemeClr w14:val="tx1"/>
                  </w14:solidFill>
                </w14:textFill>
              </w:rPr>
              <w:t>为减少施工噪声对周边环境的影响</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新宋体" w:cs="Times New Roman"/>
                <w:color w:val="000000" w:themeColor="text1"/>
                <w:sz w:val="24"/>
                <w:szCs w:val="24"/>
                <w:highlight w:val="none"/>
                <w:lang w:val="en-US"/>
                <w14:textFill>
                  <w14:solidFill>
                    <w14:schemeClr w14:val="tx1"/>
                  </w14:solidFill>
                </w14:textFill>
              </w:rPr>
              <w:t>施工中应采取如下措施以减少对声环境的影响</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w:t>
            </w:r>
          </w:p>
          <w:p w14:paraId="75B1B28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新宋体" w:cs="Times New Roman"/>
                <w:color w:val="000000" w:themeColor="text1"/>
                <w:sz w:val="24"/>
                <w:szCs w:val="24"/>
                <w:highlight w:val="none"/>
                <w14:textFill>
                  <w14:solidFill>
                    <w14:schemeClr w14:val="tx1"/>
                  </w14:solidFill>
                </w14:textFill>
              </w:rPr>
            </w:pPr>
            <w:r>
              <w:rPr>
                <w:rFonts w:hint="default" w:ascii="Times New Roman" w:hAnsi="Times New Roman" w:eastAsia="新宋体" w:cs="Times New Roman"/>
                <w:color w:val="000000" w:themeColor="text1"/>
                <w:sz w:val="24"/>
                <w:szCs w:val="24"/>
                <w:highlight w:val="none"/>
                <w14:textFill>
                  <w14:solidFill>
                    <w14:schemeClr w14:val="tx1"/>
                  </w14:solidFill>
                </w14:textFill>
              </w:rPr>
              <w:t>①严格控制施工时间。根据不同季节正常休息时间</w:t>
            </w: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szCs w:val="24"/>
                <w:highlight w:val="none"/>
                <w14:textFill>
                  <w14:solidFill>
                    <w14:schemeClr w14:val="tx1"/>
                  </w14:solidFill>
                </w14:textFill>
              </w:rPr>
              <w:t>合理安排施工计划</w:t>
            </w: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szCs w:val="24"/>
                <w:highlight w:val="none"/>
                <w14:textFill>
                  <w14:solidFill>
                    <w14:schemeClr w14:val="tx1"/>
                  </w14:solidFill>
                </w14:textFill>
              </w:rPr>
              <w:t>尽可能不在夜间（22</w:t>
            </w: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szCs w:val="24"/>
                <w:highlight w:val="none"/>
                <w14:textFill>
                  <w14:solidFill>
                    <w14:schemeClr w14:val="tx1"/>
                  </w14:solidFill>
                </w14:textFill>
              </w:rPr>
              <w:t>00-0</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：00）</w:t>
            </w:r>
            <w:r>
              <w:rPr>
                <w:rFonts w:hint="default" w:ascii="Times New Roman" w:hAnsi="Times New Roman" w:eastAsia="新宋体" w:cs="Times New Roman"/>
                <w:color w:val="000000" w:themeColor="text1"/>
                <w:sz w:val="24"/>
                <w:szCs w:val="24"/>
                <w:highlight w:val="none"/>
                <w14:textFill>
                  <w14:solidFill>
                    <w14:schemeClr w14:val="tx1"/>
                  </w14:solidFill>
                </w14:textFill>
              </w:rPr>
              <w:t>昼夜午休时间动用高噪声设备。</w:t>
            </w:r>
          </w:p>
          <w:p w14:paraId="6F0C054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新宋体" w:cs="Times New Roman"/>
                <w:color w:val="000000" w:themeColor="text1"/>
                <w:sz w:val="24"/>
                <w:szCs w:val="24"/>
                <w:highlight w:val="none"/>
                <w14:textFill>
                  <w14:solidFill>
                    <w14:schemeClr w14:val="tx1"/>
                  </w14:solidFill>
                </w14:textFill>
              </w:rPr>
            </w:pPr>
            <w:r>
              <w:rPr>
                <w:rFonts w:hint="default" w:ascii="Times New Roman" w:hAnsi="Times New Roman" w:eastAsia="新宋体" w:cs="Times New Roman"/>
                <w:color w:val="000000" w:themeColor="text1"/>
                <w:sz w:val="24"/>
                <w:szCs w:val="24"/>
                <w:highlight w:val="none"/>
                <w14:textFill>
                  <w14:solidFill>
                    <w14:schemeClr w14:val="tx1"/>
                  </w14:solidFill>
                </w14:textFill>
              </w:rPr>
              <w:t>②使用</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商品</w:t>
            </w:r>
            <w:r>
              <w:rPr>
                <w:rFonts w:hint="default" w:ascii="Times New Roman" w:hAnsi="Times New Roman" w:eastAsia="新宋体" w:cs="Times New Roman"/>
                <w:color w:val="000000" w:themeColor="text1"/>
                <w:sz w:val="24"/>
                <w:szCs w:val="24"/>
                <w:highlight w:val="none"/>
                <w14:textFill>
                  <w14:solidFill>
                    <w14:schemeClr w14:val="tx1"/>
                  </w14:solidFill>
                </w14:textFill>
              </w:rPr>
              <w:t>混凝土。与施工场地设置混凝土搅拌机相比</w:t>
            </w: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szCs w:val="24"/>
                <w:highlight w:val="none"/>
                <w14:textFill>
                  <w14:solidFill>
                    <w14:schemeClr w14:val="tx1"/>
                  </w14:solidFill>
                </w14:textFill>
              </w:rPr>
              <w:t>混凝土具有占地少、施工量少、施工方便、噪声污染小等特点</w:t>
            </w: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szCs w:val="24"/>
                <w:highlight w:val="none"/>
                <w14:textFill>
                  <w14:solidFill>
                    <w14:schemeClr w14:val="tx1"/>
                  </w14:solidFill>
                </w14:textFill>
              </w:rPr>
              <w:t>同时大大减少水泥、沙石的汽车运量</w:t>
            </w: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szCs w:val="24"/>
                <w:highlight w:val="none"/>
                <w14:textFill>
                  <w14:solidFill>
                    <w14:schemeClr w14:val="tx1"/>
                  </w14:solidFill>
                </w14:textFill>
              </w:rPr>
              <w:t>减轻道路交通噪声及扬尘污染。</w:t>
            </w:r>
          </w:p>
          <w:p w14:paraId="22CD240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新宋体" w:cs="Times New Roman"/>
                <w:color w:val="000000" w:themeColor="text1"/>
                <w:sz w:val="24"/>
                <w:szCs w:val="24"/>
                <w:highlight w:val="none"/>
                <w14:textFill>
                  <w14:solidFill>
                    <w14:schemeClr w14:val="tx1"/>
                  </w14:solidFill>
                </w14:textFill>
              </w:rPr>
            </w:pPr>
            <w:r>
              <w:rPr>
                <w:rFonts w:hint="default" w:ascii="Times New Roman" w:hAnsi="Times New Roman" w:eastAsia="新宋体" w:cs="Times New Roman"/>
                <w:color w:val="000000" w:themeColor="text1"/>
                <w:sz w:val="24"/>
                <w:szCs w:val="24"/>
                <w:highlight w:val="none"/>
                <w14:textFill>
                  <w14:solidFill>
                    <w14:schemeClr w14:val="tx1"/>
                  </w14:solidFill>
                </w14:textFill>
              </w:rPr>
              <w:t>③施工物料及设备运入、运出</w:t>
            </w: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szCs w:val="24"/>
                <w:highlight w:val="none"/>
                <w14:textFill>
                  <w14:solidFill>
                    <w14:schemeClr w14:val="tx1"/>
                  </w14:solidFill>
                </w14:textFill>
              </w:rPr>
              <w:t>车辆应尽可能避开夜间（22：00-0</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eastAsia="新宋体" w:cs="Times New Roman"/>
                <w:color w:val="000000" w:themeColor="text1"/>
                <w:sz w:val="24"/>
                <w:szCs w:val="24"/>
                <w:highlight w:val="none"/>
                <w14:textFill>
                  <w14:solidFill>
                    <w14:schemeClr w14:val="tx1"/>
                  </w14:solidFill>
                </w14:textFill>
              </w:rPr>
              <w:t>：00）运输</w:t>
            </w: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szCs w:val="24"/>
                <w:highlight w:val="none"/>
                <w14:textFill>
                  <w14:solidFill>
                    <w14:schemeClr w14:val="tx1"/>
                  </w14:solidFill>
                </w14:textFill>
              </w:rPr>
              <w:t>避免沿途出现扰民现象。</w:t>
            </w:r>
          </w:p>
          <w:p w14:paraId="36E57CE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新宋体" w:cs="Times New Roman"/>
                <w:color w:val="000000" w:themeColor="text1"/>
                <w:sz w:val="24"/>
                <w:szCs w:val="24"/>
                <w:highlight w:val="none"/>
                <w14:textFill>
                  <w14:solidFill>
                    <w14:schemeClr w14:val="tx1"/>
                  </w14:solidFill>
                </w14:textFill>
              </w:rPr>
            </w:pPr>
            <w:r>
              <w:rPr>
                <w:rFonts w:hint="default" w:ascii="Times New Roman" w:hAnsi="Times New Roman" w:eastAsia="新宋体" w:cs="Times New Roman"/>
                <w:color w:val="000000" w:themeColor="text1"/>
                <w:sz w:val="24"/>
                <w:szCs w:val="24"/>
                <w:highlight w:val="none"/>
                <w14:textFill>
                  <w14:solidFill>
                    <w14:schemeClr w14:val="tx1"/>
                  </w14:solidFill>
                </w14:textFill>
              </w:rPr>
              <w:t>④严格操作流程</w:t>
            </w: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szCs w:val="24"/>
                <w:highlight w:val="none"/>
                <w14:textFill>
                  <w14:solidFill>
                    <w14:schemeClr w14:val="tx1"/>
                  </w14:solidFill>
                </w14:textFill>
              </w:rPr>
              <w:t>降低人为噪声。不合理的施工操作是产生人为噪声的主要原因</w:t>
            </w: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szCs w:val="24"/>
                <w:highlight w:val="none"/>
                <w14:textFill>
                  <w14:solidFill>
                    <w14:schemeClr w14:val="tx1"/>
                  </w14:solidFill>
                </w14:textFill>
              </w:rPr>
              <w:t>如脚手架的安装、拆除、钢筋材料的装卸过程产生的金属碰撞声；运输车辆进入工地应减速</w:t>
            </w: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szCs w:val="24"/>
                <w:highlight w:val="none"/>
                <w14:textFill>
                  <w14:solidFill>
                    <w14:schemeClr w14:val="tx1"/>
                  </w14:solidFill>
                </w14:textFill>
              </w:rPr>
              <w:t>减少鸣笛</w:t>
            </w: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施工范围东北设置不低于2m隔声屏障</w:t>
            </w:r>
            <w:r>
              <w:rPr>
                <w:rFonts w:hint="default" w:ascii="Times New Roman" w:hAnsi="Times New Roman" w:eastAsia="新宋体" w:cs="Times New Roman"/>
                <w:color w:val="000000" w:themeColor="text1"/>
                <w:sz w:val="24"/>
                <w:szCs w:val="24"/>
                <w:highlight w:val="none"/>
                <w14:textFill>
                  <w14:solidFill>
                    <w14:schemeClr w14:val="tx1"/>
                  </w14:solidFill>
                </w14:textFill>
              </w:rPr>
              <w:t>。</w:t>
            </w:r>
          </w:p>
          <w:p w14:paraId="0431644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新宋体" w:cs="Times New Roman"/>
                <w:color w:val="000000" w:themeColor="text1"/>
                <w:sz w:val="24"/>
                <w:szCs w:val="24"/>
                <w:highlight w:val="none"/>
                <w14:textFill>
                  <w14:solidFill>
                    <w14:schemeClr w14:val="tx1"/>
                  </w14:solidFill>
                </w14:textFill>
              </w:rPr>
            </w:pPr>
            <w:r>
              <w:rPr>
                <w:rFonts w:hint="default" w:ascii="Times New Roman" w:hAnsi="Times New Roman" w:eastAsia="新宋体" w:cs="Times New Roman"/>
                <w:color w:val="000000" w:themeColor="text1"/>
                <w:sz w:val="24"/>
                <w:szCs w:val="24"/>
                <w:highlight w:val="none"/>
                <w14:textFill>
                  <w14:solidFill>
                    <w14:schemeClr w14:val="tx1"/>
                  </w14:solidFill>
                </w14:textFill>
              </w:rPr>
              <w:t>综上</w:t>
            </w: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szCs w:val="24"/>
                <w:highlight w:val="none"/>
                <w14:textFill>
                  <w14:solidFill>
                    <w14:schemeClr w14:val="tx1"/>
                  </w14:solidFill>
                </w14:textFill>
              </w:rPr>
              <w:t>在采取上述降噪措施后</w:t>
            </w: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szCs w:val="24"/>
                <w:highlight w:val="none"/>
                <w14:textFill>
                  <w14:solidFill>
                    <w14:schemeClr w14:val="tx1"/>
                  </w14:solidFill>
                </w14:textFill>
              </w:rPr>
              <w:t>施工噪声不会对区域声环境</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及周边声环境敏感点</w:t>
            </w:r>
            <w:r>
              <w:rPr>
                <w:rFonts w:hint="default" w:ascii="Times New Roman" w:hAnsi="Times New Roman" w:eastAsia="新宋体" w:cs="Times New Roman"/>
                <w:color w:val="000000" w:themeColor="text1"/>
                <w:sz w:val="24"/>
                <w:szCs w:val="24"/>
                <w:highlight w:val="none"/>
                <w14:textFill>
                  <w14:solidFill>
                    <w14:schemeClr w14:val="tx1"/>
                  </w14:solidFill>
                </w14:textFill>
              </w:rPr>
              <w:t>产生明显影响</w:t>
            </w: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szCs w:val="24"/>
                <w:highlight w:val="none"/>
                <w14:textFill>
                  <w14:solidFill>
                    <w14:schemeClr w14:val="tx1"/>
                  </w14:solidFill>
                </w14:textFill>
              </w:rPr>
              <w:t>并随施工的结束而消失。</w:t>
            </w:r>
          </w:p>
          <w:p w14:paraId="0EF43407">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eastAsia="新宋体" w:cs="Times New Roman"/>
                <w:b/>
                <w:bCs/>
                <w:color w:val="000000" w:themeColor="text1"/>
                <w:sz w:val="24"/>
                <w:szCs w:val="24"/>
                <w:highlight w:val="none"/>
                <w14:textFill>
                  <w14:solidFill>
                    <w14:schemeClr w14:val="tx1"/>
                  </w14:solidFill>
                </w14:textFill>
              </w:rPr>
            </w:pPr>
            <w:r>
              <w:rPr>
                <w:rFonts w:hint="default" w:ascii="Times New Roman" w:hAnsi="Times New Roman" w:eastAsia="新宋体" w:cs="Times New Roman"/>
                <w:b/>
                <w:bCs/>
                <w:color w:val="000000" w:themeColor="text1"/>
                <w:sz w:val="24"/>
                <w:szCs w:val="24"/>
                <w:highlight w:val="none"/>
                <w14:textFill>
                  <w14:solidFill>
                    <w14:schemeClr w14:val="tx1"/>
                  </w14:solidFill>
                </w14:textFill>
              </w:rPr>
              <w:t>4、固体废物影响分析</w:t>
            </w:r>
          </w:p>
          <w:p w14:paraId="7F638FB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新宋体" w:cs="Times New Roman"/>
                <w:color w:val="000000" w:themeColor="text1"/>
                <w:sz w:val="24"/>
                <w:szCs w:val="24"/>
                <w:highlight w:val="none"/>
                <w14:textFill>
                  <w14:solidFill>
                    <w14:schemeClr w14:val="tx1"/>
                  </w14:solidFill>
                </w14:textFill>
              </w:rPr>
            </w:pPr>
            <w:r>
              <w:rPr>
                <w:rFonts w:hint="default" w:ascii="Times New Roman" w:hAnsi="Times New Roman" w:eastAsia="新宋体" w:cs="Times New Roman"/>
                <w:color w:val="000000" w:themeColor="text1"/>
                <w:sz w:val="24"/>
                <w:szCs w:val="24"/>
                <w:highlight w:val="none"/>
                <w14:textFill>
                  <w14:solidFill>
                    <w14:schemeClr w14:val="tx1"/>
                  </w14:solidFill>
                </w14:textFill>
              </w:rPr>
              <w:t>项目施工期固体废物主要为施工生活垃圾、施工建筑垃圾。</w:t>
            </w:r>
          </w:p>
          <w:p w14:paraId="16840E2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新宋体" w:cs="Times New Roman"/>
                <w:color w:val="000000" w:themeColor="text1"/>
                <w:sz w:val="24"/>
                <w:szCs w:val="24"/>
                <w:highlight w:val="none"/>
                <w14:textFill>
                  <w14:solidFill>
                    <w14:schemeClr w14:val="tx1"/>
                  </w14:solidFill>
                </w14:textFill>
              </w:rPr>
            </w:pPr>
            <w:r>
              <w:rPr>
                <w:rFonts w:hint="default" w:ascii="Times New Roman" w:hAnsi="Times New Roman" w:eastAsia="新宋体" w:cs="Times New Roman"/>
                <w:color w:val="000000" w:themeColor="text1"/>
                <w:sz w:val="24"/>
                <w:szCs w:val="24"/>
                <w:highlight w:val="none"/>
                <w14:textFill>
                  <w14:solidFill>
                    <w14:schemeClr w14:val="tx1"/>
                  </w14:solidFill>
                </w14:textFill>
              </w:rPr>
              <w:t>（1）施工生活垃圾</w:t>
            </w:r>
          </w:p>
          <w:p w14:paraId="7BCFB83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新宋体" w:cs="Times New Roman"/>
                <w:color w:val="000000" w:themeColor="text1"/>
                <w:sz w:val="24"/>
                <w:szCs w:val="24"/>
                <w:highlight w:val="none"/>
                <w14:textFill>
                  <w14:solidFill>
                    <w14:schemeClr w14:val="tx1"/>
                  </w14:solidFill>
                </w14:textFill>
              </w:rPr>
            </w:pPr>
            <w:r>
              <w:rPr>
                <w:rFonts w:hint="default" w:ascii="Times New Roman" w:hAnsi="Times New Roman" w:eastAsia="新宋体" w:cs="Times New Roman"/>
                <w:color w:val="000000" w:themeColor="text1"/>
                <w:sz w:val="24"/>
                <w:szCs w:val="24"/>
                <w:highlight w:val="none"/>
                <w14:textFill>
                  <w14:solidFill>
                    <w14:schemeClr w14:val="tx1"/>
                  </w14:solidFill>
                </w14:textFill>
              </w:rPr>
              <w:t>施工生活垃圾主要以有机类废物为主，其成分为易拉罐、矿泉水瓶、塑料袋、一次性饭盒、剩饭菜等。由于这些生活垃圾的污染物含量较高，如不对其采取有效的处理措施，任其在施工现场随意堆放，则可能造成这些废物的腐烂，滋生蚊、蝇、鼠、虫等，散发臭气，影响景观和局域大气环境。</w:t>
            </w:r>
          </w:p>
          <w:p w14:paraId="2540E40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新宋体" w:cs="Times New Roman"/>
                <w:color w:val="000000" w:themeColor="text1"/>
                <w:sz w:val="24"/>
                <w:szCs w:val="24"/>
                <w:highlight w:val="none"/>
                <w14:textFill>
                  <w14:solidFill>
                    <w14:schemeClr w14:val="tx1"/>
                  </w14:solidFill>
                </w14:textFill>
              </w:rPr>
            </w:pP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根据施工内容，场内施工高峰人数14人，</w:t>
            </w:r>
            <w:r>
              <w:rPr>
                <w:rFonts w:hint="default" w:ascii="Times New Roman" w:hAnsi="Times New Roman" w:eastAsia="新宋体" w:cs="Times New Roman"/>
                <w:lang w:val="en-US" w:eastAsia="zh-CN"/>
              </w:rPr>
              <w:t>施工人员生活垃圾按0.4kg/d计，施工期共产生336kg，施工人员不在场内食宿，</w:t>
            </w:r>
            <w:r>
              <w:rPr>
                <w:rFonts w:hint="default" w:ascii="Times New Roman" w:hAnsi="Times New Roman" w:eastAsia="新宋体" w:cs="Times New Roman"/>
                <w:color w:val="000000" w:themeColor="text1"/>
                <w:sz w:val="24"/>
                <w:szCs w:val="24"/>
                <w:highlight w:val="none"/>
                <w14:textFill>
                  <w14:solidFill>
                    <w14:schemeClr w14:val="tx1"/>
                  </w14:solidFill>
                </w14:textFill>
              </w:rPr>
              <w:t>生活垃圾将</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集中</w:t>
            </w:r>
            <w:r>
              <w:rPr>
                <w:rFonts w:hint="eastAsia" w:eastAsia="新宋体" w:cs="Times New Roman"/>
                <w:color w:val="000000" w:themeColor="text1"/>
                <w:sz w:val="24"/>
                <w:szCs w:val="24"/>
                <w:highlight w:val="none"/>
                <w:lang w:val="en-US" w:eastAsia="zh-CN"/>
                <w14:textFill>
                  <w14:solidFill>
                    <w14:schemeClr w14:val="tx1"/>
                  </w14:solidFill>
                </w14:textFill>
              </w:rPr>
              <w:t>收集</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在项目区</w:t>
            </w:r>
            <w:r>
              <w:rPr>
                <w:rFonts w:hint="eastAsia" w:eastAsia="新宋体" w:cs="Times New Roman"/>
                <w:color w:val="000000" w:themeColor="text1"/>
                <w:sz w:val="24"/>
                <w:szCs w:val="24"/>
                <w:highlight w:val="none"/>
                <w:lang w:val="en-US" w:eastAsia="zh-CN"/>
                <w14:textFill>
                  <w14:solidFill>
                    <w14:schemeClr w14:val="tx1"/>
                  </w14:solidFill>
                </w14:textFill>
              </w:rPr>
              <w:t>南</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侧垃圾收集船由当地环卫统一处置</w:t>
            </w:r>
            <w:r>
              <w:rPr>
                <w:rFonts w:hint="default" w:ascii="Times New Roman" w:hAnsi="Times New Roman" w:eastAsia="新宋体" w:cs="Times New Roman"/>
                <w:color w:val="000000" w:themeColor="text1"/>
                <w:sz w:val="24"/>
                <w:szCs w:val="24"/>
                <w:highlight w:val="none"/>
                <w14:textFill>
                  <w14:solidFill>
                    <w14:schemeClr w14:val="tx1"/>
                  </w14:solidFill>
                </w14:textFill>
              </w:rPr>
              <w:t>，对周围环境影响较小。</w:t>
            </w:r>
          </w:p>
          <w:p w14:paraId="14F8D83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新宋体" w:cs="Times New Roman"/>
                <w:color w:val="000000" w:themeColor="text1"/>
                <w:sz w:val="24"/>
                <w:szCs w:val="24"/>
                <w:highlight w:val="none"/>
                <w14:textFill>
                  <w14:solidFill>
                    <w14:schemeClr w14:val="tx1"/>
                  </w14:solidFill>
                </w14:textFill>
              </w:rPr>
            </w:pPr>
            <w:r>
              <w:rPr>
                <w:rFonts w:hint="default" w:ascii="Times New Roman" w:hAnsi="Times New Roman" w:eastAsia="新宋体" w:cs="Times New Roman"/>
                <w:color w:val="000000" w:themeColor="text1"/>
                <w:sz w:val="24"/>
                <w:szCs w:val="24"/>
                <w:highlight w:val="none"/>
                <w14:textFill>
                  <w14:solidFill>
                    <w14:schemeClr w14:val="tx1"/>
                  </w14:solidFill>
                </w14:textFill>
              </w:rPr>
              <w:t>（2）施工建筑垃圾</w:t>
            </w:r>
          </w:p>
          <w:p w14:paraId="1F67908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新宋体" w:cs="Times New Roman"/>
                <w:color w:val="000000" w:themeColor="text1"/>
                <w:sz w:val="24"/>
                <w:szCs w:val="24"/>
                <w:highlight w:val="none"/>
                <w14:textFill>
                  <w14:solidFill>
                    <w14:schemeClr w14:val="tx1"/>
                  </w14:solidFill>
                </w14:textFill>
              </w:rPr>
            </w:pPr>
            <w:r>
              <w:rPr>
                <w:rFonts w:hint="default" w:ascii="Times New Roman" w:hAnsi="Times New Roman" w:eastAsia="新宋体" w:cs="Times New Roman"/>
                <w:color w:val="000000" w:themeColor="text1"/>
                <w:sz w:val="24"/>
                <w:szCs w:val="24"/>
                <w:highlight w:val="none"/>
                <w14:textFill>
                  <w14:solidFill>
                    <w14:schemeClr w14:val="tx1"/>
                  </w14:solidFill>
                </w14:textFill>
              </w:rPr>
              <w:t>施工建筑垃圾以无机废物为主，项目建设过程中，主要建筑垃圾包括</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建筑拆除废物、</w:t>
            </w:r>
            <w:r>
              <w:rPr>
                <w:rFonts w:hint="default" w:ascii="Times New Roman" w:hAnsi="Times New Roman" w:eastAsia="新宋体" w:cs="Times New Roman"/>
                <w:color w:val="000000" w:themeColor="text1"/>
                <w:sz w:val="24"/>
                <w:szCs w:val="24"/>
                <w:highlight w:val="none"/>
                <w14:textFill>
                  <w14:solidFill>
                    <w14:schemeClr w14:val="tx1"/>
                  </w14:solidFill>
                </w14:textFill>
              </w:rPr>
              <w:t>施工中的下脚料，如废弃的砖瓦、</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彩钢板、</w:t>
            </w:r>
            <w:r>
              <w:rPr>
                <w:rFonts w:hint="default" w:ascii="Times New Roman" w:hAnsi="Times New Roman" w:eastAsia="新宋体" w:cs="Times New Roman"/>
                <w:color w:val="000000" w:themeColor="text1"/>
                <w:sz w:val="24"/>
                <w:szCs w:val="24"/>
                <w:highlight w:val="none"/>
                <w14:textFill>
                  <w14:solidFill>
                    <w14:schemeClr w14:val="tx1"/>
                  </w14:solidFill>
                </w14:textFill>
              </w:rPr>
              <w:t>混凝土块等，同时还包括少量的有机垃圾，主要是各种包装材料，这些废弃物基本上不溶解、不腐烂变质，如处理不当，会影响景观和周围环境的质量。对于这些废物，应集中处理，分类收集并尽可能的回收再利用，不能回收利用的则应及时清理出施工现场</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并运送至</w:t>
            </w:r>
            <w:r>
              <w:rPr>
                <w:rFonts w:hint="eastAsia" w:eastAsia="新宋体" w:cs="Times New Roman"/>
                <w:color w:val="000000" w:themeColor="text1"/>
                <w:sz w:val="24"/>
                <w:szCs w:val="24"/>
                <w:highlight w:val="none"/>
                <w:lang w:val="en-US" w:eastAsia="zh-CN"/>
                <w14:textFill>
                  <w14:solidFill>
                    <w14:schemeClr w14:val="tx1"/>
                  </w14:solidFill>
                </w14:textFill>
              </w:rPr>
              <w:t>和硕</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县住建部门</w:t>
            </w:r>
            <w:r>
              <w:rPr>
                <w:rFonts w:hint="eastAsia" w:eastAsia="新宋体" w:cs="Times New Roman"/>
                <w:color w:val="000000" w:themeColor="text1"/>
                <w:sz w:val="24"/>
                <w:szCs w:val="24"/>
                <w:highlight w:val="none"/>
                <w:lang w:val="en-US" w:eastAsia="zh-CN"/>
                <w14:textFill>
                  <w14:solidFill>
                    <w14:schemeClr w14:val="tx1"/>
                  </w14:solidFill>
                </w14:textFill>
              </w:rPr>
              <w:t>指定</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填埋场</w:t>
            </w:r>
            <w:r>
              <w:rPr>
                <w:rFonts w:hint="default" w:ascii="Times New Roman" w:hAnsi="Times New Roman" w:eastAsia="新宋体" w:cs="Times New Roman"/>
                <w:color w:val="000000" w:themeColor="text1"/>
                <w:sz w:val="24"/>
                <w:szCs w:val="24"/>
                <w:highlight w:val="none"/>
                <w14:textFill>
                  <w14:solidFill>
                    <w14:schemeClr w14:val="tx1"/>
                  </w14:solidFill>
                </w14:textFill>
              </w:rPr>
              <w:t>。施工建筑垃圾经分类收集处理后，对周围环境影响很小。</w:t>
            </w:r>
          </w:p>
          <w:p w14:paraId="0BF496F4">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新宋体" w:cs="Times New Roman"/>
                <w:b/>
                <w:bCs/>
                <w:color w:val="000000" w:themeColor="text1"/>
                <w:sz w:val="24"/>
                <w:szCs w:val="24"/>
                <w:highlight w:val="none"/>
                <w:lang w:val="en-US" w:eastAsia="zh-CN"/>
                <w14:textFill>
                  <w14:solidFill>
                    <w14:schemeClr w14:val="tx1"/>
                  </w14:solidFill>
                </w14:textFill>
              </w:rPr>
              <w:t>5、生态环境影响分析</w:t>
            </w:r>
          </w:p>
          <w:p w14:paraId="0B116E69">
            <w:pPr>
              <w:keepNext w:val="0"/>
              <w:keepLines w:val="0"/>
              <w:widowControl/>
              <w:suppressLineNumbers w:val="0"/>
              <w:jc w:val="left"/>
              <w:rPr>
                <w:rFonts w:hint="default" w:ascii="Times New Roman" w:hAnsi="Times New Roman" w:eastAsia="新宋体" w:cs="Times New Roman"/>
                <w:color w:val="000000" w:themeColor="text1"/>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本项目选址位于</w:t>
            </w:r>
            <w:r>
              <w:rPr>
                <w:rFonts w:hint="eastAsia" w:eastAsia="新宋体" w:cs="Times New Roman"/>
                <w:color w:val="000000" w:themeColor="text1"/>
                <w:kern w:val="0"/>
                <w:sz w:val="24"/>
                <w:szCs w:val="24"/>
                <w:lang w:val="en-US" w:eastAsia="zh-CN" w:bidi="ar"/>
                <w14:textFill>
                  <w14:solidFill>
                    <w14:schemeClr w14:val="tx1"/>
                  </w14:solidFill>
                </w14:textFill>
              </w:rPr>
              <w:t>和硕县北部</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，项目区评价范围内无自然保护区、风景名胜区、野生动物重要栖息地、重点保护野生植物生长繁殖地等环境敏感区。</w:t>
            </w:r>
          </w:p>
          <w:p w14:paraId="60D7BA6E">
            <w:pPr>
              <w:keepNext w:val="0"/>
              <w:keepLines w:val="0"/>
              <w:pageBreakBefore w:val="0"/>
              <w:widowControl/>
              <w:suppressLineNumbers w:val="0"/>
              <w:kinsoku/>
              <w:wordWrap/>
              <w:overflowPunct/>
              <w:topLinePunct w:val="0"/>
              <w:autoSpaceDE/>
              <w:autoSpaceDN/>
              <w:bidi w:val="0"/>
              <w:adjustRightInd/>
              <w:snapToGrid/>
              <w:ind w:leftChars="0"/>
              <w:jc w:val="left"/>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经现场勘查，评价范围内无生态感区，施工内容基本不会对周边生态产生影响。</w:t>
            </w:r>
          </w:p>
          <w:p w14:paraId="01755891">
            <w:pPr>
              <w:keepNext w:val="0"/>
              <w:keepLines w:val="0"/>
              <w:widowControl/>
              <w:suppressLineNumbers w:val="0"/>
              <w:ind w:left="0" w:leftChars="0"/>
              <w:jc w:val="left"/>
              <w:rPr>
                <w:rFonts w:hint="default" w:ascii="Times New Roman" w:hAnsi="Times New Roman" w:eastAsia="新宋体" w:cs="Times New Roman"/>
                <w:color w:val="000000" w:themeColor="text1"/>
                <w:sz w:val="24"/>
                <w:szCs w:val="24"/>
                <w:highlight w:val="none"/>
                <w14:textFill>
                  <w14:solidFill>
                    <w14:schemeClr w14:val="tx1"/>
                  </w14:solidFill>
                </w14:textFill>
              </w:rPr>
            </w:pPr>
            <w:r>
              <w:rPr>
                <w:rFonts w:hint="default" w:ascii="Times New Roman" w:hAnsi="Times New Roman" w:eastAsia="新宋体" w:cs="Times New Roman"/>
                <w:color w:val="000000" w:themeColor="text1"/>
                <w:sz w:val="24"/>
                <w:szCs w:val="24"/>
                <w:highlight w:val="none"/>
                <w14:textFill>
                  <w14:solidFill>
                    <w14:schemeClr w14:val="tx1"/>
                  </w14:solidFill>
                </w14:textFill>
              </w:rPr>
              <w:t>在采取上述措施后</w:t>
            </w:r>
            <w:r>
              <w:rPr>
                <w:rFonts w:hint="default" w:ascii="Times New Roman" w:hAnsi="Times New Roman" w:eastAsia="新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施工期</w:t>
            </w:r>
            <w:r>
              <w:rPr>
                <w:rFonts w:hint="default" w:ascii="Times New Roman" w:hAnsi="Times New Roman" w:eastAsia="新宋体" w:cs="Times New Roman"/>
                <w:color w:val="000000" w:themeColor="text1"/>
                <w:sz w:val="24"/>
                <w:szCs w:val="24"/>
                <w:highlight w:val="none"/>
                <w14:textFill>
                  <w14:solidFill>
                    <w14:schemeClr w14:val="tx1"/>
                  </w14:solidFill>
                </w14:textFill>
              </w:rPr>
              <w:t>不会对周围环境造成明显影响。</w:t>
            </w:r>
          </w:p>
          <w:p w14:paraId="3CD9E92E">
            <w:pPr>
              <w:keepNext w:val="0"/>
              <w:keepLines w:val="0"/>
              <w:widowControl/>
              <w:suppressLineNumbers w:val="0"/>
              <w:ind w:left="0" w:leftChars="0"/>
              <w:jc w:val="left"/>
              <w:rPr>
                <w:rFonts w:hint="default" w:ascii="Times New Roman" w:hAnsi="Times New Roman" w:eastAsia="新宋体" w:cs="Times New Roman"/>
                <w:b/>
                <w:bCs/>
                <w:color w:val="000000" w:themeColor="text1"/>
                <w:sz w:val="24"/>
                <w:szCs w:val="24"/>
                <w:highlight w:val="none"/>
                <w:lang w:val="en-US" w:eastAsia="zh-CN"/>
                <w14:textFill>
                  <w14:solidFill>
                    <w14:schemeClr w14:val="tx1"/>
                  </w14:solidFill>
                </w14:textFill>
              </w:rPr>
            </w:pPr>
            <w:r>
              <w:rPr>
                <w:rFonts w:hint="eastAsia" w:eastAsia="新宋体" w:cs="Times New Roman"/>
                <w:b/>
                <w:bCs/>
                <w:color w:val="000000" w:themeColor="text1"/>
                <w:sz w:val="24"/>
                <w:szCs w:val="24"/>
                <w:highlight w:val="none"/>
                <w:lang w:val="en-US" w:eastAsia="zh-CN"/>
                <w14:textFill>
                  <w14:solidFill>
                    <w14:schemeClr w14:val="tx1"/>
                  </w14:solidFill>
                </w14:textFill>
              </w:rPr>
              <w:t>6、施工方案</w:t>
            </w:r>
          </w:p>
          <w:p w14:paraId="21E387B4">
            <w:pPr>
              <w:bidi w:val="0"/>
              <w:rPr>
                <w:rFonts w:hint="default"/>
                <w:lang w:val="en-US" w:eastAsia="zh-CN"/>
              </w:rPr>
            </w:pPr>
            <w:r>
              <w:rPr>
                <w:rFonts w:hint="eastAsia"/>
                <w:lang w:val="en-US" w:eastAsia="zh-CN"/>
              </w:rPr>
              <w:t>①施工时序</w:t>
            </w:r>
          </w:p>
          <w:p w14:paraId="5C7C2942">
            <w:pPr>
              <w:bidi w:val="0"/>
              <w:rPr>
                <w:rFonts w:hint="default"/>
              </w:rPr>
            </w:pPr>
            <w:r>
              <w:rPr>
                <w:rFonts w:hint="default"/>
              </w:rPr>
              <w:t>本项目首先进行场地平整，</w:t>
            </w:r>
            <w:r>
              <w:rPr>
                <w:rFonts w:hint="eastAsia"/>
                <w:lang w:val="en-US" w:eastAsia="zh-CN"/>
              </w:rPr>
              <w:t>拆除原有建筑物</w:t>
            </w:r>
            <w:r>
              <w:rPr>
                <w:rFonts w:hint="default"/>
              </w:rPr>
              <w:t>之后新建建筑物开工建设，室外场地铺装场地硬化等建设在建筑物施工后期开始施工，栽植乔灌草最后施工；同时，项目施工期合理布置项目临建设施，避免重复扰动，工程施工前先期设置必要的防护措施。施工时序总体按照场地平整夯实→</w:t>
            </w:r>
            <w:r>
              <w:rPr>
                <w:rFonts w:hint="eastAsia"/>
                <w:lang w:val="en-US" w:eastAsia="zh-CN"/>
              </w:rPr>
              <w:t>拆除原有建筑物</w:t>
            </w:r>
            <w:r>
              <w:rPr>
                <w:rFonts w:hint="default"/>
              </w:rPr>
              <w:t>→</w:t>
            </w:r>
            <w:r>
              <w:rPr>
                <w:rFonts w:hint="eastAsia"/>
                <w:lang w:val="en-US" w:eastAsia="zh-CN"/>
              </w:rPr>
              <w:t>新建</w:t>
            </w:r>
            <w:r>
              <w:rPr>
                <w:rFonts w:hint="default"/>
              </w:rPr>
              <w:t>建筑物→管线、道路→室外铺装硬化工程→栽植乔草的施工时序进行。</w:t>
            </w:r>
          </w:p>
          <w:p w14:paraId="54508F53">
            <w:pPr>
              <w:bidi w:val="0"/>
              <w:rPr>
                <w:rFonts w:hint="default"/>
                <w:lang w:val="en-US" w:eastAsia="zh-CN"/>
              </w:rPr>
            </w:pPr>
            <w:r>
              <w:rPr>
                <w:rFonts w:hint="eastAsia"/>
                <w:lang w:val="en-US" w:eastAsia="zh-CN"/>
              </w:rPr>
              <w:t>②基础工程施工方案</w:t>
            </w:r>
          </w:p>
          <w:p w14:paraId="4EA69151">
            <w:pPr>
              <w:bidi w:val="0"/>
              <w:rPr>
                <w:rFonts w:hint="default"/>
              </w:rPr>
            </w:pPr>
            <w:r>
              <w:rPr>
                <w:rFonts w:hint="default"/>
              </w:rPr>
              <w:t>本项目主要</w:t>
            </w:r>
            <w:r>
              <w:rPr>
                <w:rFonts w:hint="default"/>
                <w:lang w:val="en-US" w:eastAsia="zh-CN"/>
              </w:rPr>
              <w:t>构建筑物</w:t>
            </w:r>
            <w:r>
              <w:rPr>
                <w:rFonts w:hint="default"/>
              </w:rPr>
              <w:t>采用</w:t>
            </w:r>
            <w:r>
              <w:rPr>
                <w:rFonts w:hint="default"/>
                <w:lang w:val="en-US" w:eastAsia="zh-CN"/>
              </w:rPr>
              <w:t>条形基础</w:t>
            </w:r>
            <w:r>
              <w:rPr>
                <w:rFonts w:hint="default"/>
              </w:rPr>
              <w:t>，地基验槽完成后，清除表层浮土及扰动土，不留积水，立即进行垫层混凝土施工，垫层混凝土必须振捣密实，表面平整，严禁晾晒基土。</w:t>
            </w:r>
          </w:p>
          <w:p w14:paraId="1E38A763">
            <w:pPr>
              <w:bidi w:val="0"/>
              <w:rPr>
                <w:rFonts w:hint="default"/>
              </w:rPr>
            </w:pPr>
            <w:r>
              <w:rPr>
                <w:rFonts w:hint="default"/>
              </w:rPr>
              <w:t>垫层浇灌完成后，混凝土达到1.2MPa后，表面弹线进行钢筋绑扎，钢筋绑扎不允许漏扣，柱插筋弯钩部分必须与底板筋成45°绑扎，连接点必须全部绑扎，距底板5cm处绑扎第一个箍筋，距基础顶5cm处绑扎最后一道箍筋，作为标高控制筋及定位筋，柱插筋最上部再绑扎一道定位筋，上下箍筋及定位筋绑扎完成后将柱插筋调整到位并用井字木架临时固定，然后绑扎剩余箍筋，保证柱插筋不变形走样，两道定位筋在基础混凝土浇筑完成后，必须进行更换钢筋绑扎好后底面及侧面搁置保护层塑料垫块，厚度为设计保护层厚度，垫块间距不得大于100mm（视设计钢筋直径确定</w:t>
            </w:r>
            <w:r>
              <w:rPr>
                <w:rFonts w:hint="default"/>
                <w:lang w:eastAsia="zh-CN"/>
              </w:rPr>
              <w:t>）</w:t>
            </w:r>
            <w:r>
              <w:rPr>
                <w:rFonts w:hint="default"/>
              </w:rPr>
              <w:t>，以防出现露筋的质量通病。注意对钢筋成品保护，不得任意碰撞钢筋，造成钢筋移位。</w:t>
            </w:r>
          </w:p>
          <w:p w14:paraId="54D94238">
            <w:pPr>
              <w:bidi w:val="0"/>
              <w:rPr>
                <w:rFonts w:hint="default"/>
              </w:rPr>
            </w:pPr>
            <w:r>
              <w:rPr>
                <w:rFonts w:hint="default"/>
              </w:rPr>
              <w:t>钢筋绑扎及相关专业施工完成后立即进行模板安装，模板采用小钢模或木模，利用架子管或方木加固。锥形基础坡度＜30°时，采用斜模板支护，利用螺栓与底板钢筋拉紧，防止上浮。模板上部透气孔及振捣孔，坡度≤30°时，利用钢丝网（间距30cm</w:t>
            </w:r>
            <w:r>
              <w:rPr>
                <w:rFonts w:hint="default"/>
                <w:lang w:eastAsia="zh-CN"/>
              </w:rPr>
              <w:t>）</w:t>
            </w:r>
            <w:r>
              <w:rPr>
                <w:rFonts w:hint="default"/>
              </w:rPr>
              <w:t>防止混凝土下坠。不得用重物冲击模板，不准在</w:t>
            </w:r>
            <w:r>
              <w:rPr>
                <w:rFonts w:hint="eastAsia"/>
                <w:lang w:eastAsia="zh-CN"/>
              </w:rPr>
              <w:t>吊篮</w:t>
            </w:r>
            <w:r>
              <w:rPr>
                <w:rFonts w:hint="default"/>
              </w:rPr>
              <w:t>的模板上搭设脚手架，保证模板的牢固和严密。</w:t>
            </w:r>
          </w:p>
          <w:p w14:paraId="7CC732DF">
            <w:pPr>
              <w:bidi w:val="0"/>
              <w:rPr>
                <w:rFonts w:hint="default"/>
                <w:lang w:val="en-US" w:eastAsia="zh-CN"/>
              </w:rPr>
            </w:pPr>
            <w:r>
              <w:rPr>
                <w:rFonts w:hint="eastAsia"/>
                <w:lang w:val="en-US" w:eastAsia="zh-CN"/>
              </w:rPr>
              <w:t>③</w:t>
            </w:r>
            <w:r>
              <w:rPr>
                <w:rFonts w:hint="default"/>
                <w:lang w:val="en-US" w:eastAsia="zh-CN"/>
              </w:rPr>
              <w:t>道路及其他硬化场地施工</w:t>
            </w:r>
            <w:r>
              <w:rPr>
                <w:rFonts w:hint="eastAsia"/>
                <w:lang w:val="en-US" w:eastAsia="zh-CN"/>
              </w:rPr>
              <w:t>方案</w:t>
            </w:r>
          </w:p>
          <w:p w14:paraId="381F803A">
            <w:pPr>
              <w:bidi w:val="0"/>
              <w:rPr>
                <w:rFonts w:hint="default"/>
              </w:rPr>
            </w:pPr>
            <w:r>
              <w:rPr>
                <w:rFonts w:hint="eastAsia"/>
                <w:lang w:val="en-US" w:eastAsia="zh-CN"/>
              </w:rPr>
              <w:t>道路</w:t>
            </w:r>
            <w:r>
              <w:rPr>
                <w:rFonts w:hint="default"/>
              </w:rPr>
              <w:t>施工方案如下：定位→土方开挖（回填</w:t>
            </w:r>
            <w:r>
              <w:rPr>
                <w:rFonts w:hint="default"/>
                <w:lang w:eastAsia="zh-CN"/>
              </w:rPr>
              <w:t>）</w:t>
            </w:r>
            <w:r>
              <w:rPr>
                <w:rFonts w:hint="default"/>
              </w:rPr>
              <w:t>基层平整→压路机碾压→水泥稳定砂石基层施工→</w:t>
            </w:r>
            <w:r>
              <w:rPr>
                <w:rFonts w:hint="eastAsia"/>
                <w:lang w:val="en-US" w:eastAsia="zh-CN"/>
              </w:rPr>
              <w:t>水泥</w:t>
            </w:r>
            <w:r>
              <w:rPr>
                <w:rFonts w:hint="default"/>
              </w:rPr>
              <w:t>面层施工→检查验收。路基填筑时进行分层填筑碾压，路基沉降稳定后即进行路面分层填筑夯实和路面铺装施工。</w:t>
            </w:r>
          </w:p>
          <w:p w14:paraId="710CA0C0">
            <w:pPr>
              <w:bidi w:val="0"/>
              <w:rPr>
                <w:rFonts w:hint="default"/>
                <w:lang w:val="en-US" w:eastAsia="zh-CN"/>
              </w:rPr>
            </w:pPr>
            <w:r>
              <w:rPr>
                <w:rFonts w:hint="eastAsia"/>
                <w:lang w:val="en-US" w:eastAsia="zh-CN"/>
              </w:rPr>
              <w:t>④</w:t>
            </w:r>
            <w:r>
              <w:rPr>
                <w:rFonts w:hint="default"/>
                <w:lang w:val="en-US" w:eastAsia="zh-CN"/>
              </w:rPr>
              <w:t>绿化施工</w:t>
            </w:r>
          </w:p>
          <w:p w14:paraId="38A1FE8C">
            <w:pPr>
              <w:bidi w:val="0"/>
              <w:rPr>
                <w:rFonts w:hint="default"/>
              </w:rPr>
            </w:pPr>
            <w:r>
              <w:rPr>
                <w:rFonts w:hint="default"/>
              </w:rPr>
              <w:t>绿地建设一般在</w:t>
            </w:r>
            <w:r>
              <w:rPr>
                <w:rFonts w:hint="eastAsia"/>
                <w:lang w:val="en-US" w:eastAsia="zh-CN"/>
              </w:rPr>
              <w:t>主体工程</w:t>
            </w:r>
            <w:r>
              <w:rPr>
                <w:rFonts w:hint="default"/>
              </w:rPr>
              <w:t>后期进行，用不同的园林植物群落配置</w:t>
            </w:r>
            <w:r>
              <w:rPr>
                <w:rFonts w:hint="eastAsia"/>
                <w:lang w:eastAsia="zh-CN"/>
              </w:rPr>
              <w:t>。</w:t>
            </w:r>
            <w:r>
              <w:rPr>
                <w:rFonts w:hint="eastAsia"/>
                <w:lang w:val="en-US" w:eastAsia="zh-CN"/>
              </w:rPr>
              <w:t>本项目绿化</w:t>
            </w:r>
            <w:r>
              <w:rPr>
                <w:rFonts w:hint="default"/>
              </w:rPr>
              <w:t>区域</w:t>
            </w:r>
            <w:r>
              <w:rPr>
                <w:rFonts w:hint="eastAsia"/>
                <w:lang w:val="en-US" w:eastAsia="zh-CN"/>
              </w:rPr>
              <w:t>利用剥离表土，种植与当地气候相适应的耐旱植被，植被选择乔木类，草坪选择黑麦草和早熟禾草坪，保证现有绿化率达230m</w:t>
            </w:r>
            <w:r>
              <w:rPr>
                <w:rFonts w:hint="eastAsia"/>
                <w:vertAlign w:val="superscript"/>
                <w:lang w:val="en-US" w:eastAsia="zh-CN"/>
              </w:rPr>
              <w:t>2</w:t>
            </w:r>
            <w:r>
              <w:rPr>
                <w:rFonts w:hint="eastAsia"/>
                <w:lang w:val="en-US" w:eastAsia="zh-CN"/>
              </w:rPr>
              <w:t>以上</w:t>
            </w:r>
            <w:r>
              <w:rPr>
                <w:rFonts w:hint="default"/>
              </w:rPr>
              <w:t>。</w:t>
            </w:r>
          </w:p>
          <w:p w14:paraId="4A57B70B">
            <w:pPr>
              <w:bidi w:val="0"/>
              <w:rPr>
                <w:rFonts w:hint="default" w:ascii="Times New Roman" w:hAnsi="Times New Roman" w:eastAsia="新宋体" w:cs="Times New Roman"/>
                <w:color w:val="000000" w:themeColor="text1"/>
                <w:szCs w:val="24"/>
                <w14:textFill>
                  <w14:solidFill>
                    <w14:schemeClr w14:val="tx1"/>
                  </w14:solidFill>
                </w14:textFill>
              </w:rPr>
            </w:pPr>
            <w:r>
              <w:rPr>
                <w:rFonts w:hint="eastAsia"/>
                <w:lang w:val="en-US" w:eastAsia="zh-CN"/>
              </w:rPr>
              <w:t>根据场内现有建筑及施工内容分析，本施工时序合理，施工方案可行。</w:t>
            </w:r>
          </w:p>
        </w:tc>
      </w:tr>
      <w:tr w14:paraId="177882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2" w:hRule="atLeast"/>
          <w:jc w:val="center"/>
        </w:trPr>
        <w:tc>
          <w:tcPr>
            <w:tcW w:w="333" w:type="pct"/>
            <w:tcBorders>
              <w:tl2br w:val="nil"/>
              <w:tr2bl w:val="nil"/>
            </w:tcBorders>
            <w:tcMar>
              <w:left w:w="28" w:type="dxa"/>
              <w:right w:w="28" w:type="dxa"/>
            </w:tcMar>
            <w:vAlign w:val="center"/>
          </w:tcPr>
          <w:p w14:paraId="402C7ECE">
            <w:pPr>
              <w:adjustRightInd w:val="0"/>
              <w:snapToGrid w:val="0"/>
              <w:ind w:firstLine="0" w:firstLineChars="0"/>
              <w:jc w:val="center"/>
              <w:rPr>
                <w:rFonts w:hint="default" w:ascii="Times New Roman" w:hAnsi="Times New Roman" w:eastAsia="新宋体" w:cs="Times New Roman"/>
                <w:bCs/>
                <w:color w:val="000000" w:themeColor="text1"/>
                <w:szCs w:val="21"/>
                <w14:textFill>
                  <w14:solidFill>
                    <w14:schemeClr w14:val="tx1"/>
                  </w14:solidFill>
                </w14:textFill>
              </w:rPr>
            </w:pPr>
            <w:r>
              <w:rPr>
                <w:rFonts w:hint="default" w:ascii="Times New Roman" w:hAnsi="Times New Roman" w:eastAsia="新宋体" w:cs="Times New Roman"/>
                <w:bCs/>
                <w:color w:val="000000" w:themeColor="text1"/>
                <w:szCs w:val="22"/>
                <w14:textFill>
                  <w14:solidFill>
                    <w14:schemeClr w14:val="tx1"/>
                  </w14:solidFill>
                </w14:textFill>
              </w:rPr>
              <w:t>运营期环境影响和保护措施</w:t>
            </w:r>
          </w:p>
        </w:tc>
        <w:tc>
          <w:tcPr>
            <w:tcW w:w="4666" w:type="pct"/>
            <w:tcBorders>
              <w:tl2br w:val="nil"/>
              <w:tr2bl w:val="nil"/>
            </w:tcBorders>
            <w:vAlign w:val="center"/>
          </w:tcPr>
          <w:p w14:paraId="5898B52B">
            <w:pPr>
              <w:keepNext/>
              <w:keepLines/>
              <w:suppressLineNumbers w:val="0"/>
              <w:spacing w:before="0" w:beforeAutospacing="0" w:after="0" w:afterAutospacing="0" w:line="360" w:lineRule="auto"/>
              <w:ind w:left="0" w:right="0"/>
              <w:textAlignment w:val="center"/>
              <w:outlineLvl w:val="1"/>
              <w:rPr>
                <w:rFonts w:hint="default" w:ascii="Times New Roman" w:hAnsi="Times New Roman" w:eastAsia="新宋体" w:cs="Times New Roman"/>
                <w:b/>
                <w:bCs/>
                <w:color w:val="000000" w:themeColor="text1"/>
                <w:sz w:val="24"/>
                <w:szCs w:val="24"/>
                <w14:textFill>
                  <w14:solidFill>
                    <w14:schemeClr w14:val="tx1"/>
                  </w14:solidFill>
                </w14:textFill>
              </w:rPr>
            </w:pPr>
            <w:r>
              <w:rPr>
                <w:rFonts w:hint="default" w:ascii="Times New Roman" w:hAnsi="Times New Roman" w:eastAsia="新宋体" w:cs="Times New Roman"/>
                <w:b/>
                <w:bCs/>
                <w:color w:val="000000" w:themeColor="text1"/>
                <w:sz w:val="24"/>
                <w:szCs w:val="24"/>
                <w14:textFill>
                  <w14:solidFill>
                    <w14:schemeClr w14:val="tx1"/>
                  </w14:solidFill>
                </w14:textFill>
              </w:rPr>
              <w:t>运营期环境影响和保护措施：</w:t>
            </w:r>
          </w:p>
          <w:p w14:paraId="6BDA693C">
            <w:pPr>
              <w:keepNext/>
              <w:keepLines/>
              <w:suppressLineNumbers w:val="0"/>
              <w:spacing w:before="0" w:beforeAutospacing="0" w:after="0" w:afterAutospacing="0" w:line="360" w:lineRule="auto"/>
              <w:ind w:left="0" w:right="0"/>
              <w:textAlignment w:val="center"/>
              <w:outlineLvl w:val="2"/>
              <w:rPr>
                <w:rFonts w:hint="default" w:ascii="Times New Roman" w:hAnsi="Times New Roman" w:eastAsia="新宋体" w:cs="Times New Roman"/>
                <w:b/>
                <w:bCs/>
                <w:color w:val="000000" w:themeColor="text1"/>
                <w:sz w:val="24"/>
                <w:szCs w:val="24"/>
                <w14:textFill>
                  <w14:solidFill>
                    <w14:schemeClr w14:val="tx1"/>
                  </w14:solidFill>
                </w14:textFill>
              </w:rPr>
            </w:pPr>
            <w:r>
              <w:rPr>
                <w:rFonts w:hint="default" w:ascii="Times New Roman" w:hAnsi="Times New Roman" w:eastAsia="新宋体" w:cs="Times New Roman"/>
                <w:b/>
                <w:bCs/>
                <w:color w:val="000000" w:themeColor="text1"/>
                <w:sz w:val="24"/>
                <w:szCs w:val="24"/>
                <w:lang w:val="en-US" w:eastAsia="zh-CN"/>
                <w14:textFill>
                  <w14:solidFill>
                    <w14:schemeClr w14:val="tx1"/>
                  </w14:solidFill>
                </w14:textFill>
              </w:rPr>
              <w:t>1、</w:t>
            </w:r>
            <w:r>
              <w:rPr>
                <w:rFonts w:hint="default" w:ascii="Times New Roman" w:hAnsi="Times New Roman" w:eastAsia="新宋体" w:cs="Times New Roman"/>
                <w:b/>
                <w:bCs/>
                <w:color w:val="000000" w:themeColor="text1"/>
                <w:sz w:val="24"/>
                <w:szCs w:val="24"/>
                <w14:textFill>
                  <w14:solidFill>
                    <w14:schemeClr w14:val="tx1"/>
                  </w14:solidFill>
                </w14:textFill>
              </w:rPr>
              <w:t>废气</w:t>
            </w:r>
          </w:p>
          <w:p w14:paraId="69951A3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新宋体" w:cs="Times New Roman"/>
                <w:b/>
                <w:bCs w:val="0"/>
                <w:color w:val="000000" w:themeColor="text1"/>
                <w:spacing w:val="0"/>
                <w:sz w:val="24"/>
                <w:highlight w:val="none"/>
                <w:lang w:val="en-US" w:eastAsia="zh-CN"/>
                <w14:textFill>
                  <w14:solidFill>
                    <w14:schemeClr w14:val="tx1"/>
                  </w14:solidFill>
                </w14:textFill>
              </w:rPr>
            </w:pPr>
            <w:r>
              <w:rPr>
                <w:rFonts w:hint="eastAsia" w:eastAsia="新宋体" w:cs="Times New Roman"/>
                <w:b/>
                <w:bCs w:val="0"/>
                <w:color w:val="000000" w:themeColor="text1"/>
                <w:spacing w:val="0"/>
                <w:sz w:val="24"/>
                <w:highlight w:val="none"/>
                <w:lang w:val="en-US" w:eastAsia="zh-CN"/>
                <w14:textFill>
                  <w14:solidFill>
                    <w14:schemeClr w14:val="tx1"/>
                  </w14:solidFill>
                </w14:textFill>
              </w:rPr>
              <w:t>1.1废气源强计算</w:t>
            </w:r>
          </w:p>
          <w:p w14:paraId="727E2197">
            <w:pPr>
              <w:pStyle w:val="84"/>
              <w:spacing w:line="219" w:lineRule="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（1）运输扬尘</w:t>
            </w:r>
          </w:p>
          <w:p w14:paraId="033AD34B">
            <w:pPr>
              <w:pStyle w:val="84"/>
              <w:keepNext w:val="0"/>
              <w:keepLines w:val="0"/>
              <w:pageBreakBefore w:val="0"/>
              <w:widowControl w:val="0"/>
              <w:kinsoku/>
              <w:wordWrap/>
              <w:overflowPunct/>
              <w:topLinePunct w:val="0"/>
              <w:autoSpaceDE/>
              <w:autoSpaceDN/>
              <w:bidi w:val="0"/>
              <w:spacing w:line="360" w:lineRule="auto"/>
              <w:ind w:left="0" w:right="0"/>
              <w:jc w:val="both"/>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本项目主要运输工具为汽车，在运输过程中不可避免产生少量扬尘，当天气条件不利时（如大风），扬尘现象会较严重。</w:t>
            </w:r>
          </w:p>
          <w:p w14:paraId="306E69F3">
            <w:pPr>
              <w:pStyle w:val="84"/>
              <w:keepNext w:val="0"/>
              <w:keepLines w:val="0"/>
              <w:pageBreakBefore w:val="0"/>
              <w:widowControl w:val="0"/>
              <w:kinsoku/>
              <w:wordWrap/>
              <w:overflowPunct/>
              <w:topLinePunct w:val="0"/>
              <w:autoSpaceDE/>
              <w:autoSpaceDN/>
              <w:bidi w:val="0"/>
              <w:spacing w:line="360" w:lineRule="auto"/>
              <w:ind w:left="0" w:right="0"/>
              <w:jc w:val="both"/>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本项目选取《汽车道路扬尘规律研究》中的经验公式进行计算，公式如下：</w:t>
            </w:r>
          </w:p>
          <w:p w14:paraId="2FF8F609">
            <w:pPr>
              <w:pStyle w:val="84"/>
              <w:keepNext w:val="0"/>
              <w:keepLines w:val="0"/>
              <w:pageBreakBefore w:val="0"/>
              <w:widowControl w:val="0"/>
              <w:kinsoku/>
              <w:wordWrap/>
              <w:overflowPunct/>
              <w:topLinePunct w:val="0"/>
              <w:autoSpaceDE/>
              <w:autoSpaceDN/>
              <w:bidi w:val="0"/>
              <w:spacing w:line="360" w:lineRule="auto"/>
              <w:ind w:left="0" w:leftChars="0" w:right="0" w:firstLine="0" w:firstLineChars="0"/>
              <w:jc w:val="center"/>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drawing>
                <wp:inline distT="0" distB="0" distL="114300" distR="114300">
                  <wp:extent cx="2463800" cy="575310"/>
                  <wp:effectExtent l="0" t="0" r="12700" b="1524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7"/>
                          <a:stretch>
                            <a:fillRect/>
                          </a:stretch>
                        </pic:blipFill>
                        <pic:spPr>
                          <a:xfrm>
                            <a:off x="0" y="0"/>
                            <a:ext cx="2463800" cy="575310"/>
                          </a:xfrm>
                          <a:prstGeom prst="rect">
                            <a:avLst/>
                          </a:prstGeom>
                          <a:noFill/>
                          <a:ln>
                            <a:noFill/>
                          </a:ln>
                        </pic:spPr>
                      </pic:pic>
                    </a:graphicData>
                  </a:graphic>
                </wp:inline>
              </w:drawing>
            </w:r>
          </w:p>
          <w:p w14:paraId="07C6E610">
            <w:pPr>
              <w:pStyle w:val="84"/>
              <w:keepNext w:val="0"/>
              <w:keepLines w:val="0"/>
              <w:pageBreakBefore w:val="0"/>
              <w:widowControl w:val="0"/>
              <w:kinsoku/>
              <w:wordWrap/>
              <w:overflowPunct/>
              <w:topLinePunct w:val="0"/>
              <w:autoSpaceDE/>
              <w:autoSpaceDN/>
              <w:bidi w:val="0"/>
              <w:spacing w:line="360" w:lineRule="auto"/>
              <w:ind w:left="0" w:right="0"/>
              <w:jc w:val="both"/>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式中：Q</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汽车行驶的起尘量，（kg/km·辆）；</w:t>
            </w:r>
          </w:p>
          <w:p w14:paraId="1F768C02">
            <w:pPr>
              <w:pStyle w:val="84"/>
              <w:keepNext w:val="0"/>
              <w:keepLines w:val="0"/>
              <w:pageBreakBefore w:val="0"/>
              <w:widowControl w:val="0"/>
              <w:kinsoku/>
              <w:wordWrap/>
              <w:overflowPunct/>
              <w:topLinePunct w:val="0"/>
              <w:autoSpaceDE/>
              <w:autoSpaceDN/>
              <w:bidi w:val="0"/>
              <w:spacing w:line="360" w:lineRule="auto"/>
              <w:ind w:left="0" w:right="0"/>
              <w:jc w:val="both"/>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V</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汽车行驶速度，km/h，</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场内限速5</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km/h；</w:t>
            </w:r>
          </w:p>
          <w:p w14:paraId="1F00C29F">
            <w:pPr>
              <w:pStyle w:val="84"/>
              <w:keepNext w:val="0"/>
              <w:keepLines w:val="0"/>
              <w:pageBreakBefore w:val="0"/>
              <w:widowControl w:val="0"/>
              <w:kinsoku/>
              <w:wordWrap/>
              <w:overflowPunct/>
              <w:topLinePunct w:val="0"/>
              <w:autoSpaceDE/>
              <w:autoSpaceDN/>
              <w:bidi w:val="0"/>
              <w:spacing w:line="360" w:lineRule="auto"/>
              <w:ind w:left="0" w:right="0"/>
              <w:jc w:val="both"/>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W—汽车载重量（t/辆），取</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30</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t/辆；</w:t>
            </w:r>
          </w:p>
          <w:p w14:paraId="5F873F4B">
            <w:pPr>
              <w:pStyle w:val="84"/>
              <w:keepNext w:val="0"/>
              <w:keepLines w:val="0"/>
              <w:pageBreakBefore w:val="0"/>
              <w:widowControl w:val="0"/>
              <w:kinsoku/>
              <w:wordWrap/>
              <w:overflowPunct/>
              <w:topLinePunct w:val="0"/>
              <w:autoSpaceDE/>
              <w:autoSpaceDN/>
              <w:bidi w:val="0"/>
              <w:spacing w:line="360" w:lineRule="auto"/>
              <w:ind w:left="0" w:right="0"/>
              <w:jc w:val="both"/>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P—道路表面物料量kg/m</w:t>
            </w:r>
            <w:r>
              <w:rPr>
                <w:rFonts w:hint="default" w:ascii="Times New Roman" w:hAnsi="Times New Roman" w:eastAsia="新宋体" w:cs="Times New Roman"/>
                <w:color w:val="000000" w:themeColor="text1"/>
                <w:kern w:val="0"/>
                <w:sz w:val="24"/>
                <w:szCs w:val="24"/>
                <w:vertAlign w:val="superscript"/>
                <w:lang w:val="en-US" w:eastAsia="zh-CN" w:bidi="ar"/>
                <w14:textFill>
                  <w14:solidFill>
                    <w14:schemeClr w14:val="tx1"/>
                  </w14:solidFill>
                </w14:textFill>
              </w:rPr>
              <w:t>2</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，0.05</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0.1kg/m</w:t>
            </w:r>
            <w:r>
              <w:rPr>
                <w:rFonts w:hint="default" w:ascii="Times New Roman" w:hAnsi="Times New Roman" w:eastAsia="新宋体" w:cs="Times New Roman"/>
                <w:color w:val="000000" w:themeColor="text1"/>
                <w:kern w:val="0"/>
                <w:sz w:val="24"/>
                <w:szCs w:val="24"/>
                <w:vertAlign w:val="superscript"/>
                <w:lang w:val="en-US" w:eastAsia="zh-CN" w:bidi="ar"/>
                <w14:textFill>
                  <w14:solidFill>
                    <w14:schemeClr w14:val="tx1"/>
                  </w14:solidFill>
                </w14:textFill>
              </w:rPr>
              <w:t>2</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环评设计</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取</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最大值</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0.1kg/m</w:t>
            </w:r>
            <w:r>
              <w:rPr>
                <w:rFonts w:hint="default" w:ascii="Times New Roman" w:hAnsi="Times New Roman" w:eastAsia="新宋体" w:cs="Times New Roman"/>
                <w:color w:val="000000" w:themeColor="text1"/>
                <w:kern w:val="0"/>
                <w:sz w:val="24"/>
                <w:szCs w:val="24"/>
                <w:vertAlign w:val="superscript"/>
                <w:lang w:val="en-US" w:eastAsia="zh-CN" w:bidi="ar"/>
                <w14:textFill>
                  <w14:solidFill>
                    <w14:schemeClr w14:val="tx1"/>
                  </w14:solidFill>
                </w14:textFill>
              </w:rPr>
              <w:t>2</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w:t>
            </w:r>
          </w:p>
          <w:p w14:paraId="0982BDA6">
            <w:pPr>
              <w:pStyle w:val="84"/>
              <w:keepNext w:val="0"/>
              <w:keepLines w:val="0"/>
              <w:pageBreakBefore w:val="0"/>
              <w:widowControl w:val="0"/>
              <w:kinsoku/>
              <w:wordWrap/>
              <w:overflowPunct/>
              <w:topLinePunct w:val="0"/>
              <w:autoSpaceDE/>
              <w:autoSpaceDN/>
              <w:bidi w:val="0"/>
              <w:spacing w:line="360" w:lineRule="auto"/>
              <w:ind w:left="0" w:right="0" w:firstLine="480"/>
              <w:jc w:val="both"/>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采用上述公式，运输采用</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2</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辆</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30-40</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t载重的自卸汽车，每辆车每天往返</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2</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次，项目区内运输单趟往返路程取0.1</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6</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km，每辆汽车每公里扬尘量Q为0.1</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36</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kg/km·辆，运输扬尘总量为0</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.272kg</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d（57.12kg/a）</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，产生速率为0.0</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34</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kg/h。对车辆出厂时进行清洗，运输过程中采取加盖篷布、控制装载量、限速措施后，本项目场区在除雨天均进行2次以上洒水降尘，使地面尘土的含水达到</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8%～10%</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w:t>
            </w:r>
          </w:p>
          <w:p w14:paraId="665CAA77">
            <w:pPr>
              <w:pStyle w:val="84"/>
              <w:keepNext w:val="0"/>
              <w:keepLines w:val="0"/>
              <w:pageBreakBefore w:val="0"/>
              <w:widowControl w:val="0"/>
              <w:kinsoku/>
              <w:wordWrap/>
              <w:overflowPunct/>
              <w:topLinePunct w:val="0"/>
              <w:autoSpaceDE/>
              <w:autoSpaceDN/>
              <w:bidi w:val="0"/>
              <w:spacing w:line="360" w:lineRule="auto"/>
              <w:ind w:left="0" w:right="0" w:firstLine="506"/>
              <w:jc w:val="both"/>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由于扬尘粒径较大，90%以上的扬尘在道路两侧10m内沉降，道路扬尘主要影响其两侧附近的环境空气，以其10%外排计算，则扬尘排放量约0</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.0272kg</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d（5.712kg/a）且场内绿化，道路扬尘对外环境影响较小</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w:t>
            </w:r>
          </w:p>
          <w:p w14:paraId="513C4224">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（2）汽车装卸扬尘</w:t>
            </w:r>
          </w:p>
          <w:p w14:paraId="67101B33">
            <w:pPr>
              <w:pStyle w:val="84"/>
              <w:keepNext w:val="0"/>
              <w:keepLines w:val="0"/>
              <w:pageBreakBefore w:val="0"/>
              <w:widowControl w:val="0"/>
              <w:kinsoku/>
              <w:wordWrap/>
              <w:overflowPunct/>
              <w:topLinePunct w:val="0"/>
              <w:autoSpaceDE/>
              <w:autoSpaceDN/>
              <w:bidi w:val="0"/>
              <w:spacing w:line="360" w:lineRule="auto"/>
              <w:ind w:left="0" w:right="0"/>
              <w:jc w:val="both"/>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A.密闭车间卸料</w:t>
            </w:r>
          </w:p>
          <w:p w14:paraId="75326192">
            <w:pPr>
              <w:pStyle w:val="84"/>
              <w:keepNext w:val="0"/>
              <w:keepLines w:val="0"/>
              <w:pageBreakBefore w:val="0"/>
              <w:widowControl w:val="0"/>
              <w:kinsoku/>
              <w:wordWrap/>
              <w:overflowPunct/>
              <w:topLinePunct w:val="0"/>
              <w:autoSpaceDE/>
              <w:autoSpaceDN/>
              <w:bidi w:val="0"/>
              <w:spacing w:line="360" w:lineRule="auto"/>
              <w:ind w:left="0" w:right="0"/>
              <w:jc w:val="both"/>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本项目汽车拉运原辅材料至项目区</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密闭原料车间</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装卸过程中会产生扬尘，项目原辅材料为委托运输，原辅材料进入存储区域倾倒入堆料场，装卸过程中更易形成扬尘，其起尘量与装卸高度H、砂含水量W，风速V等有关，堆场装卸过程的主要环节是汽车装卸及物料输送。</w:t>
            </w:r>
          </w:p>
          <w:p w14:paraId="0B07AD78">
            <w:pPr>
              <w:pStyle w:val="84"/>
              <w:keepNext w:val="0"/>
              <w:keepLines w:val="0"/>
              <w:pageBreakBefore w:val="0"/>
              <w:widowControl w:val="0"/>
              <w:kinsoku/>
              <w:wordWrap/>
              <w:overflowPunct/>
              <w:topLinePunct w:val="0"/>
              <w:autoSpaceDE/>
              <w:autoSpaceDN/>
              <w:bidi w:val="0"/>
              <w:spacing w:line="360" w:lineRule="auto"/>
              <w:ind w:left="0" w:right="0"/>
              <w:jc w:val="both"/>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本环评根据秦皇岛码头装卸起尘量计算公式来计算装卸粉尘的产生：</w:t>
            </w:r>
          </w:p>
          <w:p w14:paraId="1ED53326">
            <w:pPr>
              <w:keepNext w:val="0"/>
              <w:keepLines w:val="0"/>
              <w:widowControl/>
              <w:suppressLineNumbers w:val="0"/>
              <w:ind w:left="0" w:leftChars="0" w:firstLine="0" w:firstLineChars="0"/>
              <w:jc w:val="center"/>
              <w:rPr>
                <w:rFonts w:hint="eastAsia" w:ascii="宋体" w:hAnsi="宋体" w:eastAsia="宋体" w:cs="宋体"/>
                <w:color w:val="000000"/>
                <w:kern w:val="0"/>
                <w:sz w:val="24"/>
                <w:szCs w:val="24"/>
                <w:lang w:val="en-US" w:eastAsia="zh-CN" w:bidi="ar"/>
              </w:rPr>
            </w:pPr>
            <w:r>
              <w:drawing>
                <wp:inline distT="0" distB="0" distL="114300" distR="114300">
                  <wp:extent cx="2171700" cy="302895"/>
                  <wp:effectExtent l="0" t="0" r="0" b="19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8"/>
                          <a:stretch>
                            <a:fillRect/>
                          </a:stretch>
                        </pic:blipFill>
                        <pic:spPr>
                          <a:xfrm>
                            <a:off x="0" y="0"/>
                            <a:ext cx="2171700" cy="302895"/>
                          </a:xfrm>
                          <a:prstGeom prst="rect">
                            <a:avLst/>
                          </a:prstGeom>
                          <a:noFill/>
                          <a:ln>
                            <a:noFill/>
                          </a:ln>
                        </pic:spPr>
                      </pic:pic>
                    </a:graphicData>
                  </a:graphic>
                </wp:inline>
              </w:drawing>
            </w:r>
          </w:p>
          <w:p w14:paraId="771DF780">
            <w:pPr>
              <w:keepNext w:val="0"/>
              <w:keepLines w:val="0"/>
              <w:widowControl/>
              <w:suppressLineNumbers w:val="0"/>
              <w:jc w:val="left"/>
            </w:pPr>
            <w:r>
              <w:rPr>
                <w:rFonts w:hint="eastAsia" w:ascii="宋体" w:hAnsi="宋体" w:eastAsia="宋体" w:cs="宋体"/>
                <w:color w:val="000000"/>
                <w:kern w:val="0"/>
                <w:sz w:val="24"/>
                <w:szCs w:val="24"/>
                <w:lang w:val="en-US" w:eastAsia="zh-CN" w:bidi="ar"/>
              </w:rPr>
              <w:t>其中：</w:t>
            </w:r>
            <w:r>
              <w:rPr>
                <w:rFonts w:hint="default" w:ascii="Times New Roman" w:hAnsi="Times New Roman" w:eastAsia="宋体" w:cs="Times New Roman"/>
                <w:color w:val="000000"/>
                <w:kern w:val="0"/>
                <w:sz w:val="24"/>
                <w:szCs w:val="24"/>
                <w:lang w:val="en-US" w:eastAsia="zh-CN" w:bidi="ar"/>
              </w:rPr>
              <w:t>Q</w:t>
            </w:r>
            <w:r>
              <w:rPr>
                <w:rFonts w:hint="eastAsia" w:ascii="宋体" w:hAnsi="宋体" w:eastAsia="宋体" w:cs="宋体"/>
                <w:color w:val="000000"/>
                <w:kern w:val="0"/>
                <w:sz w:val="24"/>
                <w:szCs w:val="24"/>
                <w:lang w:val="en-US" w:eastAsia="zh-CN" w:bidi="ar"/>
              </w:rPr>
              <w:t>-物料起尘量，</w:t>
            </w:r>
            <w:r>
              <w:rPr>
                <w:rFonts w:hint="default" w:ascii="Times New Roman" w:hAnsi="Times New Roman" w:eastAsia="宋体" w:cs="Times New Roman"/>
                <w:color w:val="000000"/>
                <w:kern w:val="0"/>
                <w:sz w:val="24"/>
                <w:szCs w:val="24"/>
                <w:lang w:val="en-US" w:eastAsia="zh-CN" w:bidi="ar"/>
              </w:rPr>
              <w:t>mg/s</w:t>
            </w:r>
            <w:r>
              <w:rPr>
                <w:rFonts w:hint="eastAsia" w:ascii="Times New Roman" w:hAnsi="Times New Roman" w:eastAsia="宋体" w:cs="Times New Roman"/>
                <w:color w:val="000000"/>
                <w:kern w:val="0"/>
                <w:sz w:val="24"/>
                <w:szCs w:val="24"/>
                <w:lang w:val="en-US" w:eastAsia="zh-CN" w:bidi="ar"/>
              </w:rPr>
              <w:t>；</w:t>
            </w:r>
          </w:p>
          <w:p w14:paraId="4DB09A33">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H</w:t>
            </w:r>
            <w:r>
              <w:rPr>
                <w:rFonts w:hint="eastAsia" w:ascii="宋体" w:hAnsi="宋体" w:eastAsia="宋体" w:cs="宋体"/>
                <w:color w:val="000000"/>
                <w:kern w:val="0"/>
                <w:sz w:val="24"/>
                <w:szCs w:val="24"/>
                <w:lang w:val="en-US" w:eastAsia="zh-CN" w:bidi="ar"/>
              </w:rPr>
              <w:t>-物料落差，</w:t>
            </w:r>
            <w:r>
              <w:rPr>
                <w:rFonts w:hint="default" w:ascii="Times New Roman" w:hAnsi="Times New Roman" w:eastAsia="宋体" w:cs="Times New Roman"/>
                <w:color w:val="000000"/>
                <w:kern w:val="0"/>
                <w:sz w:val="24"/>
                <w:szCs w:val="24"/>
                <w:lang w:val="en-US" w:eastAsia="zh-CN" w:bidi="ar"/>
              </w:rPr>
              <w:t>m</w:t>
            </w:r>
            <w:r>
              <w:rPr>
                <w:rFonts w:hint="eastAsia" w:ascii="宋体" w:hAnsi="宋体" w:eastAsia="宋体" w:cs="宋体"/>
                <w:color w:val="000000"/>
                <w:kern w:val="0"/>
                <w:sz w:val="24"/>
                <w:szCs w:val="24"/>
                <w:lang w:val="en-US" w:eastAsia="zh-CN" w:bidi="ar"/>
              </w:rPr>
              <w:t>，根据本项目工艺特点，本评价取值为</w:t>
            </w:r>
            <w:r>
              <w:rPr>
                <w:rFonts w:hint="default" w:ascii="Times New Roman" w:hAnsi="Times New Roman" w:eastAsia="宋体" w:cs="Times New Roman"/>
                <w:color w:val="000000"/>
                <w:kern w:val="0"/>
                <w:sz w:val="24"/>
                <w:szCs w:val="24"/>
                <w:lang w:val="en-US" w:eastAsia="zh-CN" w:bidi="ar"/>
              </w:rPr>
              <w:t>1.5</w:t>
            </w:r>
            <w:r>
              <w:rPr>
                <w:rFonts w:hint="eastAsia" w:ascii="Times New Roman" w:hAnsi="Times New Roman" w:eastAsia="宋体" w:cs="Times New Roman"/>
                <w:color w:val="000000"/>
                <w:kern w:val="0"/>
                <w:sz w:val="24"/>
                <w:szCs w:val="24"/>
                <w:lang w:val="en-US" w:eastAsia="zh-CN" w:bidi="ar"/>
              </w:rPr>
              <w:t>；</w:t>
            </w:r>
          </w:p>
          <w:p w14:paraId="64347B30">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U</w:t>
            </w:r>
            <w:r>
              <w:rPr>
                <w:rFonts w:hint="eastAsia"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气象平均风速，</w:t>
            </w:r>
            <w:r>
              <w:rPr>
                <w:rFonts w:hint="default" w:ascii="Times New Roman" w:hAnsi="Times New Roman" w:eastAsia="宋体" w:cs="Times New Roman"/>
                <w:color w:val="000000"/>
                <w:kern w:val="0"/>
                <w:sz w:val="24"/>
                <w:szCs w:val="24"/>
                <w:lang w:val="en-US" w:eastAsia="zh-CN" w:bidi="ar"/>
              </w:rPr>
              <w:t>m/s</w:t>
            </w:r>
            <w:r>
              <w:rPr>
                <w:rFonts w:hint="eastAsia" w:ascii="宋体" w:hAnsi="宋体" w:eastAsia="宋体" w:cs="宋体"/>
                <w:color w:val="000000"/>
                <w:kern w:val="0"/>
                <w:sz w:val="24"/>
                <w:szCs w:val="24"/>
                <w:lang w:val="en-US" w:eastAsia="zh-CN" w:bidi="ar"/>
              </w:rPr>
              <w:t>，采取封闭措施，风速为</w:t>
            </w:r>
            <w:r>
              <w:rPr>
                <w:rFonts w:hint="default" w:ascii="Times New Roman" w:hAnsi="Times New Roman" w:eastAsia="宋体" w:cs="Times New Roman"/>
                <w:color w:val="000000"/>
                <w:kern w:val="0"/>
                <w:sz w:val="24"/>
                <w:szCs w:val="24"/>
                <w:lang w:val="en-US" w:eastAsia="zh-CN" w:bidi="ar"/>
              </w:rPr>
              <w:t>0.2m/s</w:t>
            </w:r>
            <w:r>
              <w:rPr>
                <w:rFonts w:hint="eastAsia" w:ascii="Times New Roman" w:hAnsi="Times New Roman" w:eastAsia="宋体" w:cs="Times New Roman"/>
                <w:color w:val="000000"/>
                <w:kern w:val="0"/>
                <w:sz w:val="24"/>
                <w:szCs w:val="24"/>
                <w:lang w:val="en-US" w:eastAsia="zh-CN" w:bidi="ar"/>
              </w:rPr>
              <w:t>；</w:t>
            </w:r>
          </w:p>
          <w:p w14:paraId="30B62B12">
            <w:pPr>
              <w:keepNext w:val="0"/>
              <w:keepLines w:val="0"/>
              <w:widowControl/>
              <w:suppressLineNumbers w:val="0"/>
              <w:jc w:val="left"/>
              <w:rPr>
                <w:rFonts w:hint="eastAsia" w:eastAsia="宋体"/>
                <w:lang w:eastAsia="zh-CN"/>
              </w:rPr>
            </w:pPr>
            <w:r>
              <w:rPr>
                <w:rFonts w:hint="default" w:ascii="Times New Roman" w:hAnsi="Times New Roman" w:eastAsia="宋体" w:cs="Times New Roman"/>
                <w:color w:val="000000"/>
                <w:kern w:val="0"/>
                <w:sz w:val="24"/>
                <w:szCs w:val="24"/>
                <w:lang w:val="en-US" w:eastAsia="zh-CN" w:bidi="ar"/>
              </w:rPr>
              <w:t>W</w:t>
            </w:r>
            <w:r>
              <w:rPr>
                <w:rFonts w:hint="eastAsia" w:ascii="宋体" w:hAnsi="宋体" w:eastAsia="宋体" w:cs="宋体"/>
                <w:color w:val="000000"/>
                <w:kern w:val="0"/>
                <w:sz w:val="24"/>
                <w:szCs w:val="24"/>
                <w:lang w:val="en-US" w:eastAsia="zh-CN" w:bidi="ar"/>
              </w:rPr>
              <w:t>-物料含水率，</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，本次取</w:t>
            </w:r>
            <w:r>
              <w:rPr>
                <w:rFonts w:hint="default" w:ascii="Times New Roman" w:hAnsi="Times New Roman" w:eastAsia="宋体" w:cs="Times New Roman"/>
                <w:color w:val="000000"/>
                <w:kern w:val="0"/>
                <w:sz w:val="24"/>
                <w:szCs w:val="24"/>
                <w:lang w:val="en-US" w:eastAsia="zh-CN" w:bidi="ar"/>
              </w:rPr>
              <w:t>3%</w:t>
            </w:r>
            <w:r>
              <w:rPr>
                <w:rFonts w:hint="eastAsia" w:eastAsia="宋体"/>
                <w:lang w:eastAsia="zh-CN"/>
              </w:rPr>
              <w:t>；</w:t>
            </w:r>
          </w:p>
          <w:p w14:paraId="12542AF2">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根据以上计算公式可见，</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物料装卸过程中产尘量为14mg/s，成品密封包装原料装卸工作间歇性工作45min，总产尘量7.938kg/a。</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装卸起尘量和环境风速、含水率、控制措施等条件有关，同时装卸量大小也影响装卸总的起尘。</w:t>
            </w:r>
          </w:p>
          <w:p w14:paraId="127A5F7B">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eastAsia" w:eastAsia="新宋体" w:cs="Times New Roman"/>
                <w:color w:val="000000" w:themeColor="text1"/>
                <w:kern w:val="0"/>
                <w:sz w:val="24"/>
                <w:szCs w:val="24"/>
                <w:lang w:val="en-US" w:eastAsia="zh-CN" w:bidi="ar"/>
                <w14:textFill>
                  <w14:solidFill>
                    <w14:schemeClr w14:val="tx1"/>
                  </w14:solidFill>
                </w14:textFill>
              </w:rPr>
              <w:t>采取上述措施后</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抑尘率约按</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70</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%计，则粉尘排放量为</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2.3814kg</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/a，排放速率为</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0.0</w:t>
            </w:r>
            <w:r>
              <w:rPr>
                <w:rFonts w:hint="eastAsia" w:eastAsia="新宋体" w:cs="Times New Roman"/>
                <w:color w:val="000000" w:themeColor="text1"/>
                <w:kern w:val="0"/>
                <w:sz w:val="24"/>
                <w:szCs w:val="24"/>
                <w:lang w:val="en-US" w:eastAsia="zh-CN" w:bidi="ar"/>
                <w14:textFill>
                  <w14:solidFill>
                    <w14:schemeClr w14:val="tx1"/>
                  </w14:solidFill>
                </w14:textFill>
              </w:rPr>
              <w:t>15</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kg/h</w:t>
            </w:r>
            <w:r>
              <w:rPr>
                <w:rFonts w:hint="eastAsia" w:eastAsia="新宋体" w:cs="Times New Roman"/>
                <w:color w:val="000000" w:themeColor="text1"/>
                <w:kern w:val="0"/>
                <w:sz w:val="24"/>
                <w:szCs w:val="24"/>
                <w:lang w:val="en-US" w:eastAsia="zh-CN" w:bidi="ar"/>
                <w14:textFill>
                  <w14:solidFill>
                    <w14:schemeClr w14:val="tx1"/>
                  </w14:solidFill>
                </w14:textFill>
              </w:rPr>
              <w:t>。</w:t>
            </w:r>
          </w:p>
          <w:p w14:paraId="459CD56B">
            <w:pPr>
              <w:pStyle w:val="84"/>
              <w:keepNext w:val="0"/>
              <w:keepLines w:val="0"/>
              <w:pageBreakBefore w:val="0"/>
              <w:widowControl w:val="0"/>
              <w:kinsoku/>
              <w:wordWrap/>
              <w:overflowPunct/>
              <w:topLinePunct w:val="0"/>
              <w:autoSpaceDE/>
              <w:autoSpaceDN/>
              <w:bidi w:val="0"/>
              <w:spacing w:line="360" w:lineRule="auto"/>
              <w:ind w:left="0" w:right="0"/>
              <w:jc w:val="both"/>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B.露天石子堆场卸料</w:t>
            </w:r>
          </w:p>
          <w:p w14:paraId="797679CC">
            <w:pPr>
              <w:pStyle w:val="84"/>
              <w:keepNext w:val="0"/>
              <w:keepLines w:val="0"/>
              <w:pageBreakBefore w:val="0"/>
              <w:widowControl w:val="0"/>
              <w:kinsoku/>
              <w:wordWrap/>
              <w:overflowPunct/>
              <w:topLinePunct w:val="0"/>
              <w:autoSpaceDE/>
              <w:autoSpaceDN/>
              <w:bidi w:val="0"/>
              <w:spacing w:line="360" w:lineRule="auto"/>
              <w:ind w:left="0" w:right="0"/>
              <w:jc w:val="both"/>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石子卸料在露天过程，参照</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《逸散性工业粉尘控制技术》，采用自卸卡车卸料时，颗粒物产生系数0.01kg/t卸料。项目卸料粉尘主要源于石</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子</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卸料过程，</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年有效工作时间30h，石子年装卸</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总计</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48</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00t/a，则粉尘产生量为</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0.048</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t/a。</w:t>
            </w:r>
          </w:p>
          <w:p w14:paraId="3F1F9150">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eastAsia="新宋体" w:cs="Times New Roman"/>
                <w:color w:val="000000" w:themeColor="text1"/>
                <w:kern w:val="0"/>
                <w:sz w:val="24"/>
                <w:szCs w:val="24"/>
                <w:lang w:val="en-US" w:eastAsia="zh-CN" w:bidi="ar"/>
                <w14:textFill>
                  <w14:solidFill>
                    <w14:schemeClr w14:val="tx1"/>
                  </w14:solidFill>
                </w14:textFill>
              </w:rPr>
            </w:pPr>
            <w:r>
              <w:rPr>
                <w:rFonts w:hint="eastAsia" w:eastAsia="新宋体" w:cs="Times New Roman"/>
                <w:color w:val="000000" w:themeColor="text1"/>
                <w:kern w:val="0"/>
                <w:sz w:val="24"/>
                <w:szCs w:val="24"/>
                <w:lang w:val="en-US" w:eastAsia="zh-CN" w:bidi="ar"/>
                <w14:textFill>
                  <w14:solidFill>
                    <w14:schemeClr w14:val="tx1"/>
                  </w14:solidFill>
                </w14:textFill>
              </w:rPr>
              <w:t>装卸石子过程在车辆装载斗洒水降尘并安装落差罩式降尘装备，抑尘率约50%，</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则粉尘排放量为</w:t>
            </w:r>
            <w:r>
              <w:rPr>
                <w:rFonts w:hint="eastAsia" w:eastAsia="新宋体" w:cs="Times New Roman"/>
                <w:color w:val="000000" w:themeColor="text1"/>
                <w:kern w:val="0"/>
                <w:sz w:val="24"/>
                <w:szCs w:val="24"/>
                <w:lang w:val="en-US" w:eastAsia="zh-CN" w:bidi="ar"/>
                <w14:textFill>
                  <w14:solidFill>
                    <w14:schemeClr w14:val="tx1"/>
                  </w14:solidFill>
                </w14:textFill>
              </w:rPr>
              <w:t>0.024t</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/a，排放速率为</w:t>
            </w:r>
            <w:r>
              <w:rPr>
                <w:rFonts w:hint="eastAsia" w:eastAsia="新宋体" w:cs="Times New Roman"/>
                <w:color w:val="000000" w:themeColor="text1"/>
                <w:kern w:val="0"/>
                <w:sz w:val="24"/>
                <w:szCs w:val="24"/>
                <w:lang w:val="en-US" w:eastAsia="zh-CN" w:bidi="ar"/>
                <w14:textFill>
                  <w14:solidFill>
                    <w14:schemeClr w14:val="tx1"/>
                  </w14:solidFill>
                </w14:textFill>
              </w:rPr>
              <w:t>0.8</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kg/h</w:t>
            </w:r>
            <w:r>
              <w:rPr>
                <w:rFonts w:hint="eastAsia" w:eastAsia="新宋体" w:cs="Times New Roman"/>
                <w:color w:val="000000" w:themeColor="text1"/>
                <w:kern w:val="0"/>
                <w:sz w:val="24"/>
                <w:szCs w:val="24"/>
                <w:lang w:val="en-US" w:eastAsia="zh-CN" w:bidi="ar"/>
                <w14:textFill>
                  <w14:solidFill>
                    <w14:schemeClr w14:val="tx1"/>
                  </w14:solidFill>
                </w14:textFill>
              </w:rPr>
              <w:t>。</w:t>
            </w:r>
          </w:p>
          <w:p w14:paraId="298DBA5D">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textAlignment w:val="auto"/>
              <w:rPr>
                <w:rFonts w:hint="eastAsia" w:eastAsia="新宋体" w:cs="Times New Roman"/>
                <w:color w:val="000000" w:themeColor="text1"/>
                <w:kern w:val="0"/>
                <w:sz w:val="24"/>
                <w:szCs w:val="24"/>
                <w:lang w:val="en-US" w:eastAsia="zh-CN" w:bidi="ar"/>
                <w14:textFill>
                  <w14:solidFill>
                    <w14:schemeClr w14:val="tx1"/>
                  </w14:solidFill>
                </w14:textFill>
              </w:rPr>
            </w:pPr>
            <w:r>
              <w:rPr>
                <w:rFonts w:hint="eastAsia" w:eastAsia="新宋体" w:cs="Times New Roman"/>
                <w:color w:val="000000" w:themeColor="text1"/>
                <w:kern w:val="0"/>
                <w:sz w:val="24"/>
                <w:szCs w:val="24"/>
                <w:lang w:val="en-US" w:eastAsia="zh-CN" w:bidi="ar"/>
                <w14:textFill>
                  <w14:solidFill>
                    <w14:schemeClr w14:val="tx1"/>
                  </w14:solidFill>
                </w14:textFill>
              </w:rPr>
              <w:t>环评要求：</w:t>
            </w:r>
          </w:p>
          <w:p w14:paraId="3905096E">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textAlignment w:val="auto"/>
              <w:rPr>
                <w:rFonts w:hint="eastAsia" w:eastAsia="新宋体" w:cs="Times New Roman"/>
                <w:color w:val="000000" w:themeColor="text1"/>
                <w:kern w:val="0"/>
                <w:sz w:val="24"/>
                <w:szCs w:val="24"/>
                <w:lang w:val="en-US" w:eastAsia="zh-CN" w:bidi="ar"/>
                <w14:textFill>
                  <w14:solidFill>
                    <w14:schemeClr w14:val="tx1"/>
                  </w14:solidFill>
                </w14:textFill>
              </w:rPr>
            </w:pPr>
            <w:r>
              <w:rPr>
                <w:rFonts w:hint="eastAsia" w:eastAsia="新宋体" w:cs="Times New Roman"/>
                <w:color w:val="000000" w:themeColor="text1"/>
                <w:kern w:val="0"/>
                <w:sz w:val="24"/>
                <w:szCs w:val="24"/>
                <w:lang w:val="en-US" w:eastAsia="zh-CN" w:bidi="ar"/>
                <w14:textFill>
                  <w14:solidFill>
                    <w14:schemeClr w14:val="tx1"/>
                  </w14:solidFill>
                </w14:textFill>
              </w:rPr>
              <w:t>①对厂区内运输道路进行硬化处理，建设单位应落实安排人员对硬化道路定期进行清扫，保证地面清洁；</w:t>
            </w:r>
          </w:p>
          <w:p w14:paraId="5B704C7C">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textAlignment w:val="auto"/>
              <w:rPr>
                <w:rFonts w:hint="eastAsia" w:eastAsia="新宋体" w:cs="Times New Roman"/>
                <w:color w:val="000000" w:themeColor="text1"/>
                <w:kern w:val="0"/>
                <w:sz w:val="24"/>
                <w:szCs w:val="24"/>
                <w:lang w:val="en-US" w:eastAsia="zh-CN" w:bidi="ar"/>
                <w14:textFill>
                  <w14:solidFill>
                    <w14:schemeClr w14:val="tx1"/>
                  </w14:solidFill>
                </w14:textFill>
              </w:rPr>
            </w:pPr>
            <w:r>
              <w:rPr>
                <w:rFonts w:hint="eastAsia" w:eastAsia="新宋体" w:cs="Times New Roman"/>
                <w:color w:val="000000" w:themeColor="text1"/>
                <w:kern w:val="0"/>
                <w:sz w:val="24"/>
                <w:szCs w:val="24"/>
                <w:lang w:val="en-US" w:eastAsia="zh-CN" w:bidi="ar"/>
                <w14:textFill>
                  <w14:solidFill>
                    <w14:schemeClr w14:val="tx1"/>
                  </w14:solidFill>
                </w14:textFill>
              </w:rPr>
              <w:t>②对车辆行驶的路面每天洒水2～3次；厂区进出口设置过水池。</w:t>
            </w:r>
          </w:p>
          <w:p w14:paraId="2D549FDA">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textAlignment w:val="auto"/>
              <w:rPr>
                <w:rFonts w:hint="eastAsia" w:eastAsia="新宋体" w:cs="Times New Roman"/>
                <w:color w:val="000000" w:themeColor="text1"/>
                <w:kern w:val="0"/>
                <w:sz w:val="24"/>
                <w:szCs w:val="24"/>
                <w:lang w:val="en-US" w:eastAsia="zh-CN" w:bidi="ar"/>
                <w14:textFill>
                  <w14:solidFill>
                    <w14:schemeClr w14:val="tx1"/>
                  </w14:solidFill>
                </w14:textFill>
              </w:rPr>
            </w:pPr>
            <w:r>
              <w:rPr>
                <w:rFonts w:hint="eastAsia" w:eastAsia="新宋体" w:cs="Times New Roman"/>
                <w:color w:val="000000" w:themeColor="text1"/>
                <w:kern w:val="0"/>
                <w:sz w:val="24"/>
                <w:szCs w:val="24"/>
                <w:lang w:val="en-US" w:eastAsia="zh-CN" w:bidi="ar"/>
                <w14:textFill>
                  <w14:solidFill>
                    <w14:schemeClr w14:val="tx1"/>
                  </w14:solidFill>
                </w14:textFill>
              </w:rPr>
              <w:t>③对车辆加盖篷布，防止运输过程中物料洒落及扬尘飘散。</w:t>
            </w:r>
          </w:p>
          <w:p w14:paraId="34DCBAFB">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eastAsia" w:eastAsia="新宋体" w:cs="Times New Roman"/>
                <w:color w:val="000000" w:themeColor="text1"/>
                <w:kern w:val="0"/>
                <w:sz w:val="24"/>
                <w:szCs w:val="24"/>
                <w:lang w:val="en-US" w:eastAsia="zh-CN" w:bidi="ar"/>
                <w14:textFill>
                  <w14:solidFill>
                    <w14:schemeClr w14:val="tx1"/>
                  </w14:solidFill>
                </w14:textFill>
              </w:rPr>
              <w:t>④加强对运输车辆的管理，合理安排运输路线，尽可能避免交通扰民，运输时应合理安排运输时间，尽量错开车流量高峰期，运输车辆减速慢行，严禁超载。</w:t>
            </w:r>
          </w:p>
          <w:p w14:paraId="2BBB4ABD">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eastAsia" w:eastAsia="新宋体" w:cs="Times New Roman"/>
                <w:color w:val="000000" w:themeColor="text1"/>
                <w:kern w:val="0"/>
                <w:sz w:val="24"/>
                <w:szCs w:val="24"/>
                <w:lang w:val="en-US" w:eastAsia="zh-CN" w:bidi="ar"/>
                <w14:textFill>
                  <w14:solidFill>
                    <w14:schemeClr w14:val="tx1"/>
                  </w14:solidFill>
                </w14:textFill>
              </w:rPr>
              <w:t>⑤</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要求装卸过程</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装载机</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与汽车尽量在同一水平面上，减少落差</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要求装卸时对装卸点配套移动式喷雾炮进行洒水抑尘</w:t>
            </w:r>
          </w:p>
          <w:p w14:paraId="0CEC8B7D">
            <w:pPr>
              <w:pStyle w:val="84"/>
              <w:keepNext w:val="0"/>
              <w:keepLines w:val="0"/>
              <w:pageBreakBefore w:val="0"/>
              <w:widowControl w:val="0"/>
              <w:kinsoku/>
              <w:wordWrap/>
              <w:overflowPunct/>
              <w:topLinePunct w:val="0"/>
              <w:autoSpaceDE/>
              <w:autoSpaceDN/>
              <w:bidi w:val="0"/>
              <w:spacing w:line="360" w:lineRule="auto"/>
              <w:ind w:left="0" w:right="0"/>
              <w:jc w:val="both"/>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（3）堆场扬尘</w:t>
            </w:r>
          </w:p>
          <w:p w14:paraId="0A9BA3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①石子露天堆场</w:t>
            </w:r>
          </w:p>
          <w:p w14:paraId="55046C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石子</w:t>
            </w:r>
            <w:r>
              <w:rPr>
                <w:rFonts w:hint="default" w:ascii="Times New Roman" w:hAnsi="Times New Roman" w:cs="Times New Roman"/>
                <w:color w:val="auto"/>
                <w:sz w:val="24"/>
                <w:szCs w:val="24"/>
                <w:lang w:val="en-US" w:eastAsia="zh-CN"/>
              </w:rPr>
              <w:t>堆存过程会有扬尘产生，</w:t>
            </w:r>
            <w:r>
              <w:rPr>
                <w:rFonts w:hint="eastAsia" w:cs="Times New Roman"/>
                <w:color w:val="auto"/>
                <w:sz w:val="24"/>
                <w:szCs w:val="24"/>
                <w:lang w:val="en-US" w:eastAsia="zh-CN"/>
              </w:rPr>
              <w:t>营运期加盖防风抑尘布、表面洒水，</w:t>
            </w:r>
            <w:r>
              <w:rPr>
                <w:rFonts w:hint="default" w:ascii="Times New Roman" w:hAnsi="Times New Roman" w:cs="Times New Roman"/>
                <w:color w:val="auto"/>
                <w:sz w:val="24"/>
                <w:szCs w:val="24"/>
                <w:lang w:val="en-US" w:eastAsia="zh-CN"/>
              </w:rPr>
              <w:t>扬尘可得到很好</w:t>
            </w:r>
            <w:r>
              <w:rPr>
                <w:rFonts w:hint="eastAsia" w:cs="Times New Roman"/>
                <w:color w:val="auto"/>
                <w:sz w:val="24"/>
                <w:szCs w:val="24"/>
                <w:lang w:val="en-US" w:eastAsia="zh-CN"/>
              </w:rPr>
              <w:t>地</w:t>
            </w:r>
            <w:r>
              <w:rPr>
                <w:rFonts w:hint="default" w:ascii="Times New Roman" w:hAnsi="Times New Roman" w:cs="Times New Roman"/>
                <w:color w:val="auto"/>
                <w:sz w:val="24"/>
                <w:szCs w:val="24"/>
                <w:lang w:val="en-US" w:eastAsia="zh-CN"/>
              </w:rPr>
              <w:t>控制。堆场起尘量按经验公式计算，经验公式如下：</w:t>
            </w:r>
          </w:p>
          <w:p w14:paraId="05788B2F">
            <w:pPr>
              <w:pStyle w:val="5"/>
              <w:jc w:val="center"/>
              <w:rPr>
                <w:rFonts w:hint="default"/>
                <w:color w:val="auto"/>
                <w:sz w:val="30"/>
                <w:szCs w:val="30"/>
                <w:vertAlign w:val="baseline"/>
                <w:lang w:val="en-US" w:eastAsia="zh-CN"/>
              </w:rPr>
            </w:pPr>
            <w:r>
              <w:rPr>
                <w:rFonts w:hint="eastAsia"/>
                <w:color w:val="auto"/>
                <w:sz w:val="30"/>
                <w:szCs w:val="30"/>
                <w:lang w:val="en-US" w:eastAsia="zh-CN"/>
              </w:rPr>
              <w:t>Q=2.1G×（U-U</w:t>
            </w:r>
            <w:r>
              <w:rPr>
                <w:rFonts w:hint="eastAsia"/>
                <w:color w:val="auto"/>
                <w:sz w:val="30"/>
                <w:szCs w:val="30"/>
                <w:vertAlign w:val="subscript"/>
                <w:lang w:val="en-US" w:eastAsia="zh-CN"/>
              </w:rPr>
              <w:t>t</w:t>
            </w:r>
            <w:r>
              <w:rPr>
                <w:rFonts w:hint="eastAsia"/>
                <w:color w:val="auto"/>
                <w:sz w:val="30"/>
                <w:szCs w:val="30"/>
                <w:lang w:val="en-US" w:eastAsia="zh-CN"/>
              </w:rPr>
              <w:t>）</w:t>
            </w:r>
            <w:r>
              <w:rPr>
                <w:rFonts w:hint="eastAsia"/>
                <w:color w:val="auto"/>
                <w:sz w:val="30"/>
                <w:szCs w:val="30"/>
                <w:vertAlign w:val="superscript"/>
                <w:lang w:val="en-US" w:eastAsia="zh-CN"/>
              </w:rPr>
              <w:t>3</w:t>
            </w:r>
            <w:r>
              <w:rPr>
                <w:rFonts w:hint="eastAsia"/>
                <w:color w:val="auto"/>
                <w:sz w:val="30"/>
                <w:szCs w:val="30"/>
                <w:vertAlign w:val="baseline"/>
                <w:lang w:val="en-US" w:eastAsia="zh-CN"/>
              </w:rPr>
              <w:t>×e</w:t>
            </w:r>
            <w:r>
              <w:rPr>
                <w:rFonts w:hint="eastAsia"/>
                <w:color w:val="auto"/>
                <w:sz w:val="30"/>
                <w:szCs w:val="30"/>
                <w:vertAlign w:val="superscript"/>
                <w:lang w:val="en-US" w:eastAsia="zh-CN"/>
              </w:rPr>
              <w:t>-0.556w</w:t>
            </w:r>
            <w:r>
              <w:rPr>
                <w:rFonts w:hint="eastAsia"/>
                <w:color w:val="auto"/>
                <w:sz w:val="30"/>
                <w:szCs w:val="30"/>
                <w:vertAlign w:val="baseline"/>
                <w:lang w:val="en-US" w:eastAsia="zh-CN"/>
              </w:rPr>
              <w:t>×fi×a</w:t>
            </w:r>
          </w:p>
          <w:p w14:paraId="0CC1405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式中：</w:t>
            </w:r>
            <w:r>
              <w:rPr>
                <w:rFonts w:hint="default" w:ascii="Times New Roman" w:hAnsi="Times New Roman" w:eastAsia="宋体" w:cs="Times New Roman"/>
                <w:color w:val="auto"/>
                <w:kern w:val="0"/>
                <w:sz w:val="24"/>
                <w:szCs w:val="24"/>
                <w:lang w:val="en-US" w:eastAsia="zh-CN" w:bidi="ar"/>
              </w:rPr>
              <w:t>Q—</w:t>
            </w:r>
            <w:r>
              <w:rPr>
                <w:rFonts w:hint="eastAsia" w:cs="Times New Roman"/>
                <w:color w:val="auto"/>
                <w:kern w:val="0"/>
                <w:sz w:val="24"/>
                <w:szCs w:val="24"/>
                <w:lang w:val="en-US" w:eastAsia="zh-CN" w:bidi="ar"/>
              </w:rPr>
              <w:t>矿石</w:t>
            </w:r>
            <w:r>
              <w:rPr>
                <w:rFonts w:hint="default" w:ascii="Times New Roman" w:hAnsi="Times New Roman" w:eastAsia="宋体" w:cs="Times New Roman"/>
                <w:color w:val="auto"/>
                <w:kern w:val="0"/>
                <w:sz w:val="24"/>
                <w:szCs w:val="24"/>
                <w:lang w:val="en-US" w:eastAsia="zh-CN" w:bidi="ar"/>
              </w:rPr>
              <w:t>年起尘量，kg/a；</w:t>
            </w:r>
          </w:p>
          <w:p w14:paraId="17396A2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eastAsia" w:ascii="Times New Roman" w:hAnsi="Times New Roman" w:eastAsia="宋体" w:cs="Times New Roman"/>
                <w:color w:val="auto"/>
                <w:kern w:val="0"/>
                <w:sz w:val="24"/>
                <w:szCs w:val="24"/>
                <w:lang w:val="en-US" w:eastAsia="zh-CN" w:bidi="ar"/>
              </w:rPr>
              <w:t>a</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降雨修正系数</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项目区气候干旱，</w:t>
            </w:r>
            <w:r>
              <w:rPr>
                <w:rFonts w:hint="eastAsia" w:cs="Times New Roman"/>
                <w:color w:val="auto"/>
                <w:kern w:val="0"/>
                <w:sz w:val="24"/>
                <w:szCs w:val="24"/>
                <w:lang w:val="en-US" w:eastAsia="zh-CN" w:bidi="ar"/>
              </w:rPr>
              <w:t>和硕县</w:t>
            </w:r>
            <w:r>
              <w:rPr>
                <w:rFonts w:hint="eastAsia" w:ascii="Times New Roman" w:hAnsi="Times New Roman" w:eastAsia="宋体" w:cs="Times New Roman"/>
                <w:color w:val="auto"/>
                <w:kern w:val="0"/>
                <w:sz w:val="24"/>
                <w:szCs w:val="24"/>
                <w:lang w:val="en-US" w:eastAsia="zh-CN" w:bidi="ar"/>
              </w:rPr>
              <w:t>降雨</w:t>
            </w:r>
            <w:r>
              <w:rPr>
                <w:rFonts w:hint="default" w:ascii="Times New Roman" w:hAnsi="Times New Roman" w:eastAsia="宋体" w:cs="Times New Roman"/>
                <w:color w:val="auto"/>
                <w:kern w:val="0"/>
                <w:sz w:val="24"/>
                <w:szCs w:val="24"/>
                <w:lang w:val="en-US" w:eastAsia="zh-CN" w:bidi="ar"/>
              </w:rPr>
              <w:t>取0.9</w:t>
            </w:r>
            <w:r>
              <w:rPr>
                <w:rFonts w:hint="eastAsia" w:ascii="Times New Roman" w:hAnsi="Times New Roman" w:eastAsia="宋体" w:cs="Times New Roman"/>
                <w:color w:val="auto"/>
                <w:kern w:val="0"/>
                <w:sz w:val="24"/>
                <w:szCs w:val="24"/>
                <w:lang w:val="en-US" w:eastAsia="zh-CN" w:bidi="ar"/>
              </w:rPr>
              <w:t>8</w:t>
            </w:r>
            <w:r>
              <w:rPr>
                <w:rFonts w:hint="default" w:ascii="Times New Roman" w:hAnsi="Times New Roman" w:eastAsia="宋体" w:cs="Times New Roman"/>
                <w:color w:val="auto"/>
                <w:kern w:val="0"/>
                <w:sz w:val="24"/>
                <w:szCs w:val="24"/>
                <w:lang w:val="en-US" w:eastAsia="zh-CN" w:bidi="ar"/>
              </w:rPr>
              <w:t>；</w:t>
            </w:r>
          </w:p>
          <w:p w14:paraId="37F2877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U—堆场平均风速，m/s，取3</w:t>
            </w:r>
            <w:r>
              <w:rPr>
                <w:rFonts w:hint="eastAsia"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2</w:t>
            </w:r>
            <w:r>
              <w:rPr>
                <w:rFonts w:hint="default" w:ascii="Times New Roman" w:hAnsi="Times New Roman" w:eastAsia="宋体" w:cs="Times New Roman"/>
                <w:color w:val="auto"/>
                <w:kern w:val="0"/>
                <w:sz w:val="24"/>
                <w:szCs w:val="24"/>
                <w:lang w:val="en-US" w:eastAsia="zh-CN" w:bidi="ar"/>
              </w:rPr>
              <w:t>m/s，风频取3.28%；</w:t>
            </w:r>
          </w:p>
          <w:p w14:paraId="453EB65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U</w:t>
            </w:r>
            <w:r>
              <w:rPr>
                <w:rFonts w:hint="default" w:ascii="Times New Roman" w:hAnsi="Times New Roman" w:eastAsia="宋体" w:cs="Times New Roman"/>
                <w:color w:val="auto"/>
                <w:kern w:val="0"/>
                <w:sz w:val="24"/>
                <w:szCs w:val="24"/>
                <w:vertAlign w:val="subscript"/>
                <w:lang w:val="en-US" w:eastAsia="zh-CN" w:bidi="ar"/>
              </w:rPr>
              <w:t>t</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起动风速</w:t>
            </w:r>
            <w:r>
              <w:rPr>
                <w:rFonts w:hint="default" w:ascii="Times New Roman" w:hAnsi="Times New Roman" w:eastAsia="宋体" w:cs="Times New Roman"/>
                <w:color w:val="auto"/>
                <w:kern w:val="0"/>
                <w:sz w:val="24"/>
                <w:szCs w:val="24"/>
                <w:lang w:val="en-US" w:eastAsia="zh-CN" w:bidi="ar"/>
              </w:rPr>
              <w:t>，m/s，取3m/s；</w:t>
            </w:r>
          </w:p>
          <w:p w14:paraId="1B765FA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W—粒径表面含水率，取</w:t>
            </w:r>
            <w:r>
              <w:rPr>
                <w:rFonts w:hint="eastAsia" w:cs="Times New Roman"/>
                <w:color w:val="auto"/>
                <w:kern w:val="0"/>
                <w:sz w:val="24"/>
                <w:szCs w:val="24"/>
                <w:lang w:val="en-US" w:eastAsia="zh-CN" w:bidi="ar"/>
              </w:rPr>
              <w:t>8</w:t>
            </w:r>
            <w:r>
              <w:rPr>
                <w:rFonts w:hint="default" w:ascii="Times New Roman" w:hAnsi="Times New Roman" w:eastAsia="宋体" w:cs="Times New Roman"/>
                <w:color w:val="auto"/>
                <w:kern w:val="0"/>
                <w:sz w:val="24"/>
                <w:szCs w:val="24"/>
                <w:lang w:val="en-US" w:eastAsia="zh-CN" w:bidi="ar"/>
              </w:rPr>
              <w:t>0%；</w:t>
            </w:r>
          </w:p>
          <w:p w14:paraId="4375F07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G</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常年堆存量，</w:t>
            </w:r>
            <w:r>
              <w:rPr>
                <w:rFonts w:hint="eastAsia" w:cs="Times New Roman"/>
                <w:color w:val="auto"/>
                <w:kern w:val="0"/>
                <w:sz w:val="24"/>
                <w:szCs w:val="24"/>
                <w:lang w:val="en-US" w:eastAsia="zh-CN" w:bidi="ar"/>
              </w:rPr>
              <w:t>堆场最大容量20m</w:t>
            </w:r>
            <w:r>
              <w:rPr>
                <w:rFonts w:hint="eastAsia" w:cs="Times New Roman"/>
                <w:color w:val="auto"/>
                <w:kern w:val="0"/>
                <w:sz w:val="24"/>
                <w:szCs w:val="24"/>
                <w:vertAlign w:val="superscript"/>
                <w:lang w:val="en-US" w:eastAsia="zh-CN" w:bidi="ar"/>
              </w:rPr>
              <w:t>3</w:t>
            </w:r>
            <w:r>
              <w:rPr>
                <w:rFonts w:hint="eastAsia" w:cs="Times New Roman"/>
                <w:color w:val="auto"/>
                <w:kern w:val="0"/>
                <w:sz w:val="24"/>
                <w:szCs w:val="24"/>
                <w:lang w:val="en-US" w:eastAsia="zh-CN" w:bidi="ar"/>
              </w:rPr>
              <w:t>，折合35t</w:t>
            </w:r>
            <w:r>
              <w:rPr>
                <w:rFonts w:hint="eastAsia" w:ascii="Times New Roman" w:hAnsi="Times New Roman" w:eastAsia="宋体" w:cs="Times New Roman"/>
                <w:color w:val="auto"/>
                <w:kern w:val="0"/>
                <w:sz w:val="24"/>
                <w:szCs w:val="24"/>
                <w:lang w:val="en-US" w:eastAsia="zh-CN" w:bidi="ar"/>
              </w:rPr>
              <w:t>；</w:t>
            </w:r>
          </w:p>
          <w:p w14:paraId="06871C5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eastAsia" w:cs="Times New Roman"/>
                <w:color w:val="auto"/>
                <w:kern w:val="0"/>
                <w:sz w:val="24"/>
                <w:szCs w:val="24"/>
                <w:lang w:val="en-US" w:eastAsia="zh-CN" w:bidi="ar"/>
              </w:rPr>
              <w:t>根据</w:t>
            </w:r>
            <w:r>
              <w:rPr>
                <w:rFonts w:hint="default" w:ascii="Times New Roman" w:hAnsi="Times New Roman" w:eastAsia="宋体" w:cs="Times New Roman"/>
                <w:color w:val="auto"/>
                <w:sz w:val="24"/>
                <w:szCs w:val="32"/>
              </w:rPr>
              <w:t>《逸散性工业粉尘控制技术》</w:t>
            </w:r>
            <w:r>
              <w:rPr>
                <w:rFonts w:hint="eastAsia" w:cs="Times New Roman"/>
                <w:color w:val="auto"/>
                <w:sz w:val="24"/>
                <w:szCs w:val="32"/>
                <w:lang w:val="en-US" w:eastAsia="zh-CN"/>
              </w:rPr>
              <w:t>表18-2“堆场－洒水、风障”</w:t>
            </w:r>
            <w:r>
              <w:rPr>
                <w:rFonts w:hint="eastAsia" w:ascii="Times New Roman" w:hAnsi="Times New Roman" w:eastAsia="宋体" w:cs="Times New Roman"/>
                <w:color w:val="auto"/>
                <w:kern w:val="0"/>
                <w:sz w:val="24"/>
                <w:szCs w:val="24"/>
                <w:lang w:val="en-US" w:eastAsia="zh-CN" w:bidi="ar"/>
              </w:rPr>
              <w:t>表面洒水固化加盖篷布</w:t>
            </w:r>
            <w:r>
              <w:rPr>
                <w:rFonts w:hint="eastAsia" w:cs="Times New Roman"/>
                <w:color w:val="auto"/>
                <w:kern w:val="0"/>
                <w:sz w:val="24"/>
                <w:szCs w:val="24"/>
                <w:lang w:val="en-US" w:eastAsia="zh-CN" w:bidi="ar"/>
              </w:rPr>
              <w:t>，后</w:t>
            </w:r>
            <w:r>
              <w:rPr>
                <w:rFonts w:hint="eastAsia" w:ascii="Times New Roman" w:hAnsi="Times New Roman" w:eastAsia="宋体" w:cs="Times New Roman"/>
                <w:color w:val="auto"/>
                <w:kern w:val="0"/>
                <w:sz w:val="24"/>
                <w:szCs w:val="24"/>
                <w:lang w:val="en-US" w:eastAsia="zh-CN" w:bidi="ar"/>
              </w:rPr>
              <w:t>粉尘抑制率可达到</w:t>
            </w:r>
            <w:r>
              <w:rPr>
                <w:rFonts w:hint="eastAsia" w:cs="Times New Roman"/>
                <w:color w:val="auto"/>
                <w:kern w:val="0"/>
                <w:sz w:val="24"/>
                <w:szCs w:val="24"/>
                <w:lang w:val="en-US" w:eastAsia="zh-CN" w:bidi="ar"/>
              </w:rPr>
              <w:t>80</w:t>
            </w:r>
            <w:r>
              <w:rPr>
                <w:rFonts w:hint="eastAsia" w:ascii="Times New Roman" w:hAnsi="Times New Roman" w:eastAsia="宋体" w:cs="Times New Roman"/>
                <w:color w:val="auto"/>
                <w:kern w:val="0"/>
                <w:sz w:val="24"/>
                <w:szCs w:val="24"/>
                <w:lang w:val="en-US" w:eastAsia="zh-CN" w:bidi="ar"/>
              </w:rPr>
              <w:t>%经过计算，本项目石子堆场产生无组织粉尘为</w:t>
            </w:r>
            <w:r>
              <w:rPr>
                <w:rFonts w:hint="eastAsia" w:cs="Times New Roman"/>
                <w:color w:val="auto"/>
                <w:kern w:val="0"/>
                <w:sz w:val="24"/>
                <w:szCs w:val="24"/>
                <w:lang w:val="en-US" w:eastAsia="zh-CN" w:bidi="ar"/>
              </w:rPr>
              <w:t>0.37</w:t>
            </w:r>
            <w:r>
              <w:rPr>
                <w:rFonts w:hint="default" w:ascii="Times New Roman" w:hAnsi="Times New Roman" w:eastAsia="宋体" w:cs="Times New Roman"/>
                <w:color w:val="auto"/>
                <w:kern w:val="0"/>
                <w:sz w:val="24"/>
                <w:szCs w:val="24"/>
                <w:lang w:val="en-US" w:eastAsia="zh-CN" w:bidi="ar"/>
              </w:rPr>
              <w:t>t/a</w:t>
            </w:r>
            <w:r>
              <w:rPr>
                <w:rFonts w:hint="eastAsia" w:ascii="Times New Roman" w:hAnsi="Times New Roman" w:eastAsia="宋体" w:cs="Times New Roman"/>
                <w:color w:val="auto"/>
                <w:kern w:val="0"/>
                <w:sz w:val="24"/>
                <w:szCs w:val="24"/>
                <w:lang w:val="en-US" w:eastAsia="zh-CN" w:bidi="ar"/>
              </w:rPr>
              <w:t>（0.07kg/h）。</w:t>
            </w:r>
          </w:p>
          <w:p w14:paraId="46CF6604">
            <w:pPr>
              <w:pStyle w:val="84"/>
              <w:keepNext w:val="0"/>
              <w:keepLines w:val="0"/>
              <w:pageBreakBefore w:val="0"/>
              <w:widowControl w:val="0"/>
              <w:kinsoku/>
              <w:wordWrap/>
              <w:overflowPunct/>
              <w:topLinePunct w:val="0"/>
              <w:autoSpaceDE/>
              <w:autoSpaceDN/>
              <w:bidi w:val="0"/>
              <w:spacing w:line="360" w:lineRule="auto"/>
              <w:ind w:left="0" w:right="0"/>
              <w:jc w:val="both"/>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②密闭厂房堆场</w:t>
            </w:r>
          </w:p>
          <w:p w14:paraId="4EFE3181">
            <w:pPr>
              <w:spacing w:line="360" w:lineRule="auto"/>
              <w:ind w:firstLine="480" w:firstLineChars="200"/>
              <w:jc w:val="center"/>
              <w:rPr>
                <w:bCs/>
                <w:sz w:val="24"/>
              </w:rPr>
            </w:pPr>
            <w:r>
              <w:rPr>
                <w:bCs/>
                <w:sz w:val="24"/>
              </w:rPr>
              <w:t>Q=1.479×10</w:t>
            </w:r>
            <w:r>
              <w:rPr>
                <w:bCs/>
                <w:sz w:val="24"/>
                <w:vertAlign w:val="superscript"/>
              </w:rPr>
              <w:t>-2</w:t>
            </w:r>
            <w:r>
              <w:rPr>
                <w:bCs/>
                <w:sz w:val="24"/>
              </w:rPr>
              <w:t>×e</w:t>
            </w:r>
            <w:r>
              <w:rPr>
                <w:bCs/>
                <w:sz w:val="24"/>
                <w:vertAlign w:val="superscript"/>
              </w:rPr>
              <w:t>-0.43w</w:t>
            </w:r>
            <w:r>
              <w:rPr>
                <w:bCs/>
                <w:sz w:val="24"/>
              </w:rPr>
              <w:t>×Ap</w:t>
            </w:r>
          </w:p>
          <w:p w14:paraId="4713B2F2">
            <w:pPr>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cs="Times New Roman"/>
                <w:bCs/>
                <w:sz w:val="24"/>
              </w:rPr>
              <w:t>式中：Q——起尘量，mg/s</w:t>
            </w:r>
            <w:r>
              <w:rPr>
                <w:rFonts w:hint="default" w:ascii="Times New Roman" w:hAnsi="Times New Roman" w:cs="Times New Roman"/>
                <w:bCs/>
                <w:sz w:val="24"/>
                <w:lang w:eastAsia="zh-CN"/>
              </w:rPr>
              <w:t>，</w:t>
            </w:r>
            <w:r>
              <w:rPr>
                <w:rFonts w:hint="default" w:ascii="Times New Roman" w:hAnsi="Times New Roman" w:cs="Times New Roman"/>
                <w:bCs/>
                <w:sz w:val="24"/>
                <w:lang w:val="en-US" w:eastAsia="zh-CN"/>
              </w:rPr>
              <w:t>年工作时间1680h；</w:t>
            </w:r>
          </w:p>
          <w:p w14:paraId="54186DC1">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W——物料含水率，%，</w:t>
            </w:r>
            <w:r>
              <w:rPr>
                <w:rFonts w:hint="default" w:ascii="Times New Roman" w:hAnsi="Times New Roman" w:cs="Times New Roman"/>
                <w:bCs/>
                <w:sz w:val="24"/>
                <w:lang w:val="en-US" w:eastAsia="zh-CN"/>
              </w:rPr>
              <w:t>物料初始含水率</w:t>
            </w:r>
            <w:r>
              <w:rPr>
                <w:rFonts w:hint="default" w:ascii="Times New Roman" w:hAnsi="Times New Roman" w:cs="Times New Roman"/>
                <w:bCs/>
                <w:sz w:val="24"/>
              </w:rPr>
              <w:t>取</w:t>
            </w:r>
            <w:r>
              <w:rPr>
                <w:rFonts w:hint="default" w:ascii="Times New Roman" w:hAnsi="Times New Roman" w:cs="Times New Roman"/>
                <w:bCs/>
                <w:sz w:val="24"/>
                <w:lang w:val="en-US" w:eastAsia="zh-CN"/>
              </w:rPr>
              <w:t>5</w:t>
            </w:r>
            <w:r>
              <w:rPr>
                <w:rFonts w:hint="default" w:ascii="Times New Roman" w:hAnsi="Times New Roman" w:cs="Times New Roman"/>
                <w:bCs/>
                <w:sz w:val="24"/>
              </w:rPr>
              <w:t>%；</w:t>
            </w:r>
          </w:p>
          <w:p w14:paraId="766C5AD6">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Ap——面积，m</w:t>
            </w:r>
            <w:r>
              <w:rPr>
                <w:rFonts w:hint="default" w:ascii="Times New Roman" w:hAnsi="Times New Roman" w:cs="Times New Roman"/>
                <w:bCs/>
                <w:sz w:val="24"/>
                <w:vertAlign w:val="superscript"/>
              </w:rPr>
              <w:t>2</w:t>
            </w:r>
            <w:r>
              <w:rPr>
                <w:rFonts w:hint="default" w:ascii="Times New Roman" w:hAnsi="Times New Roman" w:cs="Times New Roman"/>
                <w:bCs/>
                <w:sz w:val="24"/>
              </w:rPr>
              <w:t>，</w:t>
            </w:r>
            <w:r>
              <w:rPr>
                <w:rFonts w:hint="default" w:ascii="Times New Roman" w:hAnsi="Times New Roman" w:cs="Times New Roman"/>
                <w:bCs/>
                <w:sz w:val="24"/>
                <w:lang w:val="en-US" w:eastAsia="zh-CN"/>
              </w:rPr>
              <w:t>原料/成品堆场面积设计均为382</w:t>
            </w:r>
            <w:r>
              <w:rPr>
                <w:rFonts w:hint="default" w:ascii="Times New Roman" w:hAnsi="Times New Roman" w:cs="Times New Roman"/>
                <w:bCs/>
                <w:sz w:val="24"/>
              </w:rPr>
              <w:t>m</w:t>
            </w:r>
            <w:r>
              <w:rPr>
                <w:rFonts w:hint="default" w:ascii="Times New Roman" w:hAnsi="Times New Roman" w:cs="Times New Roman"/>
                <w:bCs/>
                <w:sz w:val="24"/>
                <w:vertAlign w:val="superscript"/>
              </w:rPr>
              <w:t>2</w:t>
            </w:r>
            <w:r>
              <w:rPr>
                <w:rFonts w:hint="default" w:ascii="Times New Roman" w:hAnsi="Times New Roman" w:cs="Times New Roman"/>
                <w:bCs/>
                <w:sz w:val="24"/>
              </w:rPr>
              <w:t>。</w:t>
            </w:r>
          </w:p>
          <w:p w14:paraId="71C68D43">
            <w:pPr>
              <w:pStyle w:val="84"/>
              <w:keepNext w:val="0"/>
              <w:keepLines w:val="0"/>
              <w:pageBreakBefore w:val="0"/>
              <w:widowControl w:val="0"/>
              <w:kinsoku/>
              <w:wordWrap/>
              <w:overflowPunct/>
              <w:topLinePunct w:val="0"/>
              <w:autoSpaceDE/>
              <w:autoSpaceDN/>
              <w:bidi w:val="0"/>
              <w:spacing w:line="360" w:lineRule="auto"/>
              <w:ind w:left="0" w:right="0" w:firstLine="6"/>
              <w:jc w:val="both"/>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bCs/>
                <w:sz w:val="24"/>
              </w:rPr>
              <w:t>经计算，堆场起尘量约为</w:t>
            </w:r>
            <w:r>
              <w:rPr>
                <w:rFonts w:hint="eastAsia" w:ascii="Times New Roman" w:hAnsi="Times New Roman" w:cs="Times New Roman"/>
                <w:bCs/>
                <w:sz w:val="24"/>
                <w:lang w:val="en-US" w:eastAsia="zh-CN"/>
              </w:rPr>
              <w:t>5.53</w:t>
            </w:r>
            <w:r>
              <w:rPr>
                <w:rFonts w:hint="default" w:ascii="Times New Roman" w:hAnsi="Times New Roman" w:cs="Times New Roman"/>
                <w:bCs/>
                <w:sz w:val="24"/>
              </w:rPr>
              <w:t>mg/s，</w:t>
            </w:r>
            <w:r>
              <w:rPr>
                <w:rFonts w:hint="default" w:ascii="Times New Roman" w:hAnsi="Times New Roman" w:cs="Times New Roman"/>
                <w:bCs/>
                <w:sz w:val="24"/>
                <w:lang w:val="en-US" w:eastAsia="zh-CN"/>
              </w:rPr>
              <w:t>0.</w:t>
            </w:r>
            <w:r>
              <w:rPr>
                <w:rFonts w:hint="eastAsia" w:ascii="Times New Roman" w:hAnsi="Times New Roman" w:cs="Times New Roman"/>
                <w:bCs/>
                <w:sz w:val="24"/>
                <w:lang w:val="en-US" w:eastAsia="zh-CN"/>
              </w:rPr>
              <w:t>033</w:t>
            </w:r>
            <w:r>
              <w:rPr>
                <w:rFonts w:hint="default" w:ascii="Times New Roman" w:hAnsi="Times New Roman" w:cs="Times New Roman"/>
                <w:bCs/>
                <w:sz w:val="24"/>
              </w:rPr>
              <w:t>t/a；料堆采用</w:t>
            </w:r>
            <w:r>
              <w:rPr>
                <w:rFonts w:hint="default" w:ascii="Times New Roman" w:hAnsi="Times New Roman" w:cs="Times New Roman"/>
                <w:bCs/>
                <w:sz w:val="24"/>
                <w:lang w:val="en-US" w:eastAsia="zh-CN"/>
              </w:rPr>
              <w:t>密封袋装</w:t>
            </w:r>
            <w:r>
              <w:rPr>
                <w:rFonts w:hint="default" w:ascii="Times New Roman" w:hAnsi="Times New Roman" w:cs="Times New Roman"/>
                <w:bCs/>
                <w:sz w:val="24"/>
              </w:rPr>
              <w:t>苫布覆盖，洒水抑尘，抑尘效率</w:t>
            </w:r>
            <w:r>
              <w:rPr>
                <w:rFonts w:hint="default" w:ascii="Times New Roman" w:hAnsi="Times New Roman" w:cs="Times New Roman"/>
                <w:bCs/>
                <w:sz w:val="24"/>
                <w:lang w:val="en-US" w:eastAsia="zh-CN"/>
              </w:rPr>
              <w:t>至少</w:t>
            </w:r>
            <w:r>
              <w:rPr>
                <w:rFonts w:hint="default" w:ascii="Times New Roman" w:hAnsi="Times New Roman" w:cs="Times New Roman"/>
                <w:bCs/>
                <w:sz w:val="24"/>
              </w:rPr>
              <w:t>可达</w:t>
            </w:r>
            <w:r>
              <w:rPr>
                <w:rFonts w:hint="eastAsia" w:ascii="Times New Roman" w:hAnsi="Times New Roman" w:cs="Times New Roman"/>
                <w:bCs/>
                <w:sz w:val="24"/>
                <w:lang w:val="en-US" w:eastAsia="zh-CN"/>
              </w:rPr>
              <w:t>8</w:t>
            </w:r>
            <w:r>
              <w:rPr>
                <w:rFonts w:hint="default" w:ascii="Times New Roman" w:hAnsi="Times New Roman" w:cs="Times New Roman"/>
                <w:bCs/>
                <w:sz w:val="24"/>
                <w:lang w:val="en-US" w:eastAsia="zh-CN"/>
              </w:rPr>
              <w:t>0</w:t>
            </w:r>
            <w:r>
              <w:rPr>
                <w:rFonts w:hint="default" w:ascii="Times New Roman" w:hAnsi="Times New Roman" w:cs="Times New Roman"/>
                <w:bCs/>
                <w:sz w:val="24"/>
              </w:rPr>
              <w:t>%，采取洒水抑尘措施后堆场粉尘排放量为</w:t>
            </w:r>
            <w:r>
              <w:rPr>
                <w:rFonts w:hint="default" w:ascii="Times New Roman" w:hAnsi="Times New Roman" w:cs="Times New Roman"/>
                <w:bCs/>
                <w:sz w:val="24"/>
                <w:lang w:val="en-US" w:eastAsia="zh-CN"/>
              </w:rPr>
              <w:t>0.</w:t>
            </w:r>
            <w:r>
              <w:rPr>
                <w:rFonts w:hint="eastAsia" w:ascii="Times New Roman" w:hAnsi="Times New Roman" w:cs="Times New Roman"/>
                <w:bCs/>
                <w:sz w:val="24"/>
                <w:lang w:val="en-US" w:eastAsia="zh-CN"/>
              </w:rPr>
              <w:t>007</w:t>
            </w:r>
            <w:r>
              <w:rPr>
                <w:rFonts w:hint="default" w:ascii="Times New Roman" w:hAnsi="Times New Roman" w:cs="Times New Roman"/>
                <w:bCs/>
                <w:sz w:val="24"/>
              </w:rPr>
              <w:t>t/a</w:t>
            </w:r>
            <w:r>
              <w:rPr>
                <w:rFonts w:hint="default" w:ascii="Times New Roman" w:hAnsi="Times New Roman" w:cs="Times New Roman"/>
                <w:color w:val="auto"/>
                <w:sz w:val="24"/>
                <w:szCs w:val="32"/>
                <w:lang w:val="en-US" w:eastAsia="zh-CN"/>
              </w:rPr>
              <w:t>。</w:t>
            </w:r>
          </w:p>
          <w:p w14:paraId="185890C6">
            <w:pPr>
              <w:pStyle w:val="84"/>
              <w:keepNext w:val="0"/>
              <w:keepLines w:val="0"/>
              <w:pageBreakBefore w:val="0"/>
              <w:widowControl w:val="0"/>
              <w:kinsoku/>
              <w:wordWrap/>
              <w:overflowPunct/>
              <w:topLinePunct w:val="0"/>
              <w:autoSpaceDE/>
              <w:autoSpaceDN/>
              <w:bidi w:val="0"/>
              <w:spacing w:line="360" w:lineRule="auto"/>
              <w:ind w:left="0" w:right="0"/>
              <w:jc w:val="both"/>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（4）投料工序粉尘</w:t>
            </w:r>
          </w:p>
          <w:p w14:paraId="74BB4983">
            <w:pPr>
              <w:pStyle w:val="84"/>
              <w:keepNext w:val="0"/>
              <w:keepLines w:val="0"/>
              <w:pageBreakBefore w:val="0"/>
              <w:widowControl w:val="0"/>
              <w:kinsoku/>
              <w:wordWrap/>
              <w:overflowPunct/>
              <w:topLinePunct w:val="0"/>
              <w:autoSpaceDE/>
              <w:autoSpaceDN/>
              <w:bidi w:val="0"/>
              <w:spacing w:line="360" w:lineRule="auto"/>
              <w:ind w:left="0" w:right="0" w:firstLine="479"/>
              <w:jc w:val="both"/>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本项目砼结构构件生产线中水泥投料工序采用人工投料，此过程中有粉尘产生，根据《逸散性工作粉尘控制技术》（中国环境科学出版社）中：第二十二章混凝土分批搅拌厂，二、逸散尘排放因子，卸水泥至高架贮仓，排放因子0.12kg/t，本项目水泥投料量为</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2000</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t/a</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、沙子投料量为8000t/a</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，则粉尘产生量为</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1.2</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t/a。</w:t>
            </w:r>
          </w:p>
          <w:p w14:paraId="5D5C7D26">
            <w:pPr>
              <w:pStyle w:val="84"/>
              <w:keepNext w:val="0"/>
              <w:keepLines w:val="0"/>
              <w:pageBreakBefore w:val="0"/>
              <w:widowControl w:val="0"/>
              <w:kinsoku/>
              <w:wordWrap/>
              <w:overflowPunct/>
              <w:topLinePunct w:val="0"/>
              <w:autoSpaceDE/>
              <w:autoSpaceDN/>
              <w:bidi w:val="0"/>
              <w:spacing w:line="360" w:lineRule="auto"/>
              <w:ind w:left="0" w:right="0"/>
              <w:jc w:val="both"/>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①有组织粉尘</w:t>
            </w:r>
          </w:p>
          <w:p w14:paraId="32BF01BC">
            <w:pPr>
              <w:pStyle w:val="84"/>
              <w:keepNext w:val="0"/>
              <w:keepLines w:val="0"/>
              <w:pageBreakBefore w:val="0"/>
              <w:widowControl w:val="0"/>
              <w:kinsoku/>
              <w:wordWrap/>
              <w:overflowPunct/>
              <w:topLinePunct w:val="0"/>
              <w:autoSpaceDE/>
              <w:autoSpaceDN/>
              <w:bidi w:val="0"/>
              <w:spacing w:line="360" w:lineRule="auto"/>
              <w:ind w:left="0" w:right="0" w:firstLine="481"/>
              <w:jc w:val="both"/>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本项目砼结构构件生产过程中投料工序粉尘产生量为</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1.2</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t/a</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0.</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714</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kg/h</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。要求砼结构构件生产线在投料设备</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周围设置软帘</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集气罩，粉尘捕集效率达到80%，收集后经布袋除尘器处理，配套风机风量为</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1</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000m</w:t>
            </w:r>
            <w:r>
              <w:rPr>
                <w:rFonts w:hint="default" w:ascii="Times New Roman" w:hAnsi="Times New Roman" w:eastAsia="新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/h，处理后由15m高排气筒（DA001）排放。布袋除尘器除尘效率为99.</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0</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%，则有组织粉尘排放量为0.</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0096</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t/a，排放浓度为</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5.71</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mg/m</w:t>
            </w:r>
            <w:r>
              <w:rPr>
                <w:rFonts w:hint="default" w:ascii="Times New Roman" w:hAnsi="Times New Roman" w:eastAsia="新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，排放速率为</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0.0057</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kg/h。有组织粉尘排放浓度</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满足</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《水泥工业大气污染物排放标准》（GB4915-2013）表1中“散装水泥中转站及水泥制品生产，水泥仓及其他通风生产设备，颗粒物20mg/m</w:t>
            </w:r>
            <w:r>
              <w:rPr>
                <w:rFonts w:hint="default" w:ascii="Times New Roman" w:hAnsi="Times New Roman" w:eastAsia="新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w:t>
            </w:r>
          </w:p>
          <w:p w14:paraId="15303B8D">
            <w:pPr>
              <w:pStyle w:val="84"/>
              <w:keepNext w:val="0"/>
              <w:keepLines w:val="0"/>
              <w:pageBreakBefore w:val="0"/>
              <w:widowControl w:val="0"/>
              <w:kinsoku/>
              <w:wordWrap/>
              <w:overflowPunct/>
              <w:topLinePunct w:val="0"/>
              <w:autoSpaceDE/>
              <w:autoSpaceDN/>
              <w:bidi w:val="0"/>
              <w:spacing w:line="360" w:lineRule="auto"/>
              <w:ind w:left="0" w:right="0"/>
              <w:jc w:val="both"/>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②无组织粉尘</w:t>
            </w:r>
          </w:p>
          <w:p w14:paraId="480E4C14">
            <w:pPr>
              <w:pStyle w:val="84"/>
              <w:keepNext w:val="0"/>
              <w:keepLines w:val="0"/>
              <w:pageBreakBefore w:val="0"/>
              <w:widowControl w:val="0"/>
              <w:kinsoku/>
              <w:wordWrap/>
              <w:overflowPunct/>
              <w:topLinePunct w:val="0"/>
              <w:autoSpaceDE/>
              <w:autoSpaceDN/>
              <w:bidi w:val="0"/>
              <w:spacing w:line="360" w:lineRule="auto"/>
              <w:ind w:left="0" w:right="0"/>
              <w:jc w:val="both"/>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本项目砼结构构件生产投料工序过程中未被收集的20%粉尘通过车间无组织排放，无组织粉尘排放量为0.</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24</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t/a，排放速率为</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0.143</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kg/h。</w:t>
            </w:r>
          </w:p>
          <w:p w14:paraId="4928C8ED">
            <w:pPr>
              <w:pStyle w:val="84"/>
              <w:keepNext w:val="0"/>
              <w:keepLines w:val="0"/>
              <w:pageBreakBefore w:val="0"/>
              <w:widowControl w:val="0"/>
              <w:kinsoku/>
              <w:wordWrap/>
              <w:overflowPunct/>
              <w:topLinePunct w:val="0"/>
              <w:autoSpaceDE/>
              <w:autoSpaceDN/>
              <w:bidi w:val="0"/>
              <w:spacing w:line="360" w:lineRule="auto"/>
              <w:ind w:left="0" w:right="0"/>
              <w:jc w:val="both"/>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（5）物料输送工序粉尘</w:t>
            </w:r>
          </w:p>
          <w:p w14:paraId="280C3006">
            <w:pPr>
              <w:pStyle w:val="84"/>
              <w:keepNext w:val="0"/>
              <w:keepLines w:val="0"/>
              <w:pageBreakBefore w:val="0"/>
              <w:widowControl w:val="0"/>
              <w:kinsoku/>
              <w:wordWrap/>
              <w:overflowPunct/>
              <w:topLinePunct w:val="0"/>
              <w:autoSpaceDE/>
              <w:autoSpaceDN/>
              <w:bidi w:val="0"/>
              <w:spacing w:line="360" w:lineRule="auto"/>
              <w:ind w:left="0" w:right="0"/>
              <w:jc w:val="both"/>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本项目砼结构构件生产线，其中物料输送工序均会有粉尘产生，根据《排放源统计调查产排污核算方法和系数手册》生态环境部公告2021年第24号中“3021水泥制品制造（含3022砼结构构件制造、3029其他水泥类似制品制造）行业系数手册”中“3021水泥制品制造（含3022砼结构构件、3029其他水泥类似制品制造）行业系数表”，污染物产排污系数详见表</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4-3</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w:t>
            </w:r>
          </w:p>
          <w:p w14:paraId="17E6D6A5">
            <w:pPr>
              <w:pStyle w:val="84"/>
              <w:keepNext w:val="0"/>
              <w:keepLines w:val="0"/>
              <w:pageBreakBefore w:val="0"/>
              <w:widowControl w:val="0"/>
              <w:kinsoku/>
              <w:wordWrap/>
              <w:overflowPunct/>
              <w:topLinePunct w:val="0"/>
              <w:autoSpaceDE/>
              <w:autoSpaceDN/>
              <w:bidi w:val="0"/>
              <w:spacing w:line="360" w:lineRule="auto"/>
              <w:ind w:left="0" w:leftChars="0" w:right="0" w:firstLine="0" w:firstLineChars="0"/>
              <w:jc w:val="both"/>
              <w:textAlignment w:val="auto"/>
              <w:rPr>
                <w:rFonts w:hint="default" w:ascii="Times New Roman" w:hAnsi="Times New Roman" w:eastAsia="新宋体" w:cs="Times New Roman"/>
                <w:b/>
                <w:bCs/>
                <w:color w:val="000000" w:themeColor="text1"/>
                <w:kern w:val="0"/>
                <w:sz w:val="21"/>
                <w:szCs w:val="21"/>
                <w:lang w:val="en-US" w:eastAsia="zh-CN" w:bidi="ar"/>
                <w14:textFill>
                  <w14:solidFill>
                    <w14:schemeClr w14:val="tx1"/>
                  </w14:solidFill>
                </w14:textFill>
              </w:rPr>
            </w:pPr>
            <w:r>
              <w:rPr>
                <w:rFonts w:hint="default" w:ascii="Times New Roman" w:hAnsi="Times New Roman" w:eastAsia="新宋体" w:cs="Times New Roman"/>
                <w:b/>
                <w:bCs/>
                <w:color w:val="000000" w:themeColor="text1"/>
                <w:sz w:val="21"/>
                <w:szCs w:val="21"/>
                <w:lang w:val="en-US" w:eastAsia="zh-CN"/>
                <w14:textFill>
                  <w14:solidFill>
                    <w14:schemeClr w14:val="tx1"/>
                  </w14:solidFill>
                </w14:textFill>
              </w:rPr>
              <w:t>表</w:t>
            </w:r>
            <w:r>
              <w:rPr>
                <w:rFonts w:hint="eastAsia" w:ascii="Times New Roman" w:hAnsi="Times New Roman" w:eastAsia="新宋体" w:cs="Times New Roman"/>
                <w:b/>
                <w:bCs/>
                <w:color w:val="000000" w:themeColor="text1"/>
                <w:sz w:val="21"/>
                <w:szCs w:val="21"/>
                <w:lang w:val="en-US" w:eastAsia="zh-CN"/>
                <w14:textFill>
                  <w14:solidFill>
                    <w14:schemeClr w14:val="tx1"/>
                  </w14:solidFill>
                </w14:textFill>
              </w:rPr>
              <w:t>4-3</w:t>
            </w:r>
            <w:r>
              <w:rPr>
                <w:rFonts w:hint="default" w:ascii="Times New Roman" w:hAnsi="Times New Roman" w:eastAsia="新宋体" w:cs="Times New Roman"/>
                <w:b/>
                <w:bCs/>
                <w:color w:val="000000" w:themeColor="text1"/>
                <w:sz w:val="21"/>
                <w:szCs w:val="21"/>
                <w:lang w:val="en-US" w:eastAsia="zh-CN"/>
                <w14:textFill>
                  <w14:solidFill>
                    <w14:schemeClr w14:val="tx1"/>
                  </w14:solidFill>
                </w14:textFill>
              </w:rPr>
              <w:t>水泥制品制造（含3022砼结构构件、3029其他水泥类似制品制造）行业系数表</w:t>
            </w:r>
          </w:p>
          <w:tbl>
            <w:tblPr>
              <w:tblStyle w:val="2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276"/>
              <w:gridCol w:w="993"/>
              <w:gridCol w:w="981"/>
              <w:gridCol w:w="981"/>
              <w:gridCol w:w="981"/>
              <w:gridCol w:w="981"/>
              <w:gridCol w:w="990"/>
            </w:tblGrid>
            <w:tr w14:paraId="52AD16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tcBorders>
                    <w:tl2br w:val="nil"/>
                    <w:tr2bl w:val="nil"/>
                  </w:tcBorders>
                  <w:vAlign w:val="center"/>
                </w:tcPr>
                <w:p w14:paraId="7865AAC6">
                  <w:pPr>
                    <w:pStyle w:val="40"/>
                    <w:widowControl w:val="0"/>
                    <w:jc w:val="center"/>
                    <w:rPr>
                      <w:rFonts w:hint="default" w:ascii="Times New Roman" w:hAnsi="Times New Roman" w:eastAsia="新宋体" w:cs="Times New Roman"/>
                      <w:color w:val="auto"/>
                      <w:sz w:val="21"/>
                      <w:szCs w:val="21"/>
                      <w:lang w:val="en-US" w:eastAsia="zh-CN"/>
                    </w:rPr>
                  </w:pPr>
                  <w:r>
                    <w:rPr>
                      <w:rFonts w:hint="eastAsia" w:ascii="Times New Roman" w:hAnsi="Times New Roman" w:eastAsia="新宋体" w:cs="Times New Roman"/>
                      <w:color w:val="auto"/>
                      <w:sz w:val="21"/>
                      <w:szCs w:val="21"/>
                      <w:lang w:val="en-US" w:eastAsia="zh-CN"/>
                    </w:rPr>
                    <w:t>工段名称</w:t>
                  </w:r>
                </w:p>
              </w:tc>
              <w:tc>
                <w:tcPr>
                  <w:tcW w:w="1326" w:type="dxa"/>
                  <w:tcBorders>
                    <w:tl2br w:val="nil"/>
                    <w:tr2bl w:val="nil"/>
                  </w:tcBorders>
                  <w:vAlign w:val="center"/>
                </w:tcPr>
                <w:p w14:paraId="3245F153">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产品名称</w:t>
                  </w:r>
                </w:p>
              </w:tc>
              <w:tc>
                <w:tcPr>
                  <w:tcW w:w="1014" w:type="dxa"/>
                  <w:tcBorders>
                    <w:tl2br w:val="nil"/>
                    <w:tr2bl w:val="nil"/>
                  </w:tcBorders>
                  <w:vAlign w:val="center"/>
                </w:tcPr>
                <w:p w14:paraId="42C5A21D">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原料名称</w:t>
                  </w:r>
                </w:p>
              </w:tc>
              <w:tc>
                <w:tcPr>
                  <w:tcW w:w="1014" w:type="dxa"/>
                  <w:tcBorders>
                    <w:tl2br w:val="nil"/>
                    <w:tr2bl w:val="nil"/>
                  </w:tcBorders>
                  <w:vAlign w:val="center"/>
                </w:tcPr>
                <w:p w14:paraId="0AD3A11B">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工艺名称</w:t>
                  </w:r>
                </w:p>
              </w:tc>
              <w:tc>
                <w:tcPr>
                  <w:tcW w:w="1014" w:type="dxa"/>
                  <w:tcBorders>
                    <w:tl2br w:val="nil"/>
                    <w:tr2bl w:val="nil"/>
                  </w:tcBorders>
                  <w:vAlign w:val="center"/>
                </w:tcPr>
                <w:p w14:paraId="0ECE5728">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规模等级</w:t>
                  </w:r>
                </w:p>
              </w:tc>
              <w:tc>
                <w:tcPr>
                  <w:tcW w:w="1014" w:type="dxa"/>
                  <w:tcBorders>
                    <w:tl2br w:val="nil"/>
                    <w:tr2bl w:val="nil"/>
                  </w:tcBorders>
                  <w:vAlign w:val="center"/>
                </w:tcPr>
                <w:p w14:paraId="44D20F9C">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污染物指数</w:t>
                  </w:r>
                </w:p>
              </w:tc>
              <w:tc>
                <w:tcPr>
                  <w:tcW w:w="1014" w:type="dxa"/>
                  <w:tcBorders>
                    <w:tl2br w:val="nil"/>
                    <w:tr2bl w:val="nil"/>
                  </w:tcBorders>
                  <w:vAlign w:val="center"/>
                </w:tcPr>
                <w:p w14:paraId="724A4316">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单位</w:t>
                  </w:r>
                </w:p>
              </w:tc>
              <w:tc>
                <w:tcPr>
                  <w:tcW w:w="1014" w:type="dxa"/>
                  <w:tcBorders>
                    <w:tl2br w:val="nil"/>
                    <w:tr2bl w:val="nil"/>
                  </w:tcBorders>
                  <w:vAlign w:val="center"/>
                </w:tcPr>
                <w:p w14:paraId="0E422ED8">
                  <w:pPr>
                    <w:pStyle w:val="40"/>
                    <w:widowControl w:val="0"/>
                    <w:jc w:val="center"/>
                    <w:rPr>
                      <w:rFonts w:hint="default" w:ascii="Times New Roman" w:hAnsi="Times New Roman" w:eastAsia="新宋体" w:cs="Times New Roman"/>
                      <w:color w:val="auto"/>
                      <w:sz w:val="21"/>
                      <w:szCs w:val="21"/>
                      <w:lang w:val="en-US" w:eastAsia="zh-CN"/>
                    </w:rPr>
                  </w:pPr>
                  <w:r>
                    <w:rPr>
                      <w:rFonts w:hint="eastAsia" w:ascii="Times New Roman" w:hAnsi="Times New Roman" w:eastAsia="新宋体" w:cs="Times New Roman"/>
                      <w:color w:val="auto"/>
                      <w:sz w:val="21"/>
                      <w:szCs w:val="21"/>
                      <w:lang w:val="en-US" w:eastAsia="zh-CN"/>
                    </w:rPr>
                    <w:t>产污系数</w:t>
                  </w:r>
                </w:p>
              </w:tc>
            </w:tr>
            <w:tr w14:paraId="244B48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tcBorders>
                    <w:tl2br w:val="nil"/>
                    <w:tr2bl w:val="nil"/>
                  </w:tcBorders>
                  <w:vAlign w:val="center"/>
                </w:tcPr>
                <w:p w14:paraId="00C6FFFA">
                  <w:pPr>
                    <w:pStyle w:val="40"/>
                    <w:widowControl w:val="0"/>
                    <w:jc w:val="center"/>
                    <w:rPr>
                      <w:rFonts w:hint="default" w:ascii="Times New Roman" w:hAnsi="Times New Roman" w:eastAsia="新宋体" w:cs="Times New Roman"/>
                      <w:color w:val="auto"/>
                      <w:sz w:val="21"/>
                      <w:szCs w:val="21"/>
                      <w:lang w:val="en-US" w:eastAsia="zh-CN"/>
                    </w:rPr>
                  </w:pPr>
                  <w:r>
                    <w:rPr>
                      <w:rFonts w:hint="eastAsia" w:ascii="Times New Roman" w:hAnsi="Times New Roman" w:eastAsia="新宋体" w:cs="Times New Roman"/>
                      <w:color w:val="auto"/>
                      <w:sz w:val="21"/>
                      <w:szCs w:val="21"/>
                      <w:lang w:val="en-US" w:eastAsia="zh-CN"/>
                    </w:rPr>
                    <w:t>物料输送</w:t>
                  </w:r>
                </w:p>
              </w:tc>
              <w:tc>
                <w:tcPr>
                  <w:tcW w:w="1326" w:type="dxa"/>
                  <w:tcBorders>
                    <w:tl2br w:val="nil"/>
                    <w:tr2bl w:val="nil"/>
                  </w:tcBorders>
                  <w:vAlign w:val="center"/>
                </w:tcPr>
                <w:p w14:paraId="79FA33CE">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各种水泥制品</w:t>
                  </w:r>
                </w:p>
              </w:tc>
              <w:tc>
                <w:tcPr>
                  <w:tcW w:w="1014" w:type="dxa"/>
                  <w:tcBorders>
                    <w:tl2br w:val="nil"/>
                    <w:tr2bl w:val="nil"/>
                  </w:tcBorders>
                  <w:vAlign w:val="center"/>
                </w:tcPr>
                <w:p w14:paraId="2F1D0C02">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水泥、砂子、石子、钢筋</w:t>
                  </w:r>
                </w:p>
              </w:tc>
              <w:tc>
                <w:tcPr>
                  <w:tcW w:w="1014" w:type="dxa"/>
                  <w:tcBorders>
                    <w:tl2br w:val="nil"/>
                    <w:tr2bl w:val="nil"/>
                  </w:tcBorders>
                  <w:vAlign w:val="center"/>
                </w:tcPr>
                <w:p w14:paraId="2C09F933">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物料输送储存</w:t>
                  </w:r>
                </w:p>
              </w:tc>
              <w:tc>
                <w:tcPr>
                  <w:tcW w:w="1014" w:type="dxa"/>
                  <w:tcBorders>
                    <w:tl2br w:val="nil"/>
                    <w:tr2bl w:val="nil"/>
                  </w:tcBorders>
                  <w:vAlign w:val="center"/>
                </w:tcPr>
                <w:p w14:paraId="17C4F81F">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所有规模</w:t>
                  </w:r>
                </w:p>
              </w:tc>
              <w:tc>
                <w:tcPr>
                  <w:tcW w:w="1014" w:type="dxa"/>
                  <w:tcBorders>
                    <w:tl2br w:val="nil"/>
                    <w:tr2bl w:val="nil"/>
                  </w:tcBorders>
                  <w:vAlign w:val="center"/>
                </w:tcPr>
                <w:p w14:paraId="453EDE41">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废气颗粒物</w:t>
                  </w:r>
                </w:p>
              </w:tc>
              <w:tc>
                <w:tcPr>
                  <w:tcW w:w="1014" w:type="dxa"/>
                  <w:tcBorders>
                    <w:tl2br w:val="nil"/>
                    <w:tr2bl w:val="nil"/>
                  </w:tcBorders>
                  <w:vAlign w:val="center"/>
                </w:tcPr>
                <w:p w14:paraId="7F925DAD">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千克/吨-产品</w:t>
                  </w:r>
                </w:p>
              </w:tc>
              <w:tc>
                <w:tcPr>
                  <w:tcW w:w="1014" w:type="dxa"/>
                  <w:tcBorders>
                    <w:tl2br w:val="nil"/>
                    <w:tr2bl w:val="nil"/>
                  </w:tcBorders>
                  <w:vAlign w:val="center"/>
                </w:tcPr>
                <w:p w14:paraId="1CB09EF4">
                  <w:pPr>
                    <w:pStyle w:val="40"/>
                    <w:widowControl w:val="0"/>
                    <w:jc w:val="center"/>
                    <w:rPr>
                      <w:rFonts w:hint="default" w:ascii="Times New Roman" w:hAnsi="Times New Roman" w:eastAsia="新宋体" w:cs="Times New Roman"/>
                      <w:color w:val="auto"/>
                      <w:sz w:val="21"/>
                      <w:szCs w:val="21"/>
                      <w:lang w:val="en-US" w:eastAsia="zh-CN"/>
                    </w:rPr>
                  </w:pPr>
                  <w:r>
                    <w:rPr>
                      <w:rFonts w:hint="eastAsia" w:ascii="Times New Roman" w:hAnsi="Times New Roman" w:eastAsia="新宋体" w:cs="Times New Roman"/>
                      <w:color w:val="auto"/>
                      <w:sz w:val="21"/>
                      <w:szCs w:val="21"/>
                      <w:lang w:val="en-US" w:eastAsia="zh-CN"/>
                    </w:rPr>
                    <w:t>0.19</w:t>
                  </w:r>
                </w:p>
              </w:tc>
            </w:tr>
          </w:tbl>
          <w:p w14:paraId="0FA38843">
            <w:pPr>
              <w:pStyle w:val="84"/>
              <w:keepNext w:val="0"/>
              <w:keepLines w:val="0"/>
              <w:pageBreakBefore w:val="0"/>
              <w:widowControl w:val="0"/>
              <w:kinsoku/>
              <w:wordWrap/>
              <w:overflowPunct/>
              <w:topLinePunct w:val="0"/>
              <w:autoSpaceDE/>
              <w:autoSpaceDN/>
              <w:bidi w:val="0"/>
              <w:spacing w:line="360" w:lineRule="auto"/>
              <w:ind w:left="0" w:right="0"/>
              <w:jc w:val="both"/>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本项目砼结构构件生产线中原辅材料砂子、石子，从原材料仓输送至生产线过程中有粉尘产生，砼结构构件生产线产量为</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15000</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t/a，产污系数为0.19kg/t-产品，则输送过程中粉尘产生量为</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2.85</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t/a，产生速率为</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1.696</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kg/h。</w:t>
            </w:r>
          </w:p>
          <w:p w14:paraId="1F9C10AF">
            <w:pPr>
              <w:pStyle w:val="84"/>
              <w:keepNext w:val="0"/>
              <w:keepLines w:val="0"/>
              <w:pageBreakBefore w:val="0"/>
              <w:widowControl w:val="0"/>
              <w:kinsoku/>
              <w:wordWrap/>
              <w:overflowPunct/>
              <w:topLinePunct w:val="0"/>
              <w:autoSpaceDE/>
              <w:autoSpaceDN/>
              <w:bidi w:val="0"/>
              <w:spacing w:line="360" w:lineRule="auto"/>
              <w:ind w:left="0" w:right="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本环评</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输送单元与上料料斗相连全密闭运输，并</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设在全封闭设备间内，</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几乎无粉尘外排，参照</w:t>
            </w:r>
            <w:r>
              <w:rPr>
                <w:rFonts w:hint="default" w:ascii="Times New Roman" w:hAnsi="Times New Roman" w:eastAsia="宋体" w:cs="Times New Roman"/>
                <w:color w:val="auto"/>
                <w:sz w:val="24"/>
                <w:szCs w:val="32"/>
              </w:rPr>
              <w:t>《逸散性工业粉尘控制技术》</w:t>
            </w:r>
            <w:r>
              <w:rPr>
                <w:rFonts w:hint="eastAsia" w:ascii="Times New Roman" w:hAnsi="Times New Roman" w:eastAsia="宋体" w:cs="Times New Roman"/>
                <w:color w:val="auto"/>
                <w:sz w:val="24"/>
                <w:szCs w:val="32"/>
                <w:lang w:eastAsia="zh-CN"/>
              </w:rPr>
              <w:t>，</w:t>
            </w:r>
            <w:r>
              <w:rPr>
                <w:rFonts w:hint="eastAsia" w:ascii="Times New Roman" w:hAnsi="Times New Roman" w:eastAsia="宋体" w:cs="Times New Roman"/>
                <w:color w:val="auto"/>
                <w:sz w:val="24"/>
                <w:szCs w:val="32"/>
                <w:lang w:val="en-US" w:eastAsia="zh-CN"/>
              </w:rPr>
              <w:t>密闭运输带抑尘率90%，其余以无组织形式排放在密闭厂房内，经清扫收集后回用生产工序。</w:t>
            </w:r>
          </w:p>
          <w:p w14:paraId="23BDA529">
            <w:pPr>
              <w:pStyle w:val="84"/>
              <w:keepNext w:val="0"/>
              <w:keepLines w:val="0"/>
              <w:pageBreakBefore w:val="0"/>
              <w:widowControl w:val="0"/>
              <w:kinsoku/>
              <w:wordWrap/>
              <w:overflowPunct/>
              <w:topLinePunct w:val="0"/>
              <w:autoSpaceDE/>
              <w:autoSpaceDN/>
              <w:bidi w:val="0"/>
              <w:spacing w:line="360" w:lineRule="auto"/>
              <w:ind w:left="0" w:right="0"/>
              <w:jc w:val="both"/>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（6）搅拌工序粉尘</w:t>
            </w:r>
          </w:p>
          <w:p w14:paraId="4BE2E490">
            <w:pPr>
              <w:pStyle w:val="84"/>
              <w:keepNext w:val="0"/>
              <w:keepLines w:val="0"/>
              <w:pageBreakBefore w:val="0"/>
              <w:widowControl w:val="0"/>
              <w:kinsoku/>
              <w:wordWrap/>
              <w:overflowPunct/>
              <w:topLinePunct w:val="0"/>
              <w:autoSpaceDE/>
              <w:autoSpaceDN/>
              <w:bidi w:val="0"/>
              <w:spacing w:line="360" w:lineRule="auto"/>
              <w:ind w:left="0" w:right="0" w:firstLine="481"/>
              <w:jc w:val="both"/>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本项目砼结构构件生产线，其中搅拌工序均会有粉尘产生，根据《排放源统计调查产排污核算方法和系数手册》（生态环境部公告2021年第24号）中“3021水泥制品制造（含3022砼结构构件制造、3029其他水泥类似制品制造）行业系数手册”中“3021水泥制品制造（含3022砼结构构件、3029其他水泥类似制品制造）行业系数表”，污染物产排污系数详见表</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4-4</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w:t>
            </w:r>
          </w:p>
          <w:p w14:paraId="1E99F5B8">
            <w:pPr>
              <w:pStyle w:val="84"/>
              <w:keepNext w:val="0"/>
              <w:keepLines w:val="0"/>
              <w:pageBreakBefore w:val="0"/>
              <w:widowControl w:val="0"/>
              <w:kinsoku/>
              <w:wordWrap/>
              <w:overflowPunct/>
              <w:topLinePunct w:val="0"/>
              <w:autoSpaceDE/>
              <w:autoSpaceDN/>
              <w:bidi w:val="0"/>
              <w:spacing w:line="360" w:lineRule="auto"/>
              <w:ind w:left="0" w:leftChars="0" w:right="0" w:firstLine="0" w:firstLineChars="0"/>
              <w:jc w:val="both"/>
              <w:textAlignment w:val="auto"/>
              <w:rPr>
                <w:rFonts w:hint="default" w:ascii="Times New Roman" w:hAnsi="Times New Roman" w:eastAsia="新宋体" w:cs="Times New Roman"/>
                <w:b/>
                <w:bCs/>
                <w:color w:val="000000" w:themeColor="text1"/>
                <w:kern w:val="0"/>
                <w:sz w:val="21"/>
                <w:szCs w:val="21"/>
                <w:lang w:val="en-US" w:eastAsia="zh-CN" w:bidi="ar"/>
                <w14:textFill>
                  <w14:solidFill>
                    <w14:schemeClr w14:val="tx1"/>
                  </w14:solidFill>
                </w14:textFill>
              </w:rPr>
            </w:pPr>
            <w:r>
              <w:rPr>
                <w:rFonts w:hint="default" w:ascii="Times New Roman" w:hAnsi="Times New Roman" w:eastAsia="新宋体" w:cs="Times New Roman"/>
                <w:b/>
                <w:bCs/>
                <w:color w:val="000000" w:themeColor="text1"/>
                <w:sz w:val="21"/>
                <w:szCs w:val="21"/>
                <w:lang w:val="en-US" w:eastAsia="zh-CN"/>
                <w14:textFill>
                  <w14:solidFill>
                    <w14:schemeClr w14:val="tx1"/>
                  </w14:solidFill>
                </w14:textFill>
              </w:rPr>
              <w:t>表</w:t>
            </w:r>
            <w:r>
              <w:rPr>
                <w:rFonts w:hint="eastAsia" w:ascii="Times New Roman" w:hAnsi="Times New Roman" w:eastAsia="新宋体" w:cs="Times New Roman"/>
                <w:b/>
                <w:bCs/>
                <w:color w:val="000000" w:themeColor="text1"/>
                <w:sz w:val="21"/>
                <w:szCs w:val="21"/>
                <w:lang w:val="en-US" w:eastAsia="zh-CN"/>
                <w14:textFill>
                  <w14:solidFill>
                    <w14:schemeClr w14:val="tx1"/>
                  </w14:solidFill>
                </w14:textFill>
              </w:rPr>
              <w:t>4-4</w:t>
            </w:r>
            <w:r>
              <w:rPr>
                <w:rFonts w:hint="default" w:ascii="Times New Roman" w:hAnsi="Times New Roman" w:eastAsia="新宋体" w:cs="Times New Roman"/>
                <w:b/>
                <w:bCs/>
                <w:color w:val="000000" w:themeColor="text1"/>
                <w:sz w:val="21"/>
                <w:szCs w:val="21"/>
                <w:lang w:val="en-US" w:eastAsia="zh-CN"/>
                <w14:textFill>
                  <w14:solidFill>
                    <w14:schemeClr w14:val="tx1"/>
                  </w14:solidFill>
                </w14:textFill>
              </w:rPr>
              <w:t>水泥制品制造（含3022砼结构构件、3029其他水泥类似制品制造）行业系数表</w:t>
            </w:r>
          </w:p>
          <w:tbl>
            <w:tblPr>
              <w:tblStyle w:val="2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274"/>
              <w:gridCol w:w="992"/>
              <w:gridCol w:w="980"/>
              <w:gridCol w:w="980"/>
              <w:gridCol w:w="980"/>
              <w:gridCol w:w="981"/>
              <w:gridCol w:w="996"/>
            </w:tblGrid>
            <w:tr w14:paraId="6BC906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tcBorders>
                    <w:tl2br w:val="nil"/>
                    <w:tr2bl w:val="nil"/>
                  </w:tcBorders>
                  <w:vAlign w:val="center"/>
                </w:tcPr>
                <w:p w14:paraId="12C7BBD5">
                  <w:pPr>
                    <w:pStyle w:val="40"/>
                    <w:widowControl w:val="0"/>
                    <w:jc w:val="center"/>
                    <w:rPr>
                      <w:rFonts w:hint="default" w:ascii="Times New Roman" w:hAnsi="Times New Roman" w:eastAsia="新宋体" w:cs="Times New Roman"/>
                      <w:color w:val="auto"/>
                      <w:sz w:val="21"/>
                      <w:szCs w:val="21"/>
                      <w:lang w:val="en-US" w:eastAsia="zh-CN"/>
                    </w:rPr>
                  </w:pPr>
                  <w:r>
                    <w:rPr>
                      <w:rFonts w:hint="eastAsia" w:ascii="Times New Roman" w:hAnsi="Times New Roman" w:eastAsia="新宋体" w:cs="Times New Roman"/>
                      <w:color w:val="auto"/>
                      <w:sz w:val="21"/>
                      <w:szCs w:val="21"/>
                      <w:lang w:val="en-US" w:eastAsia="zh-CN"/>
                    </w:rPr>
                    <w:t>工段名称</w:t>
                  </w:r>
                </w:p>
              </w:tc>
              <w:tc>
                <w:tcPr>
                  <w:tcW w:w="1326" w:type="dxa"/>
                  <w:tcBorders>
                    <w:tl2br w:val="nil"/>
                    <w:tr2bl w:val="nil"/>
                  </w:tcBorders>
                  <w:vAlign w:val="center"/>
                </w:tcPr>
                <w:p w14:paraId="798D3D78">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产品名称</w:t>
                  </w:r>
                </w:p>
              </w:tc>
              <w:tc>
                <w:tcPr>
                  <w:tcW w:w="1014" w:type="dxa"/>
                  <w:tcBorders>
                    <w:tl2br w:val="nil"/>
                    <w:tr2bl w:val="nil"/>
                  </w:tcBorders>
                  <w:vAlign w:val="center"/>
                </w:tcPr>
                <w:p w14:paraId="5891DCFB">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原料名称</w:t>
                  </w:r>
                </w:p>
              </w:tc>
              <w:tc>
                <w:tcPr>
                  <w:tcW w:w="1014" w:type="dxa"/>
                  <w:tcBorders>
                    <w:tl2br w:val="nil"/>
                    <w:tr2bl w:val="nil"/>
                  </w:tcBorders>
                  <w:vAlign w:val="center"/>
                </w:tcPr>
                <w:p w14:paraId="5188CF99">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工艺名称</w:t>
                  </w:r>
                </w:p>
              </w:tc>
              <w:tc>
                <w:tcPr>
                  <w:tcW w:w="1014" w:type="dxa"/>
                  <w:tcBorders>
                    <w:tl2br w:val="nil"/>
                    <w:tr2bl w:val="nil"/>
                  </w:tcBorders>
                  <w:vAlign w:val="center"/>
                </w:tcPr>
                <w:p w14:paraId="1084039E">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规模等级</w:t>
                  </w:r>
                </w:p>
              </w:tc>
              <w:tc>
                <w:tcPr>
                  <w:tcW w:w="1014" w:type="dxa"/>
                  <w:tcBorders>
                    <w:tl2br w:val="nil"/>
                    <w:tr2bl w:val="nil"/>
                  </w:tcBorders>
                  <w:vAlign w:val="center"/>
                </w:tcPr>
                <w:p w14:paraId="0472DE4B">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污染物指数</w:t>
                  </w:r>
                </w:p>
              </w:tc>
              <w:tc>
                <w:tcPr>
                  <w:tcW w:w="1014" w:type="dxa"/>
                  <w:tcBorders>
                    <w:tl2br w:val="nil"/>
                    <w:tr2bl w:val="nil"/>
                  </w:tcBorders>
                  <w:vAlign w:val="center"/>
                </w:tcPr>
                <w:p w14:paraId="3C39E5EF">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单位</w:t>
                  </w:r>
                </w:p>
              </w:tc>
              <w:tc>
                <w:tcPr>
                  <w:tcW w:w="1014" w:type="dxa"/>
                  <w:tcBorders>
                    <w:tl2br w:val="nil"/>
                    <w:tr2bl w:val="nil"/>
                  </w:tcBorders>
                  <w:vAlign w:val="center"/>
                </w:tcPr>
                <w:p w14:paraId="0B71DCB9">
                  <w:pPr>
                    <w:pStyle w:val="40"/>
                    <w:widowControl w:val="0"/>
                    <w:jc w:val="center"/>
                    <w:rPr>
                      <w:rFonts w:hint="default" w:ascii="Times New Roman" w:hAnsi="Times New Roman" w:eastAsia="新宋体" w:cs="Times New Roman"/>
                      <w:color w:val="auto"/>
                      <w:sz w:val="21"/>
                      <w:szCs w:val="21"/>
                      <w:lang w:val="en-US" w:eastAsia="zh-CN"/>
                    </w:rPr>
                  </w:pPr>
                  <w:r>
                    <w:rPr>
                      <w:rFonts w:hint="eastAsia" w:ascii="Times New Roman" w:hAnsi="Times New Roman" w:eastAsia="新宋体" w:cs="Times New Roman"/>
                      <w:color w:val="auto"/>
                      <w:sz w:val="21"/>
                      <w:szCs w:val="21"/>
                      <w:lang w:val="en-US" w:eastAsia="zh-CN"/>
                    </w:rPr>
                    <w:t>产污系数</w:t>
                  </w:r>
                </w:p>
              </w:tc>
            </w:tr>
            <w:tr w14:paraId="1F6B9F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tcBorders>
                    <w:tl2br w:val="nil"/>
                    <w:tr2bl w:val="nil"/>
                  </w:tcBorders>
                  <w:vAlign w:val="center"/>
                </w:tcPr>
                <w:p w14:paraId="2969FEE5">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物料搅拌</w:t>
                  </w:r>
                </w:p>
              </w:tc>
              <w:tc>
                <w:tcPr>
                  <w:tcW w:w="1326" w:type="dxa"/>
                  <w:tcBorders>
                    <w:tl2br w:val="nil"/>
                    <w:tr2bl w:val="nil"/>
                  </w:tcBorders>
                  <w:vAlign w:val="center"/>
                </w:tcPr>
                <w:p w14:paraId="66DFD144">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各种水泥制品</w:t>
                  </w:r>
                </w:p>
              </w:tc>
              <w:tc>
                <w:tcPr>
                  <w:tcW w:w="1014" w:type="dxa"/>
                  <w:tcBorders>
                    <w:tl2br w:val="nil"/>
                    <w:tr2bl w:val="nil"/>
                  </w:tcBorders>
                  <w:vAlign w:val="center"/>
                </w:tcPr>
                <w:p w14:paraId="307C68C9">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水泥、砂子、石子、钢筋</w:t>
                  </w:r>
                </w:p>
              </w:tc>
              <w:tc>
                <w:tcPr>
                  <w:tcW w:w="1014" w:type="dxa"/>
                  <w:tcBorders>
                    <w:tl2br w:val="nil"/>
                    <w:tr2bl w:val="nil"/>
                  </w:tcBorders>
                  <w:vAlign w:val="center"/>
                </w:tcPr>
                <w:p w14:paraId="55CF45A2">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物料混合搅拌</w:t>
                  </w:r>
                </w:p>
              </w:tc>
              <w:tc>
                <w:tcPr>
                  <w:tcW w:w="1014" w:type="dxa"/>
                  <w:tcBorders>
                    <w:tl2br w:val="nil"/>
                    <w:tr2bl w:val="nil"/>
                  </w:tcBorders>
                  <w:vAlign w:val="center"/>
                </w:tcPr>
                <w:p w14:paraId="208745BA">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所有规模</w:t>
                  </w:r>
                </w:p>
              </w:tc>
              <w:tc>
                <w:tcPr>
                  <w:tcW w:w="1014" w:type="dxa"/>
                  <w:tcBorders>
                    <w:tl2br w:val="nil"/>
                    <w:tr2bl w:val="nil"/>
                  </w:tcBorders>
                  <w:vAlign w:val="center"/>
                </w:tcPr>
                <w:p w14:paraId="3AD15B9E">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废气颗粒物</w:t>
                  </w:r>
                </w:p>
              </w:tc>
              <w:tc>
                <w:tcPr>
                  <w:tcW w:w="1014" w:type="dxa"/>
                  <w:tcBorders>
                    <w:tl2br w:val="nil"/>
                    <w:tr2bl w:val="nil"/>
                  </w:tcBorders>
                  <w:vAlign w:val="center"/>
                </w:tcPr>
                <w:p w14:paraId="24ABDEA8">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千克/吨-产品</w:t>
                  </w:r>
                </w:p>
              </w:tc>
              <w:tc>
                <w:tcPr>
                  <w:tcW w:w="1014" w:type="dxa"/>
                  <w:tcBorders>
                    <w:tl2br w:val="nil"/>
                    <w:tr2bl w:val="nil"/>
                  </w:tcBorders>
                  <w:vAlign w:val="center"/>
                </w:tcPr>
                <w:p w14:paraId="5DE8E163">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0.523</w:t>
                  </w:r>
                </w:p>
              </w:tc>
            </w:tr>
          </w:tbl>
          <w:p w14:paraId="3E7AF27B">
            <w:pPr>
              <w:pStyle w:val="84"/>
              <w:keepNext w:val="0"/>
              <w:keepLines w:val="0"/>
              <w:pageBreakBefore w:val="0"/>
              <w:widowControl w:val="0"/>
              <w:kinsoku/>
              <w:wordWrap/>
              <w:overflowPunct/>
              <w:topLinePunct w:val="0"/>
              <w:autoSpaceDE/>
              <w:autoSpaceDN/>
              <w:bidi w:val="0"/>
              <w:spacing w:line="360" w:lineRule="auto"/>
              <w:ind w:left="0" w:right="0" w:firstLine="481"/>
              <w:jc w:val="both"/>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本项目砼结构构件生产过程中搅拌工序会有粉尘产生，砼结构构件生产线产量为</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15000</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t/a，产污系数为0.523kg/t-产品，则搅拌工序中粉尘产生量为7.</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845</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t/a。</w:t>
            </w:r>
          </w:p>
          <w:p w14:paraId="2DC8CBF0">
            <w:pPr>
              <w:pStyle w:val="84"/>
              <w:keepNext w:val="0"/>
              <w:keepLines w:val="0"/>
              <w:pageBreakBefore w:val="0"/>
              <w:widowControl w:val="0"/>
              <w:kinsoku/>
              <w:wordWrap/>
              <w:overflowPunct/>
              <w:topLinePunct w:val="0"/>
              <w:autoSpaceDE/>
              <w:autoSpaceDN/>
              <w:bidi w:val="0"/>
              <w:spacing w:line="360" w:lineRule="auto"/>
              <w:ind w:left="0" w:right="0"/>
              <w:jc w:val="both"/>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①有组织粉尘</w:t>
            </w:r>
          </w:p>
          <w:p w14:paraId="0999B332">
            <w:pPr>
              <w:pStyle w:val="84"/>
              <w:keepNext w:val="0"/>
              <w:keepLines w:val="0"/>
              <w:pageBreakBefore w:val="0"/>
              <w:widowControl w:val="0"/>
              <w:kinsoku/>
              <w:wordWrap/>
              <w:overflowPunct/>
              <w:topLinePunct w:val="0"/>
              <w:autoSpaceDE/>
              <w:autoSpaceDN/>
              <w:bidi w:val="0"/>
              <w:spacing w:line="360" w:lineRule="auto"/>
              <w:ind w:left="0" w:right="0" w:firstLine="481"/>
              <w:jc w:val="both"/>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本项目砼结构构件生产过程中搅拌工序粉尘产生量为</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7.845</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t/a，产生速率为</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4.670</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kg/h。要求砼结构构件生产线搅拌机搅拌过程中密闭且在搅拌机上方设置集气罩，粉尘捕集效率达到80%，收集后经布袋除尘器处理，配套风机风量为5000m</w:t>
            </w:r>
            <w:r>
              <w:rPr>
                <w:rFonts w:hint="default" w:ascii="Times New Roman" w:hAnsi="Times New Roman" w:eastAsia="新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/h，处理后由15m高排气筒（DA00</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2</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）排放。布袋除尘器除尘效率为99.</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0</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%，则有组织粉尘排放量为</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0.06276</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t/a，排放浓度为</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7.47</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mg/m</w:t>
            </w:r>
            <w:r>
              <w:rPr>
                <w:rFonts w:hint="default" w:ascii="Times New Roman" w:hAnsi="Times New Roman" w:eastAsia="新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，排放速率为0.0</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37</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kg/h。有组织粉尘排放浓度</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满足</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《水泥工业大气污染物排放标准》（GB4915-2013）表1中“散装水泥中转站及水泥制品生产，水泥仓及其他通风生产设备，颗粒物20mg/m</w:t>
            </w:r>
            <w:r>
              <w:rPr>
                <w:rFonts w:hint="default" w:ascii="Times New Roman" w:hAnsi="Times New Roman" w:eastAsia="新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w:t>
            </w:r>
          </w:p>
          <w:p w14:paraId="75606B72">
            <w:pPr>
              <w:pStyle w:val="84"/>
              <w:keepNext w:val="0"/>
              <w:keepLines w:val="0"/>
              <w:pageBreakBefore w:val="0"/>
              <w:widowControl w:val="0"/>
              <w:kinsoku/>
              <w:wordWrap/>
              <w:overflowPunct/>
              <w:topLinePunct w:val="0"/>
              <w:autoSpaceDE/>
              <w:autoSpaceDN/>
              <w:bidi w:val="0"/>
              <w:spacing w:line="360" w:lineRule="auto"/>
              <w:ind w:left="0" w:right="0"/>
              <w:jc w:val="both"/>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②无组织粉尘</w:t>
            </w:r>
          </w:p>
          <w:p w14:paraId="3E8023E2">
            <w:pPr>
              <w:pStyle w:val="84"/>
              <w:keepNext w:val="0"/>
              <w:keepLines w:val="0"/>
              <w:pageBreakBefore w:val="0"/>
              <w:widowControl w:val="0"/>
              <w:kinsoku/>
              <w:wordWrap/>
              <w:overflowPunct/>
              <w:topLinePunct w:val="0"/>
              <w:autoSpaceDE/>
              <w:autoSpaceDN/>
              <w:bidi w:val="0"/>
              <w:spacing w:line="360" w:lineRule="auto"/>
              <w:ind w:left="0" w:right="0"/>
              <w:jc w:val="both"/>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本项目砼结构构件生产过程中搅拌工序未被收集的20%粉尘通过车间无组织排放，无组织粉尘排放量为1.</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569</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t/a，排放速率为</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0.934</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kg/h。</w:t>
            </w:r>
          </w:p>
          <w:p w14:paraId="2DE099DD">
            <w:pPr>
              <w:keepNext w:val="0"/>
              <w:keepLines w:val="0"/>
              <w:pageBreakBefore w:val="0"/>
              <w:widowControl w:val="0"/>
              <w:kinsoku/>
              <w:wordWrap/>
              <w:overflowPunct/>
              <w:topLinePunct w:val="0"/>
              <w:autoSpaceDE/>
              <w:autoSpaceDN/>
              <w:bidi w:val="0"/>
              <w:adjustRightInd w:val="0"/>
              <w:snapToGrid w:val="0"/>
              <w:spacing w:line="360" w:lineRule="auto"/>
              <w:ind w:left="0" w:right="0" w:firstLine="482" w:firstLineChars="200"/>
              <w:jc w:val="both"/>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eastAsia" w:eastAsia="新宋体" w:cs="Times New Roman"/>
                <w:b/>
                <w:bCs/>
                <w:color w:val="000000" w:themeColor="text1"/>
                <w:kern w:val="0"/>
                <w:sz w:val="24"/>
                <w:szCs w:val="24"/>
                <w:lang w:val="en-US" w:eastAsia="zh-CN" w:bidi="ar"/>
                <w14:textFill>
                  <w14:solidFill>
                    <w14:schemeClr w14:val="tx1"/>
                  </w14:solidFill>
                </w14:textFill>
              </w:rPr>
              <w:t>1.2污染源统计分析</w:t>
            </w:r>
          </w:p>
          <w:p w14:paraId="6DD2D427">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textAlignment w:val="auto"/>
              <w:rPr>
                <w:rFonts w:hint="eastAsia" w:eastAsia="新宋体" w:cs="Times New Roman"/>
                <w:color w:val="000000" w:themeColor="text1"/>
                <w:kern w:val="0"/>
                <w:sz w:val="24"/>
                <w:szCs w:val="24"/>
                <w:lang w:val="en-US" w:eastAsia="zh-CN" w:bidi="ar"/>
                <w14:textFill>
                  <w14:solidFill>
                    <w14:schemeClr w14:val="tx1"/>
                  </w14:solidFill>
                </w14:textFill>
              </w:rPr>
            </w:pPr>
            <w:r>
              <w:rPr>
                <w:rFonts w:hint="eastAsia" w:eastAsia="新宋体" w:cs="Times New Roman"/>
                <w:color w:val="000000" w:themeColor="text1"/>
                <w:kern w:val="0"/>
                <w:sz w:val="24"/>
                <w:szCs w:val="24"/>
                <w:lang w:val="en-US" w:eastAsia="zh-CN" w:bidi="ar"/>
                <w14:textFill>
                  <w14:solidFill>
                    <w14:schemeClr w14:val="tx1"/>
                  </w14:solidFill>
                </w14:textFill>
              </w:rPr>
              <w:t>根据上述分析，污染源强与分析统计见下表：</w:t>
            </w:r>
          </w:p>
          <w:p w14:paraId="1D40E76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b/>
                <w:bCs/>
                <w:color w:val="000000" w:themeColor="text1"/>
                <w:sz w:val="21"/>
                <w:szCs w:val="21"/>
                <w:lang w:val="en-US" w:eastAsia="zh-CN"/>
                <w14:textFill>
                  <w14:solidFill>
                    <w14:schemeClr w14:val="tx1"/>
                  </w14:solidFill>
                </w14:textFill>
              </w:rPr>
              <w:t>表</w:t>
            </w:r>
            <w:r>
              <w:rPr>
                <w:rFonts w:hint="eastAsia" w:ascii="Times New Roman" w:hAnsi="Times New Roman" w:eastAsia="新宋体" w:cs="Times New Roman"/>
                <w:b/>
                <w:bCs/>
                <w:color w:val="000000" w:themeColor="text1"/>
                <w:sz w:val="21"/>
                <w:szCs w:val="21"/>
                <w:lang w:val="en-US" w:eastAsia="zh-CN"/>
                <w14:textFill>
                  <w14:solidFill>
                    <w14:schemeClr w14:val="tx1"/>
                  </w14:solidFill>
                </w14:textFill>
              </w:rPr>
              <w:t>4-</w:t>
            </w:r>
            <w:r>
              <w:rPr>
                <w:rFonts w:hint="eastAsia" w:eastAsia="新宋体" w:cs="Times New Roman"/>
                <w:b/>
                <w:bCs/>
                <w:color w:val="000000" w:themeColor="text1"/>
                <w:sz w:val="21"/>
                <w:szCs w:val="21"/>
                <w:lang w:val="en-US" w:eastAsia="zh-CN"/>
                <w14:textFill>
                  <w14:solidFill>
                    <w14:schemeClr w14:val="tx1"/>
                  </w14:solidFill>
                </w14:textFill>
              </w:rPr>
              <w:t>5废气有组织排放情况一览表</w:t>
            </w:r>
          </w:p>
          <w:tbl>
            <w:tblPr>
              <w:tblStyle w:val="83"/>
              <w:tblW w:w="496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15"/>
              <w:gridCol w:w="220"/>
              <w:gridCol w:w="862"/>
              <w:gridCol w:w="640"/>
              <w:gridCol w:w="804"/>
              <w:gridCol w:w="791"/>
              <w:gridCol w:w="749"/>
              <w:gridCol w:w="715"/>
              <w:gridCol w:w="1166"/>
              <w:gridCol w:w="895"/>
              <w:gridCol w:w="755"/>
            </w:tblGrid>
            <w:tr w14:paraId="6477B0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8" w:hRule="atLeast"/>
                <w:jc w:val="center"/>
              </w:trPr>
              <w:tc>
                <w:tcPr>
                  <w:tcW w:w="137" w:type="pct"/>
                  <w:vMerge w:val="restart"/>
                  <w:tcBorders>
                    <w:tl2br w:val="nil"/>
                    <w:tr2bl w:val="nil"/>
                  </w:tcBorders>
                  <w:vAlign w:val="center"/>
                </w:tcPr>
                <w:p w14:paraId="312A1A79">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产污环节</w:t>
                  </w:r>
                </w:p>
              </w:tc>
              <w:tc>
                <w:tcPr>
                  <w:tcW w:w="140" w:type="pct"/>
                  <w:vMerge w:val="restart"/>
                  <w:tcBorders>
                    <w:tl2br w:val="nil"/>
                    <w:tr2bl w:val="nil"/>
                  </w:tcBorders>
                  <w:vAlign w:val="center"/>
                </w:tcPr>
                <w:p w14:paraId="2A79D444">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污染物种类</w:t>
                  </w:r>
                </w:p>
              </w:tc>
              <w:tc>
                <w:tcPr>
                  <w:tcW w:w="1475" w:type="pct"/>
                  <w:gridSpan w:val="3"/>
                  <w:tcBorders>
                    <w:tl2br w:val="nil"/>
                    <w:tr2bl w:val="nil"/>
                  </w:tcBorders>
                  <w:vAlign w:val="center"/>
                </w:tcPr>
                <w:p w14:paraId="14C632FF">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污染物产生</w:t>
                  </w:r>
                </w:p>
              </w:tc>
              <w:tc>
                <w:tcPr>
                  <w:tcW w:w="1445" w:type="pct"/>
                  <w:gridSpan w:val="3"/>
                  <w:tcBorders>
                    <w:tl2br w:val="nil"/>
                    <w:tr2bl w:val="nil"/>
                  </w:tcBorders>
                  <w:vAlign w:val="center"/>
                </w:tcPr>
                <w:p w14:paraId="60B80839">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治理工艺</w:t>
                  </w:r>
                </w:p>
              </w:tc>
              <w:tc>
                <w:tcPr>
                  <w:tcW w:w="1799" w:type="pct"/>
                  <w:gridSpan w:val="3"/>
                  <w:tcBorders>
                    <w:tl2br w:val="nil"/>
                    <w:tr2bl w:val="nil"/>
                  </w:tcBorders>
                  <w:vAlign w:val="center"/>
                </w:tcPr>
                <w:p w14:paraId="71D9505B">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污染物排放</w:t>
                  </w:r>
                </w:p>
              </w:tc>
            </w:tr>
            <w:tr w14:paraId="262636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90" w:hRule="atLeast"/>
                <w:jc w:val="center"/>
              </w:trPr>
              <w:tc>
                <w:tcPr>
                  <w:tcW w:w="137" w:type="pct"/>
                  <w:vMerge w:val="continue"/>
                  <w:tcBorders>
                    <w:tl2br w:val="nil"/>
                    <w:tr2bl w:val="nil"/>
                  </w:tcBorders>
                  <w:vAlign w:val="center"/>
                </w:tcPr>
                <w:p w14:paraId="6ED2E9BF">
                  <w:pPr>
                    <w:pStyle w:val="40"/>
                    <w:widowControl w:val="0"/>
                    <w:jc w:val="center"/>
                    <w:rPr>
                      <w:rFonts w:hint="default" w:ascii="Times New Roman" w:hAnsi="Times New Roman" w:eastAsia="新宋体" w:cs="Times New Roman"/>
                      <w:color w:val="auto"/>
                      <w:sz w:val="21"/>
                      <w:szCs w:val="21"/>
                      <w:lang w:val="en-US" w:eastAsia="zh-CN"/>
                    </w:rPr>
                  </w:pPr>
                </w:p>
              </w:tc>
              <w:tc>
                <w:tcPr>
                  <w:tcW w:w="140" w:type="pct"/>
                  <w:vMerge w:val="continue"/>
                  <w:tcBorders>
                    <w:tl2br w:val="nil"/>
                    <w:tr2bl w:val="nil"/>
                  </w:tcBorders>
                  <w:vAlign w:val="center"/>
                </w:tcPr>
                <w:p w14:paraId="15A1FE72">
                  <w:pPr>
                    <w:pStyle w:val="40"/>
                    <w:widowControl w:val="0"/>
                    <w:jc w:val="center"/>
                    <w:rPr>
                      <w:rFonts w:hint="default" w:ascii="Times New Roman" w:hAnsi="Times New Roman" w:eastAsia="新宋体" w:cs="Times New Roman"/>
                      <w:color w:val="auto"/>
                      <w:sz w:val="21"/>
                      <w:szCs w:val="21"/>
                      <w:lang w:val="en-US" w:eastAsia="zh-CN"/>
                    </w:rPr>
                  </w:pPr>
                </w:p>
              </w:tc>
              <w:tc>
                <w:tcPr>
                  <w:tcW w:w="551" w:type="pct"/>
                  <w:tcBorders>
                    <w:tl2br w:val="nil"/>
                    <w:tr2bl w:val="nil"/>
                  </w:tcBorders>
                  <w:vAlign w:val="center"/>
                </w:tcPr>
                <w:p w14:paraId="79CA80A6">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风量（m3/h）</w:t>
                  </w:r>
                </w:p>
              </w:tc>
              <w:tc>
                <w:tcPr>
                  <w:tcW w:w="409" w:type="pct"/>
                  <w:tcBorders>
                    <w:tl2br w:val="nil"/>
                    <w:tr2bl w:val="nil"/>
                  </w:tcBorders>
                  <w:vAlign w:val="center"/>
                </w:tcPr>
                <w:p w14:paraId="61D0524F">
                  <w:pPr>
                    <w:pStyle w:val="40"/>
                    <w:widowControl w:val="0"/>
                    <w:jc w:val="center"/>
                    <w:rPr>
                      <w:rFonts w:hint="default" w:ascii="Times New Roman" w:hAnsi="Times New Roman" w:eastAsia="新宋体" w:cs="Times New Roman"/>
                      <w:color w:val="auto"/>
                      <w:sz w:val="21"/>
                      <w:szCs w:val="21"/>
                      <w:lang w:val="en-US" w:eastAsia="zh-CN"/>
                    </w:rPr>
                  </w:pPr>
                  <w:r>
                    <w:rPr>
                      <w:rFonts w:hint="eastAsia" w:eastAsia="新宋体" w:cs="Times New Roman"/>
                      <w:color w:val="auto"/>
                      <w:sz w:val="21"/>
                      <w:szCs w:val="21"/>
                      <w:lang w:val="en-US" w:eastAsia="zh-CN"/>
                    </w:rPr>
                    <w:t>产生量（t/a）</w:t>
                  </w:r>
                </w:p>
              </w:tc>
              <w:tc>
                <w:tcPr>
                  <w:tcW w:w="514" w:type="pct"/>
                  <w:tcBorders>
                    <w:tl2br w:val="nil"/>
                    <w:tr2bl w:val="nil"/>
                  </w:tcBorders>
                  <w:vAlign w:val="center"/>
                </w:tcPr>
                <w:p w14:paraId="5537DE29">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产生量速率（kg/h）</w:t>
                  </w:r>
                </w:p>
              </w:tc>
              <w:tc>
                <w:tcPr>
                  <w:tcW w:w="507" w:type="pct"/>
                  <w:tcBorders>
                    <w:tl2br w:val="nil"/>
                    <w:tr2bl w:val="nil"/>
                  </w:tcBorders>
                  <w:vAlign w:val="center"/>
                </w:tcPr>
                <w:p w14:paraId="07B450DA">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工艺</w:t>
                  </w:r>
                </w:p>
              </w:tc>
              <w:tc>
                <w:tcPr>
                  <w:tcW w:w="480" w:type="pct"/>
                  <w:tcBorders>
                    <w:tl2br w:val="nil"/>
                    <w:tr2bl w:val="nil"/>
                  </w:tcBorders>
                  <w:vAlign w:val="center"/>
                </w:tcPr>
                <w:p w14:paraId="4BA4718E">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效率（%）</w:t>
                  </w:r>
                </w:p>
              </w:tc>
              <w:tc>
                <w:tcPr>
                  <w:tcW w:w="457" w:type="pct"/>
                  <w:tcBorders>
                    <w:tl2br w:val="nil"/>
                    <w:tr2bl w:val="nil"/>
                  </w:tcBorders>
                  <w:vAlign w:val="center"/>
                </w:tcPr>
                <w:p w14:paraId="4953F52B">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是否为可行技术</w:t>
                  </w:r>
                </w:p>
              </w:tc>
              <w:tc>
                <w:tcPr>
                  <w:tcW w:w="747" w:type="pct"/>
                  <w:tcBorders>
                    <w:tl2br w:val="nil"/>
                    <w:tr2bl w:val="nil"/>
                  </w:tcBorders>
                  <w:vAlign w:val="center"/>
                </w:tcPr>
                <w:p w14:paraId="02BA275B">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排放浓度（mg/m3）</w:t>
                  </w:r>
                </w:p>
              </w:tc>
              <w:tc>
                <w:tcPr>
                  <w:tcW w:w="573" w:type="pct"/>
                  <w:tcBorders>
                    <w:tl2br w:val="nil"/>
                    <w:tr2bl w:val="nil"/>
                  </w:tcBorders>
                  <w:vAlign w:val="center"/>
                </w:tcPr>
                <w:p w14:paraId="69E06B31">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排放量速率（kg/h）</w:t>
                  </w:r>
                </w:p>
              </w:tc>
              <w:tc>
                <w:tcPr>
                  <w:tcW w:w="478" w:type="pct"/>
                  <w:tcBorders>
                    <w:tl2br w:val="nil"/>
                    <w:tr2bl w:val="nil"/>
                  </w:tcBorders>
                  <w:vAlign w:val="center"/>
                </w:tcPr>
                <w:p w14:paraId="02153B1A">
                  <w:pPr>
                    <w:pStyle w:val="40"/>
                    <w:widowControl w:val="0"/>
                    <w:jc w:val="center"/>
                    <w:rPr>
                      <w:rFonts w:hint="default" w:ascii="Times New Roman" w:hAnsi="Times New Roman" w:eastAsia="新宋体" w:cs="Times New Roman"/>
                      <w:color w:val="auto"/>
                      <w:sz w:val="21"/>
                      <w:szCs w:val="21"/>
                      <w:lang w:val="en-US" w:eastAsia="zh-CN"/>
                    </w:rPr>
                  </w:pPr>
                  <w:r>
                    <w:rPr>
                      <w:rFonts w:hint="eastAsia" w:eastAsia="新宋体" w:cs="Times New Roman"/>
                      <w:color w:val="auto"/>
                      <w:sz w:val="21"/>
                      <w:szCs w:val="21"/>
                      <w:lang w:val="en-US" w:eastAsia="zh-CN"/>
                    </w:rPr>
                    <w:t>排放量（t/a）</w:t>
                  </w:r>
                </w:p>
              </w:tc>
            </w:tr>
            <w:tr w14:paraId="5EC266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90" w:hRule="atLeast"/>
                <w:jc w:val="center"/>
              </w:trPr>
              <w:tc>
                <w:tcPr>
                  <w:tcW w:w="137" w:type="pct"/>
                  <w:tcBorders>
                    <w:tl2br w:val="nil"/>
                    <w:tr2bl w:val="nil"/>
                  </w:tcBorders>
                  <w:vAlign w:val="center"/>
                </w:tcPr>
                <w:p w14:paraId="1CCF79B0">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投料工序</w:t>
                  </w:r>
                </w:p>
              </w:tc>
              <w:tc>
                <w:tcPr>
                  <w:tcW w:w="140" w:type="pct"/>
                  <w:tcBorders>
                    <w:tl2br w:val="nil"/>
                    <w:tr2bl w:val="nil"/>
                  </w:tcBorders>
                  <w:vAlign w:val="center"/>
                </w:tcPr>
                <w:p w14:paraId="005DCE76">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粉尘</w:t>
                  </w:r>
                </w:p>
              </w:tc>
              <w:tc>
                <w:tcPr>
                  <w:tcW w:w="551" w:type="pct"/>
                  <w:tcBorders>
                    <w:tl2br w:val="nil"/>
                    <w:tr2bl w:val="nil"/>
                  </w:tcBorders>
                  <w:vAlign w:val="center"/>
                </w:tcPr>
                <w:p w14:paraId="5E548113">
                  <w:pPr>
                    <w:pStyle w:val="40"/>
                    <w:widowControl w:val="0"/>
                    <w:jc w:val="center"/>
                    <w:rPr>
                      <w:rFonts w:hint="default" w:ascii="Times New Roman" w:hAnsi="Times New Roman" w:eastAsia="新宋体" w:cs="Times New Roman"/>
                      <w:color w:val="auto"/>
                      <w:sz w:val="21"/>
                      <w:szCs w:val="21"/>
                      <w:lang w:val="en-US" w:eastAsia="zh-CN"/>
                    </w:rPr>
                  </w:pPr>
                  <w:r>
                    <w:rPr>
                      <w:rFonts w:hint="eastAsia" w:eastAsia="新宋体" w:cs="Times New Roman"/>
                      <w:color w:val="auto"/>
                      <w:sz w:val="21"/>
                      <w:szCs w:val="21"/>
                      <w:lang w:val="en-US" w:eastAsia="zh-CN"/>
                    </w:rPr>
                    <w:t>1000</w:t>
                  </w:r>
                </w:p>
              </w:tc>
              <w:tc>
                <w:tcPr>
                  <w:tcW w:w="409" w:type="pct"/>
                  <w:tcBorders>
                    <w:tl2br w:val="nil"/>
                    <w:tr2bl w:val="nil"/>
                  </w:tcBorders>
                  <w:vAlign w:val="center"/>
                </w:tcPr>
                <w:p w14:paraId="09580616">
                  <w:pPr>
                    <w:pStyle w:val="40"/>
                    <w:widowControl w:val="0"/>
                    <w:jc w:val="center"/>
                    <w:rPr>
                      <w:rFonts w:hint="default" w:ascii="Times New Roman" w:hAnsi="Times New Roman" w:eastAsia="新宋体" w:cs="Times New Roman"/>
                      <w:color w:val="auto"/>
                      <w:sz w:val="21"/>
                      <w:szCs w:val="21"/>
                      <w:lang w:val="en-US" w:eastAsia="zh-CN"/>
                    </w:rPr>
                  </w:pPr>
                  <w:r>
                    <w:rPr>
                      <w:rFonts w:hint="eastAsia" w:eastAsia="新宋体" w:cs="Times New Roman"/>
                      <w:color w:val="auto"/>
                      <w:sz w:val="21"/>
                      <w:szCs w:val="21"/>
                      <w:lang w:val="en-US" w:eastAsia="zh-CN"/>
                    </w:rPr>
                    <w:t>1.2</w:t>
                  </w:r>
                </w:p>
              </w:tc>
              <w:tc>
                <w:tcPr>
                  <w:tcW w:w="514" w:type="pct"/>
                  <w:tcBorders>
                    <w:tl2br w:val="nil"/>
                    <w:tr2bl w:val="nil"/>
                  </w:tcBorders>
                  <w:vAlign w:val="center"/>
                </w:tcPr>
                <w:p w14:paraId="4CA28AB7">
                  <w:pPr>
                    <w:pStyle w:val="40"/>
                    <w:widowControl w:val="0"/>
                    <w:jc w:val="center"/>
                    <w:rPr>
                      <w:rFonts w:hint="default" w:ascii="Times New Roman" w:hAnsi="Times New Roman" w:eastAsia="新宋体" w:cs="Times New Roman"/>
                      <w:color w:val="auto"/>
                      <w:sz w:val="21"/>
                      <w:szCs w:val="21"/>
                      <w:lang w:val="en-US" w:eastAsia="zh-CN"/>
                    </w:rPr>
                  </w:pPr>
                  <w:r>
                    <w:rPr>
                      <w:rFonts w:hint="eastAsia" w:eastAsia="新宋体" w:cs="Times New Roman"/>
                      <w:color w:val="auto"/>
                      <w:sz w:val="21"/>
                      <w:szCs w:val="21"/>
                      <w:lang w:val="en-US" w:eastAsia="zh-CN"/>
                    </w:rPr>
                    <w:t>0.714</w:t>
                  </w:r>
                </w:p>
              </w:tc>
              <w:tc>
                <w:tcPr>
                  <w:tcW w:w="507" w:type="pct"/>
                  <w:tcBorders>
                    <w:tl2br w:val="nil"/>
                    <w:tr2bl w:val="nil"/>
                  </w:tcBorders>
                  <w:vAlign w:val="center"/>
                </w:tcPr>
                <w:p w14:paraId="54124283">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布袋除尘器</w:t>
                  </w:r>
                </w:p>
              </w:tc>
              <w:tc>
                <w:tcPr>
                  <w:tcW w:w="480" w:type="pct"/>
                  <w:tcBorders>
                    <w:tl2br w:val="nil"/>
                    <w:tr2bl w:val="nil"/>
                  </w:tcBorders>
                  <w:vAlign w:val="center"/>
                </w:tcPr>
                <w:p w14:paraId="5D5627FF">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99.</w:t>
                  </w:r>
                  <w:r>
                    <w:rPr>
                      <w:rFonts w:hint="eastAsia" w:eastAsia="新宋体" w:cs="Times New Roman"/>
                      <w:color w:val="auto"/>
                      <w:sz w:val="21"/>
                      <w:szCs w:val="21"/>
                      <w:lang w:val="en-US" w:eastAsia="zh-CN"/>
                    </w:rPr>
                    <w:t>0</w:t>
                  </w:r>
                </w:p>
              </w:tc>
              <w:tc>
                <w:tcPr>
                  <w:tcW w:w="457" w:type="pct"/>
                  <w:tcBorders>
                    <w:tl2br w:val="nil"/>
                    <w:tr2bl w:val="nil"/>
                  </w:tcBorders>
                  <w:vAlign w:val="center"/>
                </w:tcPr>
                <w:p w14:paraId="3E837A33">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是</w:t>
                  </w:r>
                </w:p>
              </w:tc>
              <w:tc>
                <w:tcPr>
                  <w:tcW w:w="747" w:type="pct"/>
                  <w:tcBorders>
                    <w:tl2br w:val="nil"/>
                    <w:tr2bl w:val="nil"/>
                  </w:tcBorders>
                  <w:vAlign w:val="center"/>
                </w:tcPr>
                <w:p w14:paraId="2565B68A">
                  <w:pPr>
                    <w:pStyle w:val="40"/>
                    <w:widowControl w:val="0"/>
                    <w:jc w:val="center"/>
                    <w:rPr>
                      <w:rFonts w:hint="default" w:ascii="Times New Roman" w:hAnsi="Times New Roman" w:eastAsia="新宋体" w:cs="Times New Roman"/>
                      <w:color w:val="auto"/>
                      <w:sz w:val="21"/>
                      <w:szCs w:val="21"/>
                      <w:lang w:val="en-US" w:eastAsia="zh-CN"/>
                    </w:rPr>
                  </w:pPr>
                  <w:r>
                    <w:rPr>
                      <w:rFonts w:hint="eastAsia" w:eastAsia="新宋体" w:cs="Times New Roman"/>
                      <w:color w:val="auto"/>
                      <w:sz w:val="21"/>
                      <w:szCs w:val="21"/>
                      <w:lang w:val="en-US" w:eastAsia="zh-CN"/>
                    </w:rPr>
                    <w:t>5.71</w:t>
                  </w:r>
                </w:p>
              </w:tc>
              <w:tc>
                <w:tcPr>
                  <w:tcW w:w="573" w:type="pct"/>
                  <w:tcBorders>
                    <w:tl2br w:val="nil"/>
                    <w:tr2bl w:val="nil"/>
                  </w:tcBorders>
                  <w:vAlign w:val="center"/>
                </w:tcPr>
                <w:p w14:paraId="733540BD">
                  <w:pPr>
                    <w:pStyle w:val="40"/>
                    <w:widowControl w:val="0"/>
                    <w:jc w:val="center"/>
                    <w:rPr>
                      <w:rFonts w:hint="default" w:ascii="Times New Roman" w:hAnsi="Times New Roman" w:eastAsia="新宋体" w:cs="Times New Roman"/>
                      <w:color w:val="auto"/>
                      <w:sz w:val="21"/>
                      <w:szCs w:val="21"/>
                      <w:lang w:val="en-US" w:eastAsia="zh-CN"/>
                    </w:rPr>
                  </w:pPr>
                  <w:r>
                    <w:rPr>
                      <w:rFonts w:hint="eastAsia" w:eastAsia="新宋体" w:cs="Times New Roman"/>
                      <w:color w:val="auto"/>
                      <w:sz w:val="21"/>
                      <w:szCs w:val="21"/>
                      <w:lang w:val="en-US" w:eastAsia="zh-CN"/>
                    </w:rPr>
                    <w:t>0.0057</w:t>
                  </w:r>
                </w:p>
              </w:tc>
              <w:tc>
                <w:tcPr>
                  <w:tcW w:w="478" w:type="pct"/>
                  <w:tcBorders>
                    <w:tl2br w:val="nil"/>
                    <w:tr2bl w:val="nil"/>
                  </w:tcBorders>
                  <w:vAlign w:val="center"/>
                </w:tcPr>
                <w:p w14:paraId="6903C092">
                  <w:pPr>
                    <w:pStyle w:val="40"/>
                    <w:widowControl w:val="0"/>
                    <w:jc w:val="center"/>
                    <w:rPr>
                      <w:rFonts w:hint="default" w:ascii="Times New Roman" w:hAnsi="Times New Roman" w:eastAsia="新宋体" w:cs="Times New Roman"/>
                      <w:color w:val="auto"/>
                      <w:sz w:val="21"/>
                      <w:szCs w:val="21"/>
                      <w:lang w:val="en-US" w:eastAsia="zh-CN"/>
                    </w:rPr>
                  </w:pPr>
                  <w:r>
                    <w:rPr>
                      <w:rFonts w:hint="eastAsia" w:eastAsia="新宋体" w:cs="Times New Roman"/>
                      <w:color w:val="auto"/>
                      <w:sz w:val="21"/>
                      <w:szCs w:val="21"/>
                      <w:lang w:val="en-US" w:eastAsia="zh-CN"/>
                    </w:rPr>
                    <w:t>0.0096</w:t>
                  </w:r>
                </w:p>
              </w:tc>
            </w:tr>
            <w:tr w14:paraId="751BD5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23" w:hRule="atLeast"/>
                <w:jc w:val="center"/>
              </w:trPr>
              <w:tc>
                <w:tcPr>
                  <w:tcW w:w="137" w:type="pct"/>
                  <w:tcBorders>
                    <w:tl2br w:val="nil"/>
                    <w:tr2bl w:val="nil"/>
                  </w:tcBorders>
                  <w:vAlign w:val="center"/>
                </w:tcPr>
                <w:p w14:paraId="75B27E74">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搅拌工序</w:t>
                  </w:r>
                </w:p>
              </w:tc>
              <w:tc>
                <w:tcPr>
                  <w:tcW w:w="140" w:type="pct"/>
                  <w:tcBorders>
                    <w:tl2br w:val="nil"/>
                    <w:tr2bl w:val="nil"/>
                  </w:tcBorders>
                  <w:vAlign w:val="center"/>
                </w:tcPr>
                <w:p w14:paraId="0961718C">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粉尘</w:t>
                  </w:r>
                </w:p>
              </w:tc>
              <w:tc>
                <w:tcPr>
                  <w:tcW w:w="551" w:type="pct"/>
                  <w:tcBorders>
                    <w:tl2br w:val="nil"/>
                    <w:tr2bl w:val="nil"/>
                  </w:tcBorders>
                  <w:vAlign w:val="center"/>
                </w:tcPr>
                <w:p w14:paraId="5E26098B">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5000</w:t>
                  </w:r>
                </w:p>
              </w:tc>
              <w:tc>
                <w:tcPr>
                  <w:tcW w:w="409" w:type="pct"/>
                  <w:tcBorders>
                    <w:tl2br w:val="nil"/>
                    <w:tr2bl w:val="nil"/>
                  </w:tcBorders>
                  <w:vAlign w:val="center"/>
                </w:tcPr>
                <w:p w14:paraId="5F1488EF">
                  <w:pPr>
                    <w:pStyle w:val="40"/>
                    <w:widowControl w:val="0"/>
                    <w:jc w:val="center"/>
                    <w:rPr>
                      <w:rFonts w:hint="default" w:ascii="Times New Roman" w:hAnsi="Times New Roman" w:eastAsia="新宋体" w:cs="Times New Roman"/>
                      <w:color w:val="auto"/>
                      <w:sz w:val="21"/>
                      <w:szCs w:val="21"/>
                      <w:lang w:val="en-US" w:eastAsia="zh-CN"/>
                    </w:rPr>
                  </w:pPr>
                  <w:r>
                    <w:rPr>
                      <w:rFonts w:hint="eastAsia" w:eastAsia="新宋体" w:cs="Times New Roman"/>
                      <w:color w:val="auto"/>
                      <w:sz w:val="21"/>
                      <w:szCs w:val="21"/>
                      <w:lang w:val="en-US" w:eastAsia="zh-CN"/>
                    </w:rPr>
                    <w:t>7.845</w:t>
                  </w:r>
                </w:p>
              </w:tc>
              <w:tc>
                <w:tcPr>
                  <w:tcW w:w="514" w:type="pct"/>
                  <w:tcBorders>
                    <w:tl2br w:val="nil"/>
                    <w:tr2bl w:val="nil"/>
                  </w:tcBorders>
                  <w:vAlign w:val="center"/>
                </w:tcPr>
                <w:p w14:paraId="5B61BC46">
                  <w:pPr>
                    <w:pStyle w:val="40"/>
                    <w:widowControl w:val="0"/>
                    <w:jc w:val="center"/>
                    <w:rPr>
                      <w:rFonts w:hint="default" w:ascii="Times New Roman" w:hAnsi="Times New Roman" w:eastAsia="新宋体" w:cs="Times New Roman"/>
                      <w:color w:val="auto"/>
                      <w:sz w:val="21"/>
                      <w:szCs w:val="21"/>
                      <w:lang w:val="en-US" w:eastAsia="zh-CN"/>
                    </w:rPr>
                  </w:pPr>
                  <w:r>
                    <w:rPr>
                      <w:rFonts w:hint="eastAsia" w:eastAsia="新宋体" w:cs="Times New Roman"/>
                      <w:color w:val="auto"/>
                      <w:sz w:val="21"/>
                      <w:szCs w:val="21"/>
                      <w:lang w:val="en-US" w:eastAsia="zh-CN"/>
                    </w:rPr>
                    <w:t>4.670</w:t>
                  </w:r>
                </w:p>
              </w:tc>
              <w:tc>
                <w:tcPr>
                  <w:tcW w:w="507" w:type="pct"/>
                  <w:tcBorders>
                    <w:tl2br w:val="nil"/>
                    <w:tr2bl w:val="nil"/>
                  </w:tcBorders>
                  <w:vAlign w:val="center"/>
                </w:tcPr>
                <w:p w14:paraId="21A16F44">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布袋除尘器</w:t>
                  </w:r>
                </w:p>
              </w:tc>
              <w:tc>
                <w:tcPr>
                  <w:tcW w:w="480" w:type="pct"/>
                  <w:tcBorders>
                    <w:tl2br w:val="nil"/>
                    <w:tr2bl w:val="nil"/>
                  </w:tcBorders>
                  <w:vAlign w:val="center"/>
                </w:tcPr>
                <w:p w14:paraId="2DB43302">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99.</w:t>
                  </w:r>
                  <w:r>
                    <w:rPr>
                      <w:rFonts w:hint="eastAsia" w:eastAsia="新宋体" w:cs="Times New Roman"/>
                      <w:color w:val="auto"/>
                      <w:sz w:val="21"/>
                      <w:szCs w:val="21"/>
                      <w:lang w:val="en-US" w:eastAsia="zh-CN"/>
                    </w:rPr>
                    <w:t>0</w:t>
                  </w:r>
                </w:p>
              </w:tc>
              <w:tc>
                <w:tcPr>
                  <w:tcW w:w="457" w:type="pct"/>
                  <w:tcBorders>
                    <w:tl2br w:val="nil"/>
                    <w:tr2bl w:val="nil"/>
                  </w:tcBorders>
                  <w:vAlign w:val="center"/>
                </w:tcPr>
                <w:p w14:paraId="3800C5BF">
                  <w:pPr>
                    <w:pStyle w:val="40"/>
                    <w:widowControl w:val="0"/>
                    <w:jc w:val="center"/>
                    <w:rPr>
                      <w:rFonts w:hint="default" w:ascii="Times New Roman" w:hAnsi="Times New Roman" w:eastAsia="新宋体" w:cs="Times New Roman"/>
                      <w:color w:val="auto"/>
                      <w:sz w:val="21"/>
                      <w:szCs w:val="21"/>
                      <w:lang w:val="en-US" w:eastAsia="zh-CN"/>
                    </w:rPr>
                  </w:pPr>
                </w:p>
                <w:p w14:paraId="21B8098C">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是</w:t>
                  </w:r>
                </w:p>
              </w:tc>
              <w:tc>
                <w:tcPr>
                  <w:tcW w:w="747" w:type="pct"/>
                  <w:tcBorders>
                    <w:tl2br w:val="nil"/>
                    <w:tr2bl w:val="nil"/>
                  </w:tcBorders>
                  <w:vAlign w:val="center"/>
                </w:tcPr>
                <w:p w14:paraId="2426313A">
                  <w:pPr>
                    <w:pStyle w:val="40"/>
                    <w:widowControl w:val="0"/>
                    <w:jc w:val="center"/>
                    <w:rPr>
                      <w:rFonts w:hint="default" w:ascii="Times New Roman" w:hAnsi="Times New Roman" w:eastAsia="新宋体" w:cs="Times New Roman"/>
                      <w:color w:val="auto"/>
                      <w:sz w:val="21"/>
                      <w:szCs w:val="21"/>
                      <w:lang w:val="en-US" w:eastAsia="zh-CN"/>
                    </w:rPr>
                  </w:pPr>
                  <w:r>
                    <w:rPr>
                      <w:rFonts w:hint="eastAsia" w:eastAsia="新宋体" w:cs="Times New Roman"/>
                      <w:color w:val="auto"/>
                      <w:sz w:val="21"/>
                      <w:szCs w:val="21"/>
                      <w:lang w:val="en-US" w:eastAsia="zh-CN"/>
                    </w:rPr>
                    <w:t>7.47</w:t>
                  </w:r>
                </w:p>
              </w:tc>
              <w:tc>
                <w:tcPr>
                  <w:tcW w:w="573" w:type="pct"/>
                  <w:tcBorders>
                    <w:tl2br w:val="nil"/>
                    <w:tr2bl w:val="nil"/>
                  </w:tcBorders>
                  <w:vAlign w:val="center"/>
                </w:tcPr>
                <w:p w14:paraId="7990AC79">
                  <w:pPr>
                    <w:pStyle w:val="40"/>
                    <w:widowControl w:val="0"/>
                    <w:jc w:val="center"/>
                    <w:rPr>
                      <w:rFonts w:hint="default" w:ascii="Times New Roman" w:hAnsi="Times New Roman" w:eastAsia="新宋体" w:cs="Times New Roman"/>
                      <w:color w:val="auto"/>
                      <w:sz w:val="21"/>
                      <w:szCs w:val="21"/>
                      <w:lang w:val="en-US" w:eastAsia="zh-CN"/>
                    </w:rPr>
                  </w:pPr>
                  <w:r>
                    <w:rPr>
                      <w:rFonts w:hint="eastAsia" w:eastAsia="新宋体" w:cs="Times New Roman"/>
                      <w:color w:val="auto"/>
                      <w:sz w:val="21"/>
                      <w:szCs w:val="21"/>
                      <w:lang w:val="en-US" w:eastAsia="zh-CN"/>
                    </w:rPr>
                    <w:t>0.037</w:t>
                  </w:r>
                </w:p>
              </w:tc>
              <w:tc>
                <w:tcPr>
                  <w:tcW w:w="478" w:type="pct"/>
                  <w:tcBorders>
                    <w:tl2br w:val="nil"/>
                    <w:tr2bl w:val="nil"/>
                  </w:tcBorders>
                  <w:vAlign w:val="center"/>
                </w:tcPr>
                <w:p w14:paraId="08DDC794">
                  <w:pPr>
                    <w:pStyle w:val="40"/>
                    <w:widowControl w:val="0"/>
                    <w:jc w:val="center"/>
                    <w:rPr>
                      <w:rFonts w:hint="default" w:ascii="Times New Roman" w:hAnsi="Times New Roman" w:eastAsia="新宋体" w:cs="Times New Roman"/>
                      <w:color w:val="auto"/>
                      <w:sz w:val="21"/>
                      <w:szCs w:val="21"/>
                      <w:lang w:val="en-US" w:eastAsia="zh-CN"/>
                    </w:rPr>
                  </w:pPr>
                  <w:r>
                    <w:rPr>
                      <w:rFonts w:hint="eastAsia" w:eastAsia="新宋体" w:cs="Times New Roman"/>
                      <w:color w:val="auto"/>
                      <w:sz w:val="21"/>
                      <w:szCs w:val="21"/>
                      <w:lang w:val="en-US" w:eastAsia="zh-CN"/>
                    </w:rPr>
                    <w:t>0.06276</w:t>
                  </w:r>
                </w:p>
              </w:tc>
            </w:tr>
            <w:tr w14:paraId="5111A3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000" w:type="pct"/>
                  <w:gridSpan w:val="11"/>
                  <w:tcBorders>
                    <w:tl2br w:val="nil"/>
                    <w:tr2bl w:val="nil"/>
                  </w:tcBorders>
                  <w:vAlign w:val="center"/>
                </w:tcPr>
                <w:p w14:paraId="7E5A7B72">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排放量合计：0.07236t/a</w:t>
                  </w:r>
                </w:p>
              </w:tc>
            </w:tr>
          </w:tbl>
          <w:p w14:paraId="3797C3E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新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b/>
                <w:bCs/>
                <w:color w:val="000000" w:themeColor="text1"/>
                <w:sz w:val="21"/>
                <w:szCs w:val="21"/>
                <w:lang w:val="en-US" w:eastAsia="zh-CN"/>
                <w14:textFill>
                  <w14:solidFill>
                    <w14:schemeClr w14:val="tx1"/>
                  </w14:solidFill>
                </w14:textFill>
              </w:rPr>
              <w:t>表</w:t>
            </w:r>
            <w:r>
              <w:rPr>
                <w:rFonts w:hint="eastAsia" w:ascii="Times New Roman" w:hAnsi="Times New Roman" w:eastAsia="新宋体" w:cs="Times New Roman"/>
                <w:b/>
                <w:bCs/>
                <w:color w:val="000000" w:themeColor="text1"/>
                <w:sz w:val="21"/>
                <w:szCs w:val="21"/>
                <w:lang w:val="en-US" w:eastAsia="zh-CN"/>
                <w14:textFill>
                  <w14:solidFill>
                    <w14:schemeClr w14:val="tx1"/>
                  </w14:solidFill>
                </w14:textFill>
              </w:rPr>
              <w:t>4-</w:t>
            </w:r>
            <w:r>
              <w:rPr>
                <w:rFonts w:hint="eastAsia" w:eastAsia="新宋体" w:cs="Times New Roman"/>
                <w:b/>
                <w:bCs/>
                <w:color w:val="000000" w:themeColor="text1"/>
                <w:sz w:val="21"/>
                <w:szCs w:val="21"/>
                <w:lang w:val="en-US" w:eastAsia="zh-CN"/>
                <w14:textFill>
                  <w14:solidFill>
                    <w14:schemeClr w14:val="tx1"/>
                  </w14:solidFill>
                </w14:textFill>
              </w:rPr>
              <w:t>6废气无组织排放情况一览表</w:t>
            </w:r>
          </w:p>
          <w:tbl>
            <w:tblPr>
              <w:tblStyle w:val="83"/>
              <w:tblW w:w="4967"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962"/>
              <w:gridCol w:w="967"/>
              <w:gridCol w:w="967"/>
              <w:gridCol w:w="1342"/>
              <w:gridCol w:w="601"/>
              <w:gridCol w:w="951"/>
              <w:gridCol w:w="888"/>
              <w:gridCol w:w="1135"/>
            </w:tblGrid>
            <w:tr w14:paraId="63F6238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6" w:hRule="atLeast"/>
                <w:jc w:val="center"/>
              </w:trPr>
              <w:tc>
                <w:tcPr>
                  <w:tcW w:w="620" w:type="pct"/>
                  <w:vMerge w:val="restart"/>
                  <w:tcBorders>
                    <w:tl2br w:val="nil"/>
                    <w:tr2bl w:val="nil"/>
                  </w:tcBorders>
                  <w:vAlign w:val="center"/>
                </w:tcPr>
                <w:p w14:paraId="68A84418">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产污环节</w:t>
                  </w:r>
                </w:p>
              </w:tc>
              <w:tc>
                <w:tcPr>
                  <w:tcW w:w="623" w:type="pct"/>
                  <w:vMerge w:val="restart"/>
                  <w:tcBorders>
                    <w:tl2br w:val="nil"/>
                    <w:tr2bl w:val="nil"/>
                  </w:tcBorders>
                  <w:vAlign w:val="center"/>
                </w:tcPr>
                <w:p w14:paraId="3D1CC01A">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污染物种类</w:t>
                  </w:r>
                </w:p>
              </w:tc>
              <w:tc>
                <w:tcPr>
                  <w:tcW w:w="623" w:type="pct"/>
                  <w:tcBorders>
                    <w:tl2br w:val="nil"/>
                    <w:tr2bl w:val="nil"/>
                  </w:tcBorders>
                  <w:vAlign w:val="center"/>
                </w:tcPr>
                <w:p w14:paraId="24B4BC42">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污染物产生</w:t>
                  </w:r>
                </w:p>
              </w:tc>
              <w:tc>
                <w:tcPr>
                  <w:tcW w:w="1830" w:type="pct"/>
                  <w:gridSpan w:val="3"/>
                  <w:tcBorders>
                    <w:tl2br w:val="nil"/>
                    <w:tr2bl w:val="nil"/>
                  </w:tcBorders>
                  <w:vAlign w:val="center"/>
                </w:tcPr>
                <w:p w14:paraId="28CB0A72">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治理措施</w:t>
                  </w:r>
                </w:p>
              </w:tc>
              <w:tc>
                <w:tcPr>
                  <w:tcW w:w="1302" w:type="pct"/>
                  <w:gridSpan w:val="2"/>
                  <w:tcBorders>
                    <w:tl2br w:val="nil"/>
                    <w:tr2bl w:val="nil"/>
                  </w:tcBorders>
                  <w:vAlign w:val="center"/>
                </w:tcPr>
                <w:p w14:paraId="16C5CF07">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污染物排放</w:t>
                  </w:r>
                </w:p>
              </w:tc>
            </w:tr>
            <w:tr w14:paraId="6394BE3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88" w:hRule="atLeast"/>
                <w:jc w:val="center"/>
              </w:trPr>
              <w:tc>
                <w:tcPr>
                  <w:tcW w:w="620" w:type="pct"/>
                  <w:vMerge w:val="continue"/>
                  <w:tcBorders>
                    <w:tl2br w:val="nil"/>
                    <w:tr2bl w:val="nil"/>
                  </w:tcBorders>
                  <w:vAlign w:val="center"/>
                </w:tcPr>
                <w:p w14:paraId="18CE6396">
                  <w:pPr>
                    <w:pStyle w:val="40"/>
                    <w:widowControl w:val="0"/>
                    <w:jc w:val="center"/>
                    <w:rPr>
                      <w:rFonts w:hint="eastAsia" w:eastAsia="新宋体" w:cs="Times New Roman"/>
                      <w:color w:val="auto"/>
                      <w:sz w:val="21"/>
                      <w:szCs w:val="21"/>
                      <w:lang w:val="en-US" w:eastAsia="zh-CN"/>
                    </w:rPr>
                  </w:pPr>
                </w:p>
              </w:tc>
              <w:tc>
                <w:tcPr>
                  <w:tcW w:w="623" w:type="pct"/>
                  <w:vMerge w:val="continue"/>
                  <w:tcBorders>
                    <w:tl2br w:val="nil"/>
                    <w:tr2bl w:val="nil"/>
                  </w:tcBorders>
                  <w:vAlign w:val="center"/>
                </w:tcPr>
                <w:p w14:paraId="4040D0E0">
                  <w:pPr>
                    <w:pStyle w:val="40"/>
                    <w:widowControl w:val="0"/>
                    <w:jc w:val="center"/>
                    <w:rPr>
                      <w:rFonts w:hint="eastAsia" w:eastAsia="新宋体" w:cs="Times New Roman"/>
                      <w:color w:val="auto"/>
                      <w:sz w:val="21"/>
                      <w:szCs w:val="21"/>
                      <w:lang w:val="en-US" w:eastAsia="zh-CN"/>
                    </w:rPr>
                  </w:pPr>
                </w:p>
              </w:tc>
              <w:tc>
                <w:tcPr>
                  <w:tcW w:w="623" w:type="pct"/>
                  <w:tcBorders>
                    <w:tl2br w:val="nil"/>
                    <w:tr2bl w:val="nil"/>
                  </w:tcBorders>
                  <w:vAlign w:val="center"/>
                </w:tcPr>
                <w:p w14:paraId="3C39F8FC">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产生速率</w:t>
                  </w:r>
                </w:p>
                <w:p w14:paraId="29F3A82C">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（kg/h）</w:t>
                  </w:r>
                </w:p>
              </w:tc>
              <w:tc>
                <w:tcPr>
                  <w:tcW w:w="863" w:type="pct"/>
                  <w:tcBorders>
                    <w:tl2br w:val="nil"/>
                    <w:tr2bl w:val="nil"/>
                  </w:tcBorders>
                  <w:vAlign w:val="center"/>
                </w:tcPr>
                <w:p w14:paraId="26C2D7C5">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工艺</w:t>
                  </w:r>
                </w:p>
              </w:tc>
              <w:tc>
                <w:tcPr>
                  <w:tcW w:w="354" w:type="pct"/>
                  <w:tcBorders>
                    <w:tl2br w:val="nil"/>
                    <w:tr2bl w:val="nil"/>
                  </w:tcBorders>
                  <w:vAlign w:val="center"/>
                </w:tcPr>
                <w:p w14:paraId="1AF62310">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效率（%）</w:t>
                  </w:r>
                </w:p>
              </w:tc>
              <w:tc>
                <w:tcPr>
                  <w:tcW w:w="611" w:type="pct"/>
                  <w:tcBorders>
                    <w:tl2br w:val="nil"/>
                    <w:tr2bl w:val="nil"/>
                  </w:tcBorders>
                  <w:vAlign w:val="center"/>
                </w:tcPr>
                <w:p w14:paraId="6CA88810">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是否为可行技术</w:t>
                  </w:r>
                </w:p>
              </w:tc>
              <w:tc>
                <w:tcPr>
                  <w:tcW w:w="572" w:type="pct"/>
                  <w:tcBorders>
                    <w:tl2br w:val="nil"/>
                    <w:tr2bl w:val="nil"/>
                  </w:tcBorders>
                  <w:vAlign w:val="center"/>
                </w:tcPr>
                <w:p w14:paraId="6BE0DF06">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排放速率</w:t>
                  </w:r>
                </w:p>
                <w:p w14:paraId="116DFFA3">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（kg/h）</w:t>
                  </w:r>
                </w:p>
              </w:tc>
              <w:tc>
                <w:tcPr>
                  <w:tcW w:w="730" w:type="pct"/>
                  <w:tcBorders>
                    <w:tl2br w:val="nil"/>
                    <w:tr2bl w:val="nil"/>
                  </w:tcBorders>
                  <w:vAlign w:val="center"/>
                </w:tcPr>
                <w:p w14:paraId="01473B89">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排放量（t/a）</w:t>
                  </w:r>
                </w:p>
              </w:tc>
            </w:tr>
            <w:tr w14:paraId="1CF90AE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69" w:hRule="atLeast"/>
                <w:jc w:val="center"/>
              </w:trPr>
              <w:tc>
                <w:tcPr>
                  <w:tcW w:w="620" w:type="pct"/>
                  <w:tcBorders>
                    <w:tl2br w:val="nil"/>
                    <w:tr2bl w:val="nil"/>
                  </w:tcBorders>
                  <w:vAlign w:val="center"/>
                </w:tcPr>
                <w:p w14:paraId="30405A8B">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运输</w:t>
                  </w:r>
                </w:p>
              </w:tc>
              <w:tc>
                <w:tcPr>
                  <w:tcW w:w="623" w:type="pct"/>
                  <w:tcBorders>
                    <w:tl2br w:val="nil"/>
                    <w:tr2bl w:val="nil"/>
                  </w:tcBorders>
                  <w:vAlign w:val="center"/>
                </w:tcPr>
                <w:p w14:paraId="11512177">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粉尘</w:t>
                  </w:r>
                </w:p>
              </w:tc>
              <w:tc>
                <w:tcPr>
                  <w:tcW w:w="623" w:type="pct"/>
                  <w:tcBorders>
                    <w:tl2br w:val="nil"/>
                    <w:tr2bl w:val="nil"/>
                  </w:tcBorders>
                  <w:vAlign w:val="center"/>
                </w:tcPr>
                <w:p w14:paraId="01C246DA">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0.018</w:t>
                  </w:r>
                </w:p>
              </w:tc>
              <w:tc>
                <w:tcPr>
                  <w:tcW w:w="863" w:type="pct"/>
                  <w:tcBorders>
                    <w:tl2br w:val="nil"/>
                    <w:tr2bl w:val="nil"/>
                  </w:tcBorders>
                  <w:vAlign w:val="center"/>
                </w:tcPr>
                <w:p w14:paraId="06E4388E">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加盖篷布、洒水降尘、限速并控制装载量</w:t>
                  </w:r>
                </w:p>
              </w:tc>
              <w:tc>
                <w:tcPr>
                  <w:tcW w:w="354" w:type="pct"/>
                  <w:tcBorders>
                    <w:tl2br w:val="nil"/>
                    <w:tr2bl w:val="nil"/>
                  </w:tcBorders>
                  <w:vAlign w:val="center"/>
                </w:tcPr>
                <w:p w14:paraId="4EFB9740">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80</w:t>
                  </w:r>
                </w:p>
              </w:tc>
              <w:tc>
                <w:tcPr>
                  <w:tcW w:w="611" w:type="pct"/>
                  <w:tcBorders>
                    <w:tl2br w:val="nil"/>
                    <w:tr2bl w:val="nil"/>
                  </w:tcBorders>
                  <w:vAlign w:val="center"/>
                </w:tcPr>
                <w:p w14:paraId="11B697CE">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是</w:t>
                  </w:r>
                </w:p>
              </w:tc>
              <w:tc>
                <w:tcPr>
                  <w:tcW w:w="572" w:type="pct"/>
                  <w:tcBorders>
                    <w:tl2br w:val="nil"/>
                    <w:tr2bl w:val="nil"/>
                  </w:tcBorders>
                  <w:vAlign w:val="center"/>
                </w:tcPr>
                <w:p w14:paraId="2C29C737">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0.0034</w:t>
                  </w:r>
                </w:p>
              </w:tc>
              <w:tc>
                <w:tcPr>
                  <w:tcW w:w="730" w:type="pct"/>
                  <w:tcBorders>
                    <w:tl2br w:val="nil"/>
                    <w:tr2bl w:val="nil"/>
                  </w:tcBorders>
                  <w:vAlign w:val="center"/>
                </w:tcPr>
                <w:p w14:paraId="6CB2AD2E">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5.712kg/a</w:t>
                  </w:r>
                </w:p>
              </w:tc>
            </w:tr>
            <w:tr w14:paraId="77B9C1D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2" w:hRule="atLeast"/>
                <w:jc w:val="center"/>
              </w:trPr>
              <w:tc>
                <w:tcPr>
                  <w:tcW w:w="620" w:type="pct"/>
                  <w:tcBorders>
                    <w:tl2br w:val="nil"/>
                    <w:tr2bl w:val="nil"/>
                  </w:tcBorders>
                  <w:vAlign w:val="center"/>
                </w:tcPr>
                <w:p w14:paraId="6B7807F7">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密闭车间汽车装卸</w:t>
                  </w:r>
                </w:p>
              </w:tc>
              <w:tc>
                <w:tcPr>
                  <w:tcW w:w="623" w:type="pct"/>
                  <w:tcBorders>
                    <w:tl2br w:val="nil"/>
                    <w:tr2bl w:val="nil"/>
                  </w:tcBorders>
                  <w:vAlign w:val="center"/>
                </w:tcPr>
                <w:p w14:paraId="37C1E3F3">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粉尘</w:t>
                  </w:r>
                </w:p>
              </w:tc>
              <w:tc>
                <w:tcPr>
                  <w:tcW w:w="623" w:type="pct"/>
                  <w:tcBorders>
                    <w:tl2br w:val="nil"/>
                    <w:tr2bl w:val="nil"/>
                  </w:tcBorders>
                  <w:vAlign w:val="center"/>
                </w:tcPr>
                <w:p w14:paraId="3F0D3882">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0.107</w:t>
                  </w:r>
                </w:p>
              </w:tc>
              <w:tc>
                <w:tcPr>
                  <w:tcW w:w="863" w:type="pct"/>
                  <w:tcBorders>
                    <w:tl2br w:val="nil"/>
                    <w:tr2bl w:val="nil"/>
                  </w:tcBorders>
                  <w:vAlign w:val="center"/>
                </w:tcPr>
                <w:p w14:paraId="559EF175">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雾炮降尘、控制装卸高度</w:t>
                  </w:r>
                </w:p>
              </w:tc>
              <w:tc>
                <w:tcPr>
                  <w:tcW w:w="354" w:type="pct"/>
                  <w:tcBorders>
                    <w:tl2br w:val="nil"/>
                    <w:tr2bl w:val="nil"/>
                  </w:tcBorders>
                  <w:vAlign w:val="center"/>
                </w:tcPr>
                <w:p w14:paraId="785F95DA">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80+30</w:t>
                  </w:r>
                </w:p>
              </w:tc>
              <w:tc>
                <w:tcPr>
                  <w:tcW w:w="611" w:type="pct"/>
                  <w:tcBorders>
                    <w:tl2br w:val="nil"/>
                    <w:tr2bl w:val="nil"/>
                  </w:tcBorders>
                  <w:vAlign w:val="center"/>
                </w:tcPr>
                <w:p w14:paraId="2BBA64DF">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是</w:t>
                  </w:r>
                </w:p>
              </w:tc>
              <w:tc>
                <w:tcPr>
                  <w:tcW w:w="572" w:type="pct"/>
                  <w:tcBorders>
                    <w:tl2br w:val="nil"/>
                    <w:tr2bl w:val="nil"/>
                  </w:tcBorders>
                  <w:vAlign w:val="center"/>
                </w:tcPr>
                <w:p w14:paraId="72348C7F">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0.015</w:t>
                  </w:r>
                </w:p>
              </w:tc>
              <w:tc>
                <w:tcPr>
                  <w:tcW w:w="730" w:type="pct"/>
                  <w:tcBorders>
                    <w:tl2br w:val="nil"/>
                    <w:tr2bl w:val="nil"/>
                  </w:tcBorders>
                  <w:vAlign w:val="center"/>
                </w:tcPr>
                <w:p w14:paraId="13BAC05C">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2.3814kg/a</w:t>
                  </w:r>
                </w:p>
              </w:tc>
            </w:tr>
            <w:tr w14:paraId="2D8E8CE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2" w:hRule="atLeast"/>
                <w:jc w:val="center"/>
              </w:trPr>
              <w:tc>
                <w:tcPr>
                  <w:tcW w:w="620" w:type="pct"/>
                  <w:tcBorders>
                    <w:tl2br w:val="nil"/>
                    <w:tr2bl w:val="nil"/>
                  </w:tcBorders>
                  <w:vAlign w:val="center"/>
                </w:tcPr>
                <w:p w14:paraId="794F380D">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露天汽车装卸</w:t>
                  </w:r>
                </w:p>
              </w:tc>
              <w:tc>
                <w:tcPr>
                  <w:tcW w:w="623" w:type="pct"/>
                  <w:tcBorders>
                    <w:tl2br w:val="nil"/>
                    <w:tr2bl w:val="nil"/>
                  </w:tcBorders>
                  <w:vAlign w:val="center"/>
                </w:tcPr>
                <w:p w14:paraId="1622F12F">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粉尘</w:t>
                  </w:r>
                </w:p>
              </w:tc>
              <w:tc>
                <w:tcPr>
                  <w:tcW w:w="623" w:type="pct"/>
                  <w:tcBorders>
                    <w:tl2br w:val="nil"/>
                    <w:tr2bl w:val="nil"/>
                  </w:tcBorders>
                  <w:vAlign w:val="center"/>
                </w:tcPr>
                <w:p w14:paraId="12DC0717">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0.048</w:t>
                  </w:r>
                </w:p>
              </w:tc>
              <w:tc>
                <w:tcPr>
                  <w:tcW w:w="863" w:type="pct"/>
                  <w:tcBorders>
                    <w:tl2br w:val="nil"/>
                    <w:tr2bl w:val="nil"/>
                  </w:tcBorders>
                  <w:vAlign w:val="center"/>
                </w:tcPr>
                <w:p w14:paraId="055E768F">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湿法作业、落差式降尘罩</w:t>
                  </w:r>
                </w:p>
              </w:tc>
              <w:tc>
                <w:tcPr>
                  <w:tcW w:w="354" w:type="pct"/>
                  <w:tcBorders>
                    <w:tl2br w:val="nil"/>
                    <w:tr2bl w:val="nil"/>
                  </w:tcBorders>
                  <w:vAlign w:val="center"/>
                </w:tcPr>
                <w:p w14:paraId="3DF9BD48">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50</w:t>
                  </w:r>
                </w:p>
              </w:tc>
              <w:tc>
                <w:tcPr>
                  <w:tcW w:w="611" w:type="pct"/>
                  <w:tcBorders>
                    <w:tl2br w:val="nil"/>
                    <w:tr2bl w:val="nil"/>
                  </w:tcBorders>
                  <w:vAlign w:val="center"/>
                </w:tcPr>
                <w:p w14:paraId="01B46F99">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是</w:t>
                  </w:r>
                </w:p>
              </w:tc>
              <w:tc>
                <w:tcPr>
                  <w:tcW w:w="572" w:type="pct"/>
                  <w:tcBorders>
                    <w:tl2br w:val="nil"/>
                    <w:tr2bl w:val="nil"/>
                  </w:tcBorders>
                  <w:vAlign w:val="center"/>
                </w:tcPr>
                <w:p w14:paraId="7210F0B7">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0.8</w:t>
                  </w:r>
                </w:p>
              </w:tc>
              <w:tc>
                <w:tcPr>
                  <w:tcW w:w="730" w:type="pct"/>
                  <w:tcBorders>
                    <w:tl2br w:val="nil"/>
                    <w:tr2bl w:val="nil"/>
                  </w:tcBorders>
                  <w:vAlign w:val="center"/>
                </w:tcPr>
                <w:p w14:paraId="40672654">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0.024</w:t>
                  </w:r>
                </w:p>
              </w:tc>
            </w:tr>
            <w:tr w14:paraId="42AD43B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03" w:hRule="atLeast"/>
                <w:jc w:val="center"/>
              </w:trPr>
              <w:tc>
                <w:tcPr>
                  <w:tcW w:w="620" w:type="pct"/>
                  <w:tcBorders>
                    <w:tl2br w:val="nil"/>
                    <w:tr2bl w:val="nil"/>
                  </w:tcBorders>
                  <w:vAlign w:val="center"/>
                </w:tcPr>
                <w:p w14:paraId="39A74ABC">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露天石子堆场</w:t>
                  </w:r>
                </w:p>
              </w:tc>
              <w:tc>
                <w:tcPr>
                  <w:tcW w:w="623" w:type="pct"/>
                  <w:tcBorders>
                    <w:tl2br w:val="nil"/>
                    <w:tr2bl w:val="nil"/>
                  </w:tcBorders>
                  <w:vAlign w:val="center"/>
                </w:tcPr>
                <w:p w14:paraId="3CDDD239">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粉尘</w:t>
                  </w:r>
                </w:p>
              </w:tc>
              <w:tc>
                <w:tcPr>
                  <w:tcW w:w="623" w:type="pct"/>
                  <w:tcBorders>
                    <w:tl2br w:val="nil"/>
                    <w:tr2bl w:val="nil"/>
                  </w:tcBorders>
                  <w:vAlign w:val="center"/>
                </w:tcPr>
                <w:p w14:paraId="1D7157FA">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0.0875</w:t>
                  </w:r>
                </w:p>
              </w:tc>
              <w:tc>
                <w:tcPr>
                  <w:tcW w:w="863" w:type="pct"/>
                  <w:tcBorders>
                    <w:tl2br w:val="nil"/>
                    <w:tr2bl w:val="nil"/>
                  </w:tcBorders>
                  <w:vAlign w:val="center"/>
                </w:tcPr>
                <w:p w14:paraId="170667FA">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洒水、苫盖密目防尘布</w:t>
                  </w:r>
                </w:p>
              </w:tc>
              <w:tc>
                <w:tcPr>
                  <w:tcW w:w="354" w:type="pct"/>
                  <w:tcBorders>
                    <w:tl2br w:val="nil"/>
                    <w:tr2bl w:val="nil"/>
                  </w:tcBorders>
                  <w:vAlign w:val="center"/>
                </w:tcPr>
                <w:p w14:paraId="18AD9883">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80</w:t>
                  </w:r>
                </w:p>
              </w:tc>
              <w:tc>
                <w:tcPr>
                  <w:tcW w:w="611" w:type="pct"/>
                  <w:tcBorders>
                    <w:tl2br w:val="nil"/>
                    <w:tr2bl w:val="nil"/>
                  </w:tcBorders>
                  <w:vAlign w:val="center"/>
                </w:tcPr>
                <w:p w14:paraId="5F04A787">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是</w:t>
                  </w:r>
                </w:p>
              </w:tc>
              <w:tc>
                <w:tcPr>
                  <w:tcW w:w="572" w:type="pct"/>
                  <w:tcBorders>
                    <w:tl2br w:val="nil"/>
                    <w:tr2bl w:val="nil"/>
                  </w:tcBorders>
                  <w:vAlign w:val="center"/>
                </w:tcPr>
                <w:p w14:paraId="532A5009">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0.07</w:t>
                  </w:r>
                </w:p>
              </w:tc>
              <w:tc>
                <w:tcPr>
                  <w:tcW w:w="730" w:type="pct"/>
                  <w:tcBorders>
                    <w:tl2br w:val="nil"/>
                    <w:tr2bl w:val="nil"/>
                  </w:tcBorders>
                  <w:vAlign w:val="center"/>
                </w:tcPr>
                <w:p w14:paraId="5642B288">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0.37</w:t>
                  </w:r>
                </w:p>
              </w:tc>
            </w:tr>
            <w:tr w14:paraId="2327E47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03" w:hRule="atLeast"/>
                <w:jc w:val="center"/>
              </w:trPr>
              <w:tc>
                <w:tcPr>
                  <w:tcW w:w="620" w:type="pct"/>
                  <w:tcBorders>
                    <w:tl2br w:val="nil"/>
                    <w:tr2bl w:val="nil"/>
                  </w:tcBorders>
                  <w:vAlign w:val="center"/>
                </w:tcPr>
                <w:p w14:paraId="3D70B397">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密闭堆场</w:t>
                  </w:r>
                </w:p>
              </w:tc>
              <w:tc>
                <w:tcPr>
                  <w:tcW w:w="623" w:type="pct"/>
                  <w:tcBorders>
                    <w:tl2br w:val="nil"/>
                    <w:tr2bl w:val="nil"/>
                  </w:tcBorders>
                  <w:vAlign w:val="center"/>
                </w:tcPr>
                <w:p w14:paraId="2725AFAF">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粉尘</w:t>
                  </w:r>
                </w:p>
              </w:tc>
              <w:tc>
                <w:tcPr>
                  <w:tcW w:w="623" w:type="pct"/>
                  <w:tcBorders>
                    <w:tl2br w:val="nil"/>
                    <w:tr2bl w:val="nil"/>
                  </w:tcBorders>
                  <w:vAlign w:val="center"/>
                </w:tcPr>
                <w:p w14:paraId="37C572F0">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0.020</w:t>
                  </w:r>
                </w:p>
              </w:tc>
              <w:tc>
                <w:tcPr>
                  <w:tcW w:w="863" w:type="pct"/>
                  <w:tcBorders>
                    <w:tl2br w:val="nil"/>
                    <w:tr2bl w:val="nil"/>
                  </w:tcBorders>
                  <w:vAlign w:val="center"/>
                </w:tcPr>
                <w:p w14:paraId="5EE5A41B">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全封闭性车间+喷洒水</w:t>
                  </w:r>
                </w:p>
              </w:tc>
              <w:tc>
                <w:tcPr>
                  <w:tcW w:w="354" w:type="pct"/>
                  <w:tcBorders>
                    <w:tl2br w:val="nil"/>
                    <w:tr2bl w:val="nil"/>
                  </w:tcBorders>
                  <w:vAlign w:val="center"/>
                </w:tcPr>
                <w:p w14:paraId="3736178C">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80</w:t>
                  </w:r>
                </w:p>
              </w:tc>
              <w:tc>
                <w:tcPr>
                  <w:tcW w:w="611" w:type="pct"/>
                  <w:tcBorders>
                    <w:tl2br w:val="nil"/>
                    <w:tr2bl w:val="nil"/>
                  </w:tcBorders>
                  <w:vAlign w:val="center"/>
                </w:tcPr>
                <w:p w14:paraId="697DB42B">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是</w:t>
                  </w:r>
                </w:p>
              </w:tc>
              <w:tc>
                <w:tcPr>
                  <w:tcW w:w="572" w:type="pct"/>
                  <w:tcBorders>
                    <w:tl2br w:val="nil"/>
                    <w:tr2bl w:val="nil"/>
                  </w:tcBorders>
                  <w:vAlign w:val="center"/>
                </w:tcPr>
                <w:p w14:paraId="2A6557F0">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0.004</w:t>
                  </w:r>
                </w:p>
              </w:tc>
              <w:tc>
                <w:tcPr>
                  <w:tcW w:w="730" w:type="pct"/>
                  <w:tcBorders>
                    <w:tl2br w:val="nil"/>
                    <w:tr2bl w:val="nil"/>
                  </w:tcBorders>
                  <w:vAlign w:val="center"/>
                </w:tcPr>
                <w:p w14:paraId="5EC1BA7D">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0.007</w:t>
                  </w:r>
                </w:p>
              </w:tc>
            </w:tr>
            <w:tr w14:paraId="3E6C307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03" w:hRule="atLeast"/>
                <w:jc w:val="center"/>
              </w:trPr>
              <w:tc>
                <w:tcPr>
                  <w:tcW w:w="620" w:type="pct"/>
                  <w:tcBorders>
                    <w:tl2br w:val="nil"/>
                    <w:tr2bl w:val="nil"/>
                  </w:tcBorders>
                  <w:vAlign w:val="center"/>
                </w:tcPr>
                <w:p w14:paraId="6A2C7420">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运输过程</w:t>
                  </w:r>
                </w:p>
              </w:tc>
              <w:tc>
                <w:tcPr>
                  <w:tcW w:w="623" w:type="pct"/>
                  <w:tcBorders>
                    <w:tl2br w:val="nil"/>
                    <w:tr2bl w:val="nil"/>
                  </w:tcBorders>
                  <w:vAlign w:val="center"/>
                </w:tcPr>
                <w:p w14:paraId="2DCACF45">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粉尘</w:t>
                  </w:r>
                </w:p>
              </w:tc>
              <w:tc>
                <w:tcPr>
                  <w:tcW w:w="623" w:type="pct"/>
                  <w:tcBorders>
                    <w:tl2br w:val="nil"/>
                    <w:tr2bl w:val="nil"/>
                  </w:tcBorders>
                  <w:vAlign w:val="center"/>
                </w:tcPr>
                <w:p w14:paraId="070F9572">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1.696</w:t>
                  </w:r>
                </w:p>
              </w:tc>
              <w:tc>
                <w:tcPr>
                  <w:tcW w:w="863" w:type="pct"/>
                  <w:tcBorders>
                    <w:tl2br w:val="nil"/>
                    <w:tr2bl w:val="nil"/>
                  </w:tcBorders>
                  <w:vAlign w:val="center"/>
                </w:tcPr>
                <w:p w14:paraId="1FEEA007">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全密闭运输、厂房内作业</w:t>
                  </w:r>
                </w:p>
              </w:tc>
              <w:tc>
                <w:tcPr>
                  <w:tcW w:w="354" w:type="pct"/>
                  <w:tcBorders>
                    <w:tl2br w:val="nil"/>
                    <w:tr2bl w:val="nil"/>
                  </w:tcBorders>
                  <w:vAlign w:val="center"/>
                </w:tcPr>
                <w:p w14:paraId="36D800EF">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w:t>
                  </w:r>
                </w:p>
              </w:tc>
              <w:tc>
                <w:tcPr>
                  <w:tcW w:w="611" w:type="pct"/>
                  <w:tcBorders>
                    <w:tl2br w:val="nil"/>
                    <w:tr2bl w:val="nil"/>
                  </w:tcBorders>
                  <w:vAlign w:val="center"/>
                </w:tcPr>
                <w:p w14:paraId="36CB6D22">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w:t>
                  </w:r>
                </w:p>
              </w:tc>
              <w:tc>
                <w:tcPr>
                  <w:tcW w:w="572" w:type="pct"/>
                  <w:tcBorders>
                    <w:tl2br w:val="nil"/>
                    <w:tr2bl w:val="nil"/>
                  </w:tcBorders>
                  <w:vAlign w:val="center"/>
                </w:tcPr>
                <w:p w14:paraId="46E7E902">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w:t>
                  </w:r>
                </w:p>
              </w:tc>
              <w:tc>
                <w:tcPr>
                  <w:tcW w:w="730" w:type="pct"/>
                  <w:tcBorders>
                    <w:tl2br w:val="nil"/>
                    <w:tr2bl w:val="nil"/>
                  </w:tcBorders>
                  <w:vAlign w:val="center"/>
                </w:tcPr>
                <w:p w14:paraId="00F4F6E2">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w:t>
                  </w:r>
                </w:p>
              </w:tc>
            </w:tr>
            <w:tr w14:paraId="6AFED22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03" w:hRule="atLeast"/>
                <w:jc w:val="center"/>
              </w:trPr>
              <w:tc>
                <w:tcPr>
                  <w:tcW w:w="620" w:type="pct"/>
                  <w:tcBorders>
                    <w:tl2br w:val="nil"/>
                    <w:tr2bl w:val="nil"/>
                  </w:tcBorders>
                  <w:vAlign w:val="center"/>
                </w:tcPr>
                <w:p w14:paraId="71F21CAF">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投料</w:t>
                  </w:r>
                </w:p>
              </w:tc>
              <w:tc>
                <w:tcPr>
                  <w:tcW w:w="968" w:type="dxa"/>
                  <w:tcBorders>
                    <w:tl2br w:val="nil"/>
                    <w:tr2bl w:val="nil"/>
                  </w:tcBorders>
                  <w:vAlign w:val="center"/>
                </w:tcPr>
                <w:p w14:paraId="3C934CD5">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粉尘</w:t>
                  </w:r>
                </w:p>
              </w:tc>
              <w:tc>
                <w:tcPr>
                  <w:tcW w:w="623" w:type="pct"/>
                  <w:tcBorders>
                    <w:tl2br w:val="nil"/>
                    <w:tr2bl w:val="nil"/>
                  </w:tcBorders>
                  <w:vAlign w:val="center"/>
                </w:tcPr>
                <w:p w14:paraId="495F14BF">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w:t>
                  </w:r>
                </w:p>
              </w:tc>
              <w:tc>
                <w:tcPr>
                  <w:tcW w:w="863" w:type="pct"/>
                  <w:tcBorders>
                    <w:tl2br w:val="nil"/>
                    <w:tr2bl w:val="nil"/>
                  </w:tcBorders>
                  <w:vAlign w:val="center"/>
                </w:tcPr>
                <w:p w14:paraId="7F0B211F">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w:t>
                  </w:r>
                </w:p>
              </w:tc>
              <w:tc>
                <w:tcPr>
                  <w:tcW w:w="354" w:type="pct"/>
                  <w:tcBorders>
                    <w:tl2br w:val="nil"/>
                    <w:tr2bl w:val="nil"/>
                  </w:tcBorders>
                  <w:vAlign w:val="center"/>
                </w:tcPr>
                <w:p w14:paraId="652B663B">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w:t>
                  </w:r>
                </w:p>
              </w:tc>
              <w:tc>
                <w:tcPr>
                  <w:tcW w:w="611" w:type="pct"/>
                  <w:tcBorders>
                    <w:tl2br w:val="nil"/>
                    <w:tr2bl w:val="nil"/>
                  </w:tcBorders>
                  <w:vAlign w:val="center"/>
                </w:tcPr>
                <w:p w14:paraId="5DED4DE2">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w:t>
                  </w:r>
                </w:p>
              </w:tc>
              <w:tc>
                <w:tcPr>
                  <w:tcW w:w="572" w:type="pct"/>
                  <w:tcBorders>
                    <w:tl2br w:val="nil"/>
                    <w:tr2bl w:val="nil"/>
                  </w:tcBorders>
                  <w:vAlign w:val="center"/>
                </w:tcPr>
                <w:p w14:paraId="763C8C26">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0.143</w:t>
                  </w:r>
                </w:p>
              </w:tc>
              <w:tc>
                <w:tcPr>
                  <w:tcW w:w="730" w:type="pct"/>
                  <w:tcBorders>
                    <w:tl2br w:val="nil"/>
                    <w:tr2bl w:val="nil"/>
                  </w:tcBorders>
                  <w:vAlign w:val="center"/>
                </w:tcPr>
                <w:p w14:paraId="03A628D4">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0.24</w:t>
                  </w:r>
                </w:p>
              </w:tc>
            </w:tr>
            <w:tr w14:paraId="3890235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03" w:hRule="atLeast"/>
                <w:jc w:val="center"/>
              </w:trPr>
              <w:tc>
                <w:tcPr>
                  <w:tcW w:w="620" w:type="pct"/>
                  <w:tcBorders>
                    <w:tl2br w:val="nil"/>
                    <w:tr2bl w:val="nil"/>
                  </w:tcBorders>
                  <w:vAlign w:val="center"/>
                </w:tcPr>
                <w:p w14:paraId="4A856FE6">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混料</w:t>
                  </w:r>
                </w:p>
              </w:tc>
              <w:tc>
                <w:tcPr>
                  <w:tcW w:w="968" w:type="dxa"/>
                  <w:tcBorders>
                    <w:tl2br w:val="nil"/>
                    <w:tr2bl w:val="nil"/>
                  </w:tcBorders>
                  <w:vAlign w:val="center"/>
                </w:tcPr>
                <w:p w14:paraId="0BDBCB4D">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粉尘</w:t>
                  </w:r>
                </w:p>
              </w:tc>
              <w:tc>
                <w:tcPr>
                  <w:tcW w:w="623" w:type="pct"/>
                  <w:tcBorders>
                    <w:tl2br w:val="nil"/>
                    <w:tr2bl w:val="nil"/>
                  </w:tcBorders>
                  <w:vAlign w:val="center"/>
                </w:tcPr>
                <w:p w14:paraId="61B80FAC">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w:t>
                  </w:r>
                </w:p>
              </w:tc>
              <w:tc>
                <w:tcPr>
                  <w:tcW w:w="863" w:type="pct"/>
                  <w:tcBorders>
                    <w:tl2br w:val="nil"/>
                    <w:tr2bl w:val="nil"/>
                  </w:tcBorders>
                  <w:vAlign w:val="center"/>
                </w:tcPr>
                <w:p w14:paraId="3A265350">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w:t>
                  </w:r>
                </w:p>
              </w:tc>
              <w:tc>
                <w:tcPr>
                  <w:tcW w:w="354" w:type="pct"/>
                  <w:tcBorders>
                    <w:tl2br w:val="nil"/>
                    <w:tr2bl w:val="nil"/>
                  </w:tcBorders>
                  <w:vAlign w:val="center"/>
                </w:tcPr>
                <w:p w14:paraId="512E9FC8">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w:t>
                  </w:r>
                </w:p>
              </w:tc>
              <w:tc>
                <w:tcPr>
                  <w:tcW w:w="611" w:type="pct"/>
                  <w:tcBorders>
                    <w:tl2br w:val="nil"/>
                    <w:tr2bl w:val="nil"/>
                  </w:tcBorders>
                  <w:vAlign w:val="center"/>
                </w:tcPr>
                <w:p w14:paraId="671D761E">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w:t>
                  </w:r>
                </w:p>
              </w:tc>
              <w:tc>
                <w:tcPr>
                  <w:tcW w:w="572" w:type="pct"/>
                  <w:tcBorders>
                    <w:tl2br w:val="nil"/>
                    <w:tr2bl w:val="nil"/>
                  </w:tcBorders>
                  <w:vAlign w:val="center"/>
                </w:tcPr>
                <w:p w14:paraId="15DBD887">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0.934</w:t>
                  </w:r>
                </w:p>
              </w:tc>
              <w:tc>
                <w:tcPr>
                  <w:tcW w:w="730" w:type="pct"/>
                  <w:tcBorders>
                    <w:tl2br w:val="nil"/>
                    <w:tr2bl w:val="nil"/>
                  </w:tcBorders>
                  <w:vAlign w:val="center"/>
                </w:tcPr>
                <w:p w14:paraId="7A5E4DE9">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1.569</w:t>
                  </w:r>
                </w:p>
              </w:tc>
            </w:tr>
          </w:tbl>
          <w:p w14:paraId="4BD23F9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新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b/>
                <w:bCs/>
                <w:color w:val="000000" w:themeColor="text1"/>
                <w:sz w:val="21"/>
                <w:szCs w:val="21"/>
                <w:lang w:val="en-US" w:eastAsia="zh-CN"/>
                <w14:textFill>
                  <w14:solidFill>
                    <w14:schemeClr w14:val="tx1"/>
                  </w14:solidFill>
                </w14:textFill>
              </w:rPr>
              <w:t>表</w:t>
            </w:r>
            <w:r>
              <w:rPr>
                <w:rFonts w:hint="eastAsia" w:ascii="Times New Roman" w:hAnsi="Times New Roman" w:eastAsia="新宋体" w:cs="Times New Roman"/>
                <w:b/>
                <w:bCs/>
                <w:color w:val="000000" w:themeColor="text1"/>
                <w:sz w:val="21"/>
                <w:szCs w:val="21"/>
                <w:lang w:val="en-US" w:eastAsia="zh-CN"/>
                <w14:textFill>
                  <w14:solidFill>
                    <w14:schemeClr w14:val="tx1"/>
                  </w14:solidFill>
                </w14:textFill>
              </w:rPr>
              <w:t>4-</w:t>
            </w:r>
            <w:r>
              <w:rPr>
                <w:rFonts w:hint="eastAsia" w:eastAsia="新宋体" w:cs="Times New Roman"/>
                <w:b/>
                <w:bCs/>
                <w:color w:val="000000" w:themeColor="text1"/>
                <w:sz w:val="21"/>
                <w:szCs w:val="21"/>
                <w:lang w:val="en-US" w:eastAsia="zh-CN"/>
                <w14:textFill>
                  <w14:solidFill>
                    <w14:schemeClr w14:val="tx1"/>
                  </w14:solidFill>
                </w14:textFill>
              </w:rPr>
              <w:t>7废气排放口设置情况一览表</w:t>
            </w:r>
          </w:p>
          <w:tbl>
            <w:tblPr>
              <w:tblStyle w:val="83"/>
              <w:tblW w:w="7865"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704"/>
              <w:gridCol w:w="509"/>
              <w:gridCol w:w="1109"/>
              <w:gridCol w:w="1109"/>
              <w:gridCol w:w="759"/>
              <w:gridCol w:w="813"/>
              <w:gridCol w:w="645"/>
              <w:gridCol w:w="592"/>
              <w:gridCol w:w="1625"/>
            </w:tblGrid>
            <w:tr w14:paraId="71B343E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85" w:hRule="atLeast"/>
                <w:jc w:val="center"/>
              </w:trPr>
              <w:tc>
                <w:tcPr>
                  <w:tcW w:w="746" w:type="dxa"/>
                  <w:vMerge w:val="restart"/>
                  <w:tcBorders>
                    <w:tl2br w:val="nil"/>
                    <w:tr2bl w:val="nil"/>
                  </w:tcBorders>
                  <w:vAlign w:val="center"/>
                </w:tcPr>
                <w:p w14:paraId="5D5E174E">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序号</w:t>
                  </w:r>
                </w:p>
              </w:tc>
              <w:tc>
                <w:tcPr>
                  <w:tcW w:w="659" w:type="dxa"/>
                  <w:vMerge w:val="restart"/>
                  <w:tcBorders>
                    <w:tl2br w:val="nil"/>
                    <w:tr2bl w:val="nil"/>
                  </w:tcBorders>
                  <w:vAlign w:val="center"/>
                </w:tcPr>
                <w:p w14:paraId="675B5767">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污染</w:t>
                  </w:r>
                </w:p>
                <w:p w14:paraId="13220962">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源</w:t>
                  </w:r>
                </w:p>
              </w:tc>
              <w:tc>
                <w:tcPr>
                  <w:tcW w:w="1575" w:type="dxa"/>
                  <w:gridSpan w:val="2"/>
                  <w:tcBorders>
                    <w:tl2br w:val="nil"/>
                    <w:tr2bl w:val="nil"/>
                  </w:tcBorders>
                  <w:vAlign w:val="center"/>
                </w:tcPr>
                <w:p w14:paraId="0950DA61">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排气筒底部地理坐标</w:t>
                  </w:r>
                </w:p>
              </w:tc>
              <w:tc>
                <w:tcPr>
                  <w:tcW w:w="846" w:type="dxa"/>
                  <w:vMerge w:val="restart"/>
                  <w:tcBorders>
                    <w:tl2br w:val="nil"/>
                    <w:tr2bl w:val="nil"/>
                  </w:tcBorders>
                  <w:vAlign w:val="center"/>
                </w:tcPr>
                <w:p w14:paraId="5574FBF0">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排气筒</w:t>
                  </w:r>
                </w:p>
                <w:p w14:paraId="67730BB4">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高度</w:t>
                  </w:r>
                </w:p>
                <w:p w14:paraId="1B2D627C">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（m）</w:t>
                  </w:r>
                </w:p>
              </w:tc>
              <w:tc>
                <w:tcPr>
                  <w:tcW w:w="856" w:type="dxa"/>
                  <w:vMerge w:val="restart"/>
                  <w:tcBorders>
                    <w:tl2br w:val="nil"/>
                    <w:tr2bl w:val="nil"/>
                  </w:tcBorders>
                  <w:vAlign w:val="center"/>
                </w:tcPr>
                <w:p w14:paraId="224123C7">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流速（m/s）</w:t>
                  </w:r>
                </w:p>
              </w:tc>
              <w:tc>
                <w:tcPr>
                  <w:tcW w:w="793" w:type="dxa"/>
                  <w:vMerge w:val="restart"/>
                  <w:tcBorders>
                    <w:tl2br w:val="nil"/>
                    <w:tr2bl w:val="nil"/>
                  </w:tcBorders>
                  <w:vAlign w:val="center"/>
                </w:tcPr>
                <w:p w14:paraId="353A12C3">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温度</w:t>
                  </w:r>
                </w:p>
                <w:p w14:paraId="1497B00F">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w:t>
                  </w:r>
                </w:p>
              </w:tc>
              <w:tc>
                <w:tcPr>
                  <w:tcW w:w="784" w:type="dxa"/>
                  <w:vMerge w:val="restart"/>
                  <w:tcBorders>
                    <w:tl2br w:val="nil"/>
                    <w:tr2bl w:val="nil"/>
                  </w:tcBorders>
                  <w:vAlign w:val="center"/>
                </w:tcPr>
                <w:p w14:paraId="013A656F">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排口类型</w:t>
                  </w:r>
                </w:p>
              </w:tc>
              <w:tc>
                <w:tcPr>
                  <w:tcW w:w="1606" w:type="dxa"/>
                  <w:vMerge w:val="restart"/>
                  <w:tcBorders>
                    <w:tl2br w:val="nil"/>
                    <w:tr2bl w:val="nil"/>
                  </w:tcBorders>
                  <w:vAlign w:val="center"/>
                </w:tcPr>
                <w:p w14:paraId="23316F4D">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执行标准</w:t>
                  </w:r>
                </w:p>
              </w:tc>
            </w:tr>
            <w:tr w14:paraId="434C089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52" w:hRule="atLeast"/>
                <w:jc w:val="center"/>
              </w:trPr>
              <w:tc>
                <w:tcPr>
                  <w:tcW w:w="746" w:type="dxa"/>
                  <w:vMerge w:val="continue"/>
                  <w:tcBorders>
                    <w:tl2br w:val="nil"/>
                    <w:tr2bl w:val="nil"/>
                  </w:tcBorders>
                  <w:vAlign w:val="center"/>
                </w:tcPr>
                <w:p w14:paraId="62B54F2E">
                  <w:pPr>
                    <w:pStyle w:val="40"/>
                    <w:widowControl w:val="0"/>
                    <w:jc w:val="center"/>
                    <w:rPr>
                      <w:rFonts w:hint="eastAsia" w:eastAsia="新宋体" w:cs="Times New Roman"/>
                      <w:color w:val="auto"/>
                      <w:sz w:val="21"/>
                      <w:szCs w:val="21"/>
                      <w:lang w:val="en-US" w:eastAsia="zh-CN"/>
                    </w:rPr>
                  </w:pPr>
                </w:p>
              </w:tc>
              <w:tc>
                <w:tcPr>
                  <w:tcW w:w="659" w:type="dxa"/>
                  <w:vMerge w:val="continue"/>
                  <w:tcBorders>
                    <w:tl2br w:val="nil"/>
                    <w:tr2bl w:val="nil"/>
                  </w:tcBorders>
                  <w:vAlign w:val="center"/>
                </w:tcPr>
                <w:p w14:paraId="78740505">
                  <w:pPr>
                    <w:pStyle w:val="40"/>
                    <w:widowControl w:val="0"/>
                    <w:jc w:val="center"/>
                    <w:rPr>
                      <w:rFonts w:hint="eastAsia" w:eastAsia="新宋体" w:cs="Times New Roman"/>
                      <w:color w:val="auto"/>
                      <w:sz w:val="21"/>
                      <w:szCs w:val="21"/>
                      <w:lang w:val="en-US" w:eastAsia="zh-CN"/>
                    </w:rPr>
                  </w:pPr>
                </w:p>
              </w:tc>
              <w:tc>
                <w:tcPr>
                  <w:tcW w:w="747" w:type="dxa"/>
                  <w:tcBorders>
                    <w:tl2br w:val="nil"/>
                    <w:tr2bl w:val="nil"/>
                  </w:tcBorders>
                  <w:vAlign w:val="center"/>
                </w:tcPr>
                <w:p w14:paraId="494766A7">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X</w:t>
                  </w:r>
                </w:p>
              </w:tc>
              <w:tc>
                <w:tcPr>
                  <w:tcW w:w="828" w:type="dxa"/>
                  <w:tcBorders>
                    <w:tl2br w:val="nil"/>
                    <w:tr2bl w:val="nil"/>
                  </w:tcBorders>
                  <w:vAlign w:val="center"/>
                </w:tcPr>
                <w:p w14:paraId="0107B3A6">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Y</w:t>
                  </w:r>
                </w:p>
              </w:tc>
              <w:tc>
                <w:tcPr>
                  <w:tcW w:w="846" w:type="dxa"/>
                  <w:vMerge w:val="continue"/>
                  <w:tcBorders>
                    <w:tl2br w:val="nil"/>
                    <w:tr2bl w:val="nil"/>
                  </w:tcBorders>
                  <w:vAlign w:val="center"/>
                </w:tcPr>
                <w:p w14:paraId="064F8603">
                  <w:pPr>
                    <w:pStyle w:val="40"/>
                    <w:widowControl w:val="0"/>
                    <w:jc w:val="center"/>
                    <w:rPr>
                      <w:rFonts w:hint="eastAsia" w:eastAsia="新宋体" w:cs="Times New Roman"/>
                      <w:color w:val="auto"/>
                      <w:sz w:val="21"/>
                      <w:szCs w:val="21"/>
                      <w:lang w:val="en-US" w:eastAsia="zh-CN"/>
                    </w:rPr>
                  </w:pPr>
                </w:p>
              </w:tc>
              <w:tc>
                <w:tcPr>
                  <w:tcW w:w="856" w:type="dxa"/>
                  <w:vMerge w:val="continue"/>
                  <w:tcBorders>
                    <w:tl2br w:val="nil"/>
                    <w:tr2bl w:val="nil"/>
                  </w:tcBorders>
                  <w:vAlign w:val="center"/>
                </w:tcPr>
                <w:p w14:paraId="009E64F8">
                  <w:pPr>
                    <w:pStyle w:val="40"/>
                    <w:widowControl w:val="0"/>
                    <w:jc w:val="center"/>
                    <w:rPr>
                      <w:rFonts w:hint="eastAsia" w:eastAsia="新宋体" w:cs="Times New Roman"/>
                      <w:color w:val="auto"/>
                      <w:sz w:val="21"/>
                      <w:szCs w:val="21"/>
                      <w:lang w:val="en-US" w:eastAsia="zh-CN"/>
                    </w:rPr>
                  </w:pPr>
                </w:p>
              </w:tc>
              <w:tc>
                <w:tcPr>
                  <w:tcW w:w="793" w:type="dxa"/>
                  <w:vMerge w:val="continue"/>
                  <w:tcBorders>
                    <w:tl2br w:val="nil"/>
                    <w:tr2bl w:val="nil"/>
                  </w:tcBorders>
                  <w:vAlign w:val="center"/>
                </w:tcPr>
                <w:p w14:paraId="415E9F13">
                  <w:pPr>
                    <w:pStyle w:val="40"/>
                    <w:widowControl w:val="0"/>
                    <w:jc w:val="center"/>
                    <w:rPr>
                      <w:rFonts w:hint="eastAsia" w:eastAsia="新宋体" w:cs="Times New Roman"/>
                      <w:color w:val="auto"/>
                      <w:sz w:val="21"/>
                      <w:szCs w:val="21"/>
                      <w:lang w:val="en-US" w:eastAsia="zh-CN"/>
                    </w:rPr>
                  </w:pPr>
                </w:p>
              </w:tc>
              <w:tc>
                <w:tcPr>
                  <w:tcW w:w="784" w:type="dxa"/>
                  <w:vMerge w:val="continue"/>
                  <w:tcBorders>
                    <w:tl2br w:val="nil"/>
                    <w:tr2bl w:val="nil"/>
                  </w:tcBorders>
                  <w:vAlign w:val="center"/>
                </w:tcPr>
                <w:p w14:paraId="6204796B">
                  <w:pPr>
                    <w:pStyle w:val="40"/>
                    <w:widowControl w:val="0"/>
                    <w:jc w:val="center"/>
                    <w:rPr>
                      <w:rFonts w:hint="eastAsia" w:eastAsia="新宋体" w:cs="Times New Roman"/>
                      <w:color w:val="auto"/>
                      <w:sz w:val="21"/>
                      <w:szCs w:val="21"/>
                      <w:lang w:val="en-US" w:eastAsia="zh-CN"/>
                    </w:rPr>
                  </w:pPr>
                </w:p>
              </w:tc>
              <w:tc>
                <w:tcPr>
                  <w:tcW w:w="1606" w:type="dxa"/>
                  <w:vMerge w:val="continue"/>
                  <w:tcBorders>
                    <w:tl2br w:val="nil"/>
                    <w:tr2bl w:val="nil"/>
                  </w:tcBorders>
                  <w:vAlign w:val="center"/>
                </w:tcPr>
                <w:p w14:paraId="13B5A194">
                  <w:pPr>
                    <w:pStyle w:val="40"/>
                    <w:widowControl w:val="0"/>
                    <w:jc w:val="center"/>
                    <w:rPr>
                      <w:rFonts w:hint="eastAsia" w:eastAsia="新宋体" w:cs="Times New Roman"/>
                      <w:color w:val="auto"/>
                      <w:sz w:val="21"/>
                      <w:szCs w:val="21"/>
                      <w:lang w:val="en-US" w:eastAsia="zh-CN"/>
                    </w:rPr>
                  </w:pPr>
                </w:p>
              </w:tc>
            </w:tr>
            <w:tr w14:paraId="1F37316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921" w:hRule="atLeast"/>
                <w:jc w:val="center"/>
              </w:trPr>
              <w:tc>
                <w:tcPr>
                  <w:tcW w:w="746" w:type="dxa"/>
                  <w:tcBorders>
                    <w:tl2br w:val="nil"/>
                    <w:tr2bl w:val="nil"/>
                  </w:tcBorders>
                  <w:vAlign w:val="center"/>
                </w:tcPr>
                <w:p w14:paraId="478573DA">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DA001</w:t>
                  </w:r>
                </w:p>
              </w:tc>
              <w:tc>
                <w:tcPr>
                  <w:tcW w:w="659" w:type="dxa"/>
                  <w:tcBorders>
                    <w:tl2br w:val="nil"/>
                    <w:tr2bl w:val="nil"/>
                  </w:tcBorders>
                  <w:vAlign w:val="center"/>
                </w:tcPr>
                <w:p w14:paraId="1E31ACC3">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投料</w:t>
                  </w:r>
                </w:p>
                <w:p w14:paraId="04618EC6">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工序</w:t>
                  </w:r>
                </w:p>
                <w:p w14:paraId="3770C96D">
                  <w:pPr>
                    <w:pStyle w:val="40"/>
                    <w:widowControl w:val="0"/>
                    <w:jc w:val="center"/>
                    <w:rPr>
                      <w:rFonts w:hint="eastAsia" w:eastAsia="新宋体" w:cs="Times New Roman"/>
                      <w:color w:val="auto"/>
                      <w:sz w:val="21"/>
                      <w:szCs w:val="21"/>
                      <w:lang w:val="en-US" w:eastAsia="zh-CN"/>
                    </w:rPr>
                  </w:pPr>
                </w:p>
              </w:tc>
              <w:tc>
                <w:tcPr>
                  <w:tcW w:w="747" w:type="dxa"/>
                  <w:tcBorders>
                    <w:tl2br w:val="nil"/>
                    <w:tr2bl w:val="nil"/>
                  </w:tcBorders>
                  <w:vAlign w:val="center"/>
                </w:tcPr>
                <w:p w14:paraId="3C05F0E3">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42.29447752</w:t>
                  </w:r>
                </w:p>
              </w:tc>
              <w:tc>
                <w:tcPr>
                  <w:tcW w:w="828" w:type="dxa"/>
                  <w:tcBorders>
                    <w:tl2br w:val="nil"/>
                    <w:tr2bl w:val="nil"/>
                  </w:tcBorders>
                  <w:vAlign w:val="center"/>
                </w:tcPr>
                <w:p w14:paraId="4D364199">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86.86795988</w:t>
                  </w:r>
                </w:p>
              </w:tc>
              <w:tc>
                <w:tcPr>
                  <w:tcW w:w="846" w:type="dxa"/>
                  <w:tcBorders>
                    <w:tl2br w:val="nil"/>
                    <w:tr2bl w:val="nil"/>
                  </w:tcBorders>
                  <w:vAlign w:val="center"/>
                </w:tcPr>
                <w:p w14:paraId="0175D6D9">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15</w:t>
                  </w:r>
                </w:p>
              </w:tc>
              <w:tc>
                <w:tcPr>
                  <w:tcW w:w="856" w:type="dxa"/>
                  <w:tcBorders>
                    <w:tl2br w:val="nil"/>
                    <w:tr2bl w:val="nil"/>
                  </w:tcBorders>
                  <w:vAlign w:val="center"/>
                </w:tcPr>
                <w:p w14:paraId="7DAF90F3">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4.60</w:t>
                  </w:r>
                </w:p>
              </w:tc>
              <w:tc>
                <w:tcPr>
                  <w:tcW w:w="793" w:type="dxa"/>
                  <w:tcBorders>
                    <w:tl2br w:val="nil"/>
                    <w:tr2bl w:val="nil"/>
                  </w:tcBorders>
                  <w:vAlign w:val="center"/>
                </w:tcPr>
                <w:p w14:paraId="042201B4">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20</w:t>
                  </w:r>
                </w:p>
              </w:tc>
              <w:tc>
                <w:tcPr>
                  <w:tcW w:w="784" w:type="dxa"/>
                  <w:tcBorders>
                    <w:tl2br w:val="nil"/>
                    <w:tr2bl w:val="nil"/>
                  </w:tcBorders>
                  <w:vAlign w:val="center"/>
                </w:tcPr>
                <w:p w14:paraId="15847009">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一般排放口</w:t>
                  </w:r>
                </w:p>
              </w:tc>
              <w:tc>
                <w:tcPr>
                  <w:tcW w:w="1606" w:type="dxa"/>
                  <w:tcBorders>
                    <w:tl2br w:val="nil"/>
                    <w:tr2bl w:val="nil"/>
                  </w:tcBorders>
                  <w:vAlign w:val="center"/>
                </w:tcPr>
                <w:p w14:paraId="1FDE3E07">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水泥工业大气污染物排放标准（GB4915-2013）</w:t>
                  </w:r>
                </w:p>
                <w:p w14:paraId="58320264">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表1中“颗粒物</w:t>
                  </w:r>
                </w:p>
                <w:p w14:paraId="15CFFAE1">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20mg/m</w:t>
                  </w:r>
                  <w:r>
                    <w:rPr>
                      <w:rFonts w:hint="eastAsia" w:eastAsia="新宋体" w:cs="Times New Roman"/>
                      <w:color w:val="auto"/>
                      <w:sz w:val="21"/>
                      <w:szCs w:val="21"/>
                      <w:vertAlign w:val="superscript"/>
                      <w:lang w:val="en-US" w:eastAsia="zh-CN"/>
                    </w:rPr>
                    <w:t>3</w:t>
                  </w:r>
                  <w:r>
                    <w:rPr>
                      <w:rFonts w:hint="eastAsia" w:eastAsia="新宋体" w:cs="Times New Roman"/>
                      <w:color w:val="auto"/>
                      <w:sz w:val="21"/>
                      <w:szCs w:val="21"/>
                      <w:lang w:val="en-US" w:eastAsia="zh-CN"/>
                    </w:rPr>
                    <w:t>”</w:t>
                  </w:r>
                </w:p>
              </w:tc>
            </w:tr>
            <w:tr w14:paraId="443A4FF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921" w:hRule="atLeast"/>
                <w:jc w:val="center"/>
              </w:trPr>
              <w:tc>
                <w:tcPr>
                  <w:tcW w:w="746" w:type="dxa"/>
                  <w:tcBorders>
                    <w:tl2br w:val="nil"/>
                    <w:tr2bl w:val="nil"/>
                  </w:tcBorders>
                  <w:vAlign w:val="center"/>
                </w:tcPr>
                <w:p w14:paraId="5B7F7755">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DA002</w:t>
                  </w:r>
                </w:p>
              </w:tc>
              <w:tc>
                <w:tcPr>
                  <w:tcW w:w="659" w:type="dxa"/>
                  <w:tcBorders>
                    <w:tl2br w:val="nil"/>
                    <w:tr2bl w:val="nil"/>
                  </w:tcBorders>
                  <w:vAlign w:val="center"/>
                </w:tcPr>
                <w:p w14:paraId="0B26F0CC">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搅拌工序</w:t>
                  </w:r>
                </w:p>
              </w:tc>
              <w:tc>
                <w:tcPr>
                  <w:tcW w:w="747" w:type="dxa"/>
                  <w:tcBorders>
                    <w:tl2br w:val="nil"/>
                    <w:tr2bl w:val="nil"/>
                  </w:tcBorders>
                  <w:vAlign w:val="center"/>
                </w:tcPr>
                <w:p w14:paraId="7BD350E5">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42.29441499</w:t>
                  </w:r>
                </w:p>
              </w:tc>
              <w:tc>
                <w:tcPr>
                  <w:tcW w:w="828" w:type="dxa"/>
                  <w:tcBorders>
                    <w:tl2br w:val="nil"/>
                    <w:tr2bl w:val="nil"/>
                  </w:tcBorders>
                  <w:vAlign w:val="center"/>
                </w:tcPr>
                <w:p w14:paraId="0C1AA9E9">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86.86873686</w:t>
                  </w:r>
                </w:p>
              </w:tc>
              <w:tc>
                <w:tcPr>
                  <w:tcW w:w="846" w:type="dxa"/>
                  <w:tcBorders>
                    <w:tl2br w:val="nil"/>
                    <w:tr2bl w:val="nil"/>
                  </w:tcBorders>
                  <w:vAlign w:val="center"/>
                </w:tcPr>
                <w:p w14:paraId="7218C95F">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15</w:t>
                  </w:r>
                </w:p>
              </w:tc>
              <w:tc>
                <w:tcPr>
                  <w:tcW w:w="856" w:type="dxa"/>
                  <w:tcBorders>
                    <w:tl2br w:val="nil"/>
                    <w:tr2bl w:val="nil"/>
                  </w:tcBorders>
                  <w:vAlign w:val="center"/>
                </w:tcPr>
                <w:p w14:paraId="023BCA55">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18.24</w:t>
                  </w:r>
                </w:p>
              </w:tc>
              <w:tc>
                <w:tcPr>
                  <w:tcW w:w="793" w:type="dxa"/>
                  <w:tcBorders>
                    <w:tl2br w:val="nil"/>
                    <w:tr2bl w:val="nil"/>
                  </w:tcBorders>
                  <w:vAlign w:val="center"/>
                </w:tcPr>
                <w:p w14:paraId="2DC53C33">
                  <w:pPr>
                    <w:pStyle w:val="40"/>
                    <w:widowControl w:val="0"/>
                    <w:jc w:val="center"/>
                    <w:rPr>
                      <w:rFonts w:hint="default" w:eastAsia="新宋体" w:cs="Times New Roman"/>
                      <w:color w:val="auto"/>
                      <w:sz w:val="21"/>
                      <w:szCs w:val="21"/>
                      <w:lang w:val="en-US" w:eastAsia="zh-CN"/>
                    </w:rPr>
                  </w:pPr>
                  <w:r>
                    <w:rPr>
                      <w:rFonts w:hint="eastAsia" w:eastAsia="新宋体" w:cs="Times New Roman"/>
                      <w:color w:val="auto"/>
                      <w:sz w:val="21"/>
                      <w:szCs w:val="21"/>
                      <w:lang w:val="en-US" w:eastAsia="zh-CN"/>
                    </w:rPr>
                    <w:t>20</w:t>
                  </w:r>
                </w:p>
              </w:tc>
              <w:tc>
                <w:tcPr>
                  <w:tcW w:w="784" w:type="dxa"/>
                  <w:tcBorders>
                    <w:tl2br w:val="nil"/>
                    <w:tr2bl w:val="nil"/>
                  </w:tcBorders>
                  <w:vAlign w:val="center"/>
                </w:tcPr>
                <w:p w14:paraId="586A7796">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一般排放口</w:t>
                  </w:r>
                </w:p>
              </w:tc>
              <w:tc>
                <w:tcPr>
                  <w:tcW w:w="1606" w:type="dxa"/>
                  <w:tcBorders>
                    <w:tl2br w:val="nil"/>
                    <w:tr2bl w:val="nil"/>
                  </w:tcBorders>
                  <w:vAlign w:val="center"/>
                </w:tcPr>
                <w:p w14:paraId="258351C0">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水泥工业大气污染物排放标准（GB4915-2013）</w:t>
                  </w:r>
                </w:p>
                <w:p w14:paraId="13233E41">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表1中“颗粒物</w:t>
                  </w:r>
                </w:p>
                <w:p w14:paraId="26CA754F">
                  <w:pPr>
                    <w:pStyle w:val="40"/>
                    <w:widowControl w:val="0"/>
                    <w:jc w:val="center"/>
                    <w:rPr>
                      <w:rFonts w:hint="eastAsia" w:eastAsia="新宋体" w:cs="Times New Roman"/>
                      <w:color w:val="auto"/>
                      <w:sz w:val="21"/>
                      <w:szCs w:val="21"/>
                      <w:lang w:val="en-US" w:eastAsia="zh-CN"/>
                    </w:rPr>
                  </w:pPr>
                  <w:r>
                    <w:rPr>
                      <w:rFonts w:hint="eastAsia" w:eastAsia="新宋体" w:cs="Times New Roman"/>
                      <w:color w:val="auto"/>
                      <w:sz w:val="21"/>
                      <w:szCs w:val="21"/>
                      <w:lang w:val="en-US" w:eastAsia="zh-CN"/>
                    </w:rPr>
                    <w:t>20mg/m</w:t>
                  </w:r>
                  <w:r>
                    <w:rPr>
                      <w:rFonts w:hint="eastAsia" w:eastAsia="新宋体" w:cs="Times New Roman"/>
                      <w:color w:val="auto"/>
                      <w:sz w:val="21"/>
                      <w:szCs w:val="21"/>
                      <w:vertAlign w:val="superscript"/>
                      <w:lang w:val="en-US" w:eastAsia="zh-CN"/>
                    </w:rPr>
                    <w:t>3</w:t>
                  </w:r>
                  <w:r>
                    <w:rPr>
                      <w:rFonts w:hint="eastAsia" w:eastAsia="新宋体" w:cs="Times New Roman"/>
                      <w:color w:val="auto"/>
                      <w:sz w:val="21"/>
                      <w:szCs w:val="21"/>
                      <w:lang w:val="en-US" w:eastAsia="zh-CN"/>
                    </w:rPr>
                    <w:t>”</w:t>
                  </w:r>
                </w:p>
              </w:tc>
            </w:tr>
          </w:tbl>
          <w:p w14:paraId="77D7127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新宋体" w:cs="Times New Roman"/>
                <w:b/>
                <w:bCs w:val="0"/>
                <w:color w:val="000000" w:themeColor="text1"/>
                <w:sz w:val="24"/>
                <w:szCs w:val="24"/>
                <w:lang w:val="en-US" w:eastAsia="zh-CN"/>
                <w14:textFill>
                  <w14:solidFill>
                    <w14:schemeClr w14:val="tx1"/>
                  </w14:solidFill>
                </w14:textFill>
              </w:rPr>
            </w:pPr>
            <w:r>
              <w:rPr>
                <w:rFonts w:hint="eastAsia" w:eastAsia="新宋体" w:cs="Times New Roman"/>
                <w:b/>
                <w:bCs w:val="0"/>
                <w:color w:val="000000" w:themeColor="text1"/>
                <w:spacing w:val="0"/>
                <w:sz w:val="24"/>
                <w:highlight w:val="none"/>
                <w:lang w:val="en-US" w:eastAsia="zh-CN"/>
                <w14:textFill>
                  <w14:solidFill>
                    <w14:schemeClr w14:val="tx1"/>
                  </w14:solidFill>
                </w14:textFill>
              </w:rPr>
              <w:t>1.3废气治理措施可行性分析</w:t>
            </w:r>
          </w:p>
          <w:p w14:paraId="3A3F7ED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s="Times New Roman"/>
                <w:b w:val="0"/>
                <w:bCs w:val="0"/>
                <w:color w:val="auto"/>
                <w:sz w:val="24"/>
                <w:szCs w:val="32"/>
                <w:lang w:val="en-US" w:eastAsia="zh-CN"/>
              </w:rPr>
            </w:pPr>
            <w:r>
              <w:rPr>
                <w:rFonts w:hint="eastAsia" w:cs="Times New Roman"/>
                <w:b w:val="0"/>
                <w:bCs w:val="0"/>
                <w:color w:val="auto"/>
                <w:sz w:val="24"/>
                <w:szCs w:val="32"/>
                <w:lang w:val="en-US" w:eastAsia="zh-CN"/>
              </w:rPr>
              <w:t>（1）无组织废气治理措施可行性分析</w:t>
            </w:r>
          </w:p>
          <w:p w14:paraId="7C95379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32"/>
                <w:lang w:val="en-US" w:eastAsia="zh-CN"/>
              </w:rPr>
            </w:pPr>
            <w:r>
              <w:rPr>
                <w:rFonts w:hint="eastAsia" w:cs="Times New Roman"/>
                <w:b w:val="0"/>
                <w:bCs w:val="0"/>
                <w:color w:val="auto"/>
                <w:sz w:val="24"/>
                <w:szCs w:val="32"/>
                <w:lang w:val="en-US" w:eastAsia="zh-CN"/>
              </w:rPr>
              <w:t>①全密闭车间</w:t>
            </w:r>
          </w:p>
          <w:p w14:paraId="762F798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color w:val="auto"/>
                <w:sz w:val="24"/>
                <w:szCs w:val="32"/>
                <w:lang w:val="en-US" w:eastAsia="zh-CN"/>
              </w:rPr>
            </w:pPr>
            <w:r>
              <w:rPr>
                <w:rFonts w:hint="default" w:ascii="Times New Roman" w:hAnsi="Times New Roman" w:eastAsia="宋体" w:cs="Times New Roman"/>
                <w:b w:val="0"/>
                <w:bCs w:val="0"/>
                <w:color w:val="auto"/>
                <w:sz w:val="24"/>
                <w:szCs w:val="32"/>
                <w:lang w:val="en-US" w:eastAsia="zh-CN"/>
              </w:rPr>
              <w:t>洒水喷雾防尘的作用主要在于湿润颗粒细小的干燥粉尘，增加粉尘含湿量，从而使其密度增大，并</w:t>
            </w:r>
            <w:r>
              <w:rPr>
                <w:rFonts w:hint="eastAsia" w:cs="Times New Roman"/>
                <w:b w:val="0"/>
                <w:bCs w:val="0"/>
                <w:color w:val="auto"/>
                <w:sz w:val="24"/>
                <w:szCs w:val="32"/>
                <w:lang w:val="en-US" w:eastAsia="zh-CN"/>
              </w:rPr>
              <w:t>黏结</w:t>
            </w:r>
            <w:r>
              <w:rPr>
                <w:rFonts w:hint="default" w:ascii="Times New Roman" w:hAnsi="Times New Roman" w:eastAsia="宋体" w:cs="Times New Roman"/>
                <w:b w:val="0"/>
                <w:bCs w:val="0"/>
                <w:color w:val="auto"/>
                <w:sz w:val="24"/>
                <w:szCs w:val="32"/>
                <w:lang w:val="en-US" w:eastAsia="zh-CN"/>
              </w:rPr>
              <w:t>成较大的颗粒，使之在外力作用下不能飞扬项目在</w:t>
            </w:r>
            <w:r>
              <w:rPr>
                <w:rFonts w:hint="eastAsia" w:cs="Times New Roman"/>
                <w:b w:val="0"/>
                <w:bCs w:val="0"/>
                <w:color w:val="auto"/>
                <w:sz w:val="24"/>
                <w:szCs w:val="32"/>
                <w:lang w:val="en-US" w:eastAsia="zh-CN"/>
              </w:rPr>
              <w:t>堆场区</w:t>
            </w:r>
            <w:r>
              <w:rPr>
                <w:rFonts w:hint="default" w:ascii="Times New Roman" w:hAnsi="Times New Roman" w:eastAsia="宋体" w:cs="Times New Roman"/>
                <w:b w:val="0"/>
                <w:bCs w:val="0"/>
                <w:color w:val="auto"/>
                <w:sz w:val="24"/>
                <w:szCs w:val="32"/>
                <w:lang w:val="en-US" w:eastAsia="zh-CN"/>
              </w:rPr>
              <w:t>定期进行洒水喷雾，增加原料和成品的含水率，并遮盖</w:t>
            </w:r>
            <w:r>
              <w:rPr>
                <w:rFonts w:hint="eastAsia" w:cs="Times New Roman"/>
                <w:b w:val="0"/>
                <w:bCs w:val="0"/>
                <w:color w:val="auto"/>
                <w:sz w:val="24"/>
                <w:szCs w:val="32"/>
                <w:lang w:val="en-US" w:eastAsia="zh-CN"/>
              </w:rPr>
              <w:t>防尘布</w:t>
            </w:r>
            <w:r>
              <w:rPr>
                <w:rFonts w:hint="default" w:ascii="Times New Roman" w:hAnsi="Times New Roman" w:eastAsia="宋体" w:cs="Times New Roman"/>
                <w:b w:val="0"/>
                <w:bCs w:val="0"/>
                <w:color w:val="auto"/>
                <w:sz w:val="24"/>
                <w:szCs w:val="32"/>
                <w:lang w:val="en-US" w:eastAsia="zh-CN"/>
              </w:rPr>
              <w:t>处理，可以极大程度的降低扬尘产排。项目</w:t>
            </w:r>
            <w:r>
              <w:rPr>
                <w:rFonts w:hint="eastAsia" w:ascii="Times New Roman" w:hAnsi="Times New Roman" w:eastAsia="宋体" w:cs="Times New Roman"/>
                <w:b w:val="0"/>
                <w:bCs w:val="0"/>
                <w:color w:val="auto"/>
                <w:sz w:val="24"/>
                <w:szCs w:val="32"/>
                <w:lang w:val="en-US" w:eastAsia="zh-CN"/>
              </w:rPr>
              <w:t>原料上料、运输、混合拌料</w:t>
            </w:r>
            <w:r>
              <w:rPr>
                <w:rFonts w:hint="default" w:ascii="Times New Roman" w:hAnsi="Times New Roman" w:eastAsia="宋体" w:cs="Times New Roman"/>
                <w:b w:val="0"/>
                <w:bCs w:val="0"/>
                <w:color w:val="auto"/>
                <w:sz w:val="24"/>
                <w:szCs w:val="32"/>
                <w:lang w:val="en-US" w:eastAsia="zh-CN"/>
              </w:rPr>
              <w:t>等生产过程</w:t>
            </w:r>
            <w:r>
              <w:rPr>
                <w:rFonts w:hint="eastAsia" w:cs="Times New Roman"/>
                <w:b w:val="0"/>
                <w:bCs w:val="0"/>
                <w:color w:val="auto"/>
                <w:sz w:val="24"/>
                <w:szCs w:val="32"/>
                <w:lang w:val="en-US" w:eastAsia="zh-CN"/>
              </w:rPr>
              <w:t>均设置在全密闭厂房内</w:t>
            </w:r>
            <w:r>
              <w:rPr>
                <w:rFonts w:hint="default" w:ascii="Times New Roman" w:hAnsi="Times New Roman" w:eastAsia="宋体" w:cs="Times New Roman"/>
                <w:b w:val="0"/>
                <w:bCs w:val="0"/>
                <w:color w:val="auto"/>
                <w:sz w:val="24"/>
                <w:szCs w:val="32"/>
                <w:lang w:val="en-US" w:eastAsia="zh-CN"/>
              </w:rPr>
              <w:t>，采用湿法作业去除</w:t>
            </w:r>
            <w:r>
              <w:rPr>
                <w:rFonts w:hint="eastAsia" w:cs="Times New Roman"/>
                <w:b w:val="0"/>
                <w:bCs w:val="0"/>
                <w:color w:val="auto"/>
                <w:sz w:val="24"/>
                <w:szCs w:val="32"/>
                <w:lang w:val="en-US" w:eastAsia="zh-CN"/>
              </w:rPr>
              <w:t>空闲悬浮</w:t>
            </w:r>
            <w:r>
              <w:rPr>
                <w:rFonts w:hint="default" w:ascii="Times New Roman" w:hAnsi="Times New Roman" w:eastAsia="宋体" w:cs="Times New Roman"/>
                <w:b w:val="0"/>
                <w:bCs w:val="0"/>
                <w:color w:val="auto"/>
                <w:sz w:val="24"/>
                <w:szCs w:val="32"/>
                <w:lang w:val="en-US" w:eastAsia="zh-CN"/>
              </w:rPr>
              <w:t>粉尘，降尘效率可达到80%，扬尘的产排量也将得到强有力的控制。</w:t>
            </w:r>
          </w:p>
          <w:p w14:paraId="6AF4D5A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32"/>
                <w:lang w:val="en-US" w:eastAsia="zh-CN"/>
              </w:rPr>
            </w:pPr>
            <w:r>
              <w:rPr>
                <w:rFonts w:hint="eastAsia" w:cs="Times New Roman"/>
                <w:b w:val="0"/>
                <w:bCs w:val="0"/>
                <w:color w:val="auto"/>
                <w:sz w:val="24"/>
                <w:szCs w:val="32"/>
                <w:lang w:val="en-US" w:eastAsia="zh-CN"/>
              </w:rPr>
              <w:t>②车辆尾气</w:t>
            </w:r>
          </w:p>
          <w:p w14:paraId="04E414F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32"/>
                <w:lang w:val="en-US" w:eastAsia="zh-CN"/>
              </w:rPr>
            </w:pPr>
            <w:r>
              <w:rPr>
                <w:rFonts w:hint="default" w:ascii="Times New Roman" w:hAnsi="Times New Roman" w:eastAsia="宋体" w:cs="Times New Roman"/>
                <w:b w:val="0"/>
                <w:bCs w:val="0"/>
                <w:color w:val="auto"/>
                <w:sz w:val="24"/>
                <w:szCs w:val="32"/>
                <w:lang w:val="en-US" w:eastAsia="zh-CN"/>
              </w:rPr>
              <w:t>由于汽车尾气</w:t>
            </w:r>
            <w:r>
              <w:rPr>
                <w:rFonts w:hint="eastAsia" w:cs="Times New Roman"/>
                <w:b w:val="0"/>
                <w:bCs w:val="0"/>
                <w:color w:val="auto"/>
                <w:sz w:val="24"/>
                <w:szCs w:val="32"/>
                <w:lang w:val="en-US" w:eastAsia="zh-CN"/>
              </w:rPr>
              <w:t>以及</w:t>
            </w:r>
            <w:r>
              <w:rPr>
                <w:rFonts w:hint="eastAsia" w:ascii="Times New Roman" w:hAnsi="Times New Roman" w:eastAsia="宋体" w:cs="Times New Roman"/>
                <w:b w:val="0"/>
                <w:bCs w:val="0"/>
                <w:color w:val="auto"/>
                <w:sz w:val="24"/>
                <w:szCs w:val="32"/>
                <w:lang w:val="en-US" w:eastAsia="zh-CN"/>
              </w:rPr>
              <w:t>叉车、货车</w:t>
            </w:r>
            <w:r>
              <w:rPr>
                <w:rFonts w:hint="default" w:ascii="Times New Roman" w:hAnsi="Times New Roman" w:eastAsia="宋体" w:cs="Times New Roman"/>
                <w:b w:val="0"/>
                <w:bCs w:val="0"/>
                <w:color w:val="auto"/>
                <w:sz w:val="24"/>
                <w:szCs w:val="32"/>
                <w:lang w:val="en-US" w:eastAsia="zh-CN"/>
              </w:rPr>
              <w:t>机</w:t>
            </w:r>
            <w:r>
              <w:rPr>
                <w:rFonts w:hint="eastAsia" w:cs="Times New Roman"/>
                <w:b w:val="0"/>
                <w:bCs w:val="0"/>
                <w:color w:val="auto"/>
                <w:sz w:val="24"/>
                <w:szCs w:val="32"/>
                <w:lang w:val="en-US" w:eastAsia="zh-CN"/>
              </w:rPr>
              <w:t>械设</w:t>
            </w:r>
            <w:r>
              <w:rPr>
                <w:rFonts w:hint="default" w:ascii="Times New Roman" w:hAnsi="Times New Roman" w:eastAsia="宋体" w:cs="Times New Roman"/>
                <w:b w:val="0"/>
                <w:bCs w:val="0"/>
                <w:color w:val="auto"/>
                <w:sz w:val="24"/>
                <w:szCs w:val="32"/>
                <w:lang w:val="en-US" w:eastAsia="zh-CN"/>
              </w:rPr>
              <w:t>备产生的燃油废气排放量均不大，露天环境</w:t>
            </w:r>
            <w:r>
              <w:rPr>
                <w:rFonts w:hint="eastAsia" w:ascii="Times New Roman" w:hAnsi="Times New Roman" w:eastAsia="宋体" w:cs="Times New Roman"/>
                <w:b w:val="0"/>
                <w:bCs w:val="0"/>
                <w:color w:val="auto"/>
                <w:sz w:val="24"/>
                <w:szCs w:val="32"/>
                <w:lang w:val="en-US" w:eastAsia="zh-CN"/>
              </w:rPr>
              <w:t>且周边无大型围挡物</w:t>
            </w:r>
            <w:r>
              <w:rPr>
                <w:rFonts w:hint="default" w:ascii="Times New Roman" w:hAnsi="Times New Roman" w:eastAsia="宋体" w:cs="Times New Roman"/>
                <w:b w:val="0"/>
                <w:bCs w:val="0"/>
                <w:color w:val="auto"/>
                <w:sz w:val="24"/>
                <w:szCs w:val="32"/>
                <w:lang w:val="en-US" w:eastAsia="zh-CN"/>
              </w:rPr>
              <w:t>有利于废气扩散，同时在</w:t>
            </w:r>
            <w:r>
              <w:rPr>
                <w:rFonts w:hint="eastAsia" w:ascii="Times New Roman" w:hAnsi="Times New Roman" w:eastAsia="宋体" w:cs="Times New Roman"/>
                <w:b w:val="0"/>
                <w:bCs w:val="0"/>
                <w:color w:val="auto"/>
                <w:sz w:val="24"/>
                <w:szCs w:val="32"/>
                <w:lang w:val="en-US" w:eastAsia="zh-CN"/>
              </w:rPr>
              <w:t>场内上下风向已</w:t>
            </w:r>
            <w:r>
              <w:rPr>
                <w:rFonts w:hint="default" w:ascii="Times New Roman" w:hAnsi="Times New Roman" w:eastAsia="宋体" w:cs="Times New Roman"/>
                <w:b w:val="0"/>
                <w:bCs w:val="0"/>
                <w:color w:val="auto"/>
                <w:sz w:val="24"/>
                <w:szCs w:val="32"/>
                <w:lang w:val="en-US" w:eastAsia="zh-CN"/>
              </w:rPr>
              <w:t>种植有</w:t>
            </w:r>
            <w:r>
              <w:rPr>
                <w:rFonts w:hint="default" w:ascii="Times New Roman" w:hAnsi="Times New Roman" w:cs="Times New Roman"/>
                <w:b w:val="0"/>
                <w:bCs w:val="0"/>
                <w:color w:val="auto"/>
                <w:sz w:val="24"/>
                <w:szCs w:val="32"/>
                <w:lang w:val="en-US" w:eastAsia="zh-CN"/>
              </w:rPr>
              <w:t>抗旱</w:t>
            </w:r>
            <w:r>
              <w:rPr>
                <w:rFonts w:hint="default" w:ascii="Times New Roman" w:hAnsi="Times New Roman" w:eastAsia="宋体" w:cs="Times New Roman"/>
                <w:b w:val="0"/>
                <w:bCs w:val="0"/>
                <w:color w:val="auto"/>
                <w:sz w:val="24"/>
                <w:szCs w:val="32"/>
                <w:lang w:val="en-US" w:eastAsia="zh-CN"/>
              </w:rPr>
              <w:t>植物，通过植物对各种污染物的吸收和代谢作用，能减轻本项目的污染，对周围环境影响较小。项目无需针对燃油机械尾气购置治理设施或设备，从经济的角度看是具备可行性的。</w:t>
            </w:r>
          </w:p>
          <w:p w14:paraId="01B5FA3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32"/>
                <w:lang w:val="en-US" w:eastAsia="zh-CN"/>
              </w:rPr>
            </w:pPr>
            <w:r>
              <w:rPr>
                <w:rFonts w:hint="default" w:ascii="Times New Roman" w:hAnsi="Times New Roman" w:eastAsia="宋体" w:cs="Times New Roman"/>
                <w:b w:val="0"/>
                <w:bCs w:val="0"/>
                <w:color w:val="auto"/>
                <w:sz w:val="24"/>
                <w:szCs w:val="32"/>
                <w:lang w:val="en-US" w:eastAsia="zh-CN"/>
              </w:rPr>
              <w:t>（2）</w:t>
            </w:r>
            <w:r>
              <w:rPr>
                <w:rFonts w:hint="eastAsia" w:ascii="Times New Roman" w:hAnsi="Times New Roman" w:eastAsia="宋体" w:cs="Times New Roman"/>
                <w:b w:val="0"/>
                <w:bCs w:val="0"/>
                <w:color w:val="auto"/>
                <w:sz w:val="24"/>
                <w:szCs w:val="32"/>
                <w:lang w:val="en-US" w:eastAsia="zh-CN"/>
              </w:rPr>
              <w:t>有组织</w:t>
            </w:r>
            <w:r>
              <w:rPr>
                <w:rFonts w:hint="default" w:ascii="Times New Roman" w:hAnsi="Times New Roman" w:eastAsia="宋体" w:cs="Times New Roman"/>
                <w:b w:val="0"/>
                <w:bCs w:val="0"/>
                <w:color w:val="auto"/>
                <w:sz w:val="24"/>
                <w:szCs w:val="32"/>
                <w:lang w:val="en-US" w:eastAsia="zh-CN"/>
              </w:rPr>
              <w:t>布袋除尘器可行性分析</w:t>
            </w:r>
          </w:p>
          <w:p w14:paraId="4FF49CC9">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z w:val="24"/>
                <w:szCs w:val="32"/>
                <w:lang w:val="en-US" w:eastAsia="zh-CN"/>
              </w:rPr>
            </w:pPr>
            <w:r>
              <w:rPr>
                <w:rFonts w:hint="default" w:ascii="Times New Roman" w:hAnsi="Times New Roman" w:cs="Times New Roman"/>
                <w:b w:val="0"/>
                <w:bCs w:val="0"/>
                <w:sz w:val="24"/>
                <w:szCs w:val="32"/>
                <w:vertAlign w:val="baseline"/>
                <w:lang w:val="en-US" w:eastAsia="zh-CN"/>
              </w:rPr>
              <w:drawing>
                <wp:inline distT="0" distB="0" distL="114300" distR="114300">
                  <wp:extent cx="3060065" cy="2294890"/>
                  <wp:effectExtent l="0" t="0" r="6985" b="10160"/>
                  <wp:docPr id="17" name="图片 17" descr="eca6f1aa68e468d8a6fe7d322f080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ca6f1aa68e468d8a6fe7d322f080ee"/>
                          <pic:cNvPicPr>
                            <a:picLocks noChangeAspect="1"/>
                          </pic:cNvPicPr>
                        </pic:nvPicPr>
                        <pic:blipFill>
                          <a:blip r:embed="rId19"/>
                          <a:stretch>
                            <a:fillRect/>
                          </a:stretch>
                        </pic:blipFill>
                        <pic:spPr>
                          <a:xfrm>
                            <a:off x="0" y="0"/>
                            <a:ext cx="3060065" cy="2294890"/>
                          </a:xfrm>
                          <a:prstGeom prst="rect">
                            <a:avLst/>
                          </a:prstGeom>
                        </pic:spPr>
                      </pic:pic>
                    </a:graphicData>
                  </a:graphic>
                </wp:inline>
              </w:drawing>
            </w:r>
          </w:p>
          <w:p w14:paraId="2BE4F788">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4"/>
                <w:lang w:val="en-US" w:eastAsia="zh-CN"/>
              </w:rPr>
            </w:pPr>
            <w:r>
              <w:rPr>
                <w:rFonts w:hint="eastAsia" w:cs="Times New Roman"/>
                <w:b/>
                <w:bCs/>
                <w:color w:val="auto"/>
                <w:sz w:val="21"/>
                <w:szCs w:val="24"/>
                <w:lang w:val="en-US" w:eastAsia="zh-CN"/>
              </w:rPr>
              <w:t>投料口参照软帘集气罩</w:t>
            </w:r>
          </w:p>
          <w:p w14:paraId="1597B0F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32"/>
                <w:lang w:val="en-US" w:eastAsia="zh-CN"/>
              </w:rPr>
            </w:pPr>
            <w:r>
              <w:rPr>
                <w:rFonts w:hint="default" w:ascii="Times New Roman" w:hAnsi="Times New Roman" w:eastAsia="宋体" w:cs="Times New Roman"/>
                <w:b w:val="0"/>
                <w:bCs w:val="0"/>
                <w:color w:val="auto"/>
                <w:sz w:val="24"/>
                <w:szCs w:val="32"/>
                <w:lang w:val="en-US" w:eastAsia="zh-CN"/>
              </w:rPr>
              <w:t>本项目拟将</w:t>
            </w:r>
            <w:r>
              <w:rPr>
                <w:rFonts w:hint="eastAsia" w:cs="Times New Roman"/>
                <w:b w:val="0"/>
                <w:bCs w:val="0"/>
                <w:color w:val="auto"/>
                <w:sz w:val="24"/>
                <w:szCs w:val="32"/>
                <w:lang w:val="en-US" w:eastAsia="zh-CN"/>
              </w:rPr>
              <w:t>人工投料设置三面软帘集气罩，类比同类型项目集气效率可达80%以上，</w:t>
            </w:r>
            <w:r>
              <w:rPr>
                <w:rFonts w:hint="eastAsia" w:ascii="Times New Roman" w:hAnsi="Times New Roman" w:eastAsia="宋体" w:cs="Times New Roman"/>
                <w:b w:val="0"/>
                <w:bCs w:val="0"/>
                <w:color w:val="auto"/>
                <w:sz w:val="24"/>
                <w:szCs w:val="32"/>
                <w:lang w:val="en-US" w:eastAsia="zh-CN"/>
              </w:rPr>
              <w:t>混合拌料口顶部安装顶吸式集气罩</w:t>
            </w:r>
            <w:r>
              <w:rPr>
                <w:rFonts w:hint="default" w:ascii="Times New Roman" w:hAnsi="Times New Roman" w:eastAsia="宋体" w:cs="Times New Roman"/>
                <w:b w:val="0"/>
                <w:bCs w:val="0"/>
                <w:color w:val="auto"/>
                <w:sz w:val="24"/>
                <w:szCs w:val="32"/>
                <w:lang w:val="en-US" w:eastAsia="zh-CN"/>
              </w:rPr>
              <w:t>，车间内部增加降尘装置，连至布袋除尘器最终经处理后由15m排气筒排放。</w:t>
            </w:r>
          </w:p>
          <w:p w14:paraId="7020A20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32"/>
                <w:lang w:val="en-US" w:eastAsia="zh-CN"/>
              </w:rPr>
            </w:pPr>
            <w:r>
              <w:rPr>
                <w:rFonts w:hint="default" w:ascii="Times New Roman" w:hAnsi="Times New Roman" w:eastAsia="宋体" w:cs="Times New Roman"/>
                <w:b w:val="0"/>
                <w:bCs w:val="0"/>
                <w:color w:val="auto"/>
                <w:sz w:val="24"/>
                <w:szCs w:val="32"/>
                <w:lang w:val="en-US" w:eastAsia="zh-CN"/>
              </w:rPr>
              <w:t>布袋除尘技术属国内外应用较多的成熟技术，除尘效率高、适用范围广，可</w:t>
            </w:r>
            <w:r>
              <w:rPr>
                <w:rFonts w:hint="eastAsia" w:cs="Times New Roman"/>
                <w:b w:val="0"/>
                <w:bCs w:val="0"/>
                <w:color w:val="auto"/>
                <w:sz w:val="24"/>
                <w:szCs w:val="32"/>
                <w:lang w:val="en-US" w:eastAsia="zh-CN"/>
              </w:rPr>
              <w:t>辅</w:t>
            </w:r>
            <w:r>
              <w:rPr>
                <w:rFonts w:hint="default" w:ascii="Times New Roman" w:hAnsi="Times New Roman" w:eastAsia="宋体" w:cs="Times New Roman"/>
                <w:b w:val="0"/>
                <w:bCs w:val="0"/>
                <w:color w:val="auto"/>
                <w:sz w:val="24"/>
                <w:szCs w:val="32"/>
                <w:lang w:val="en-US" w:eastAsia="zh-CN"/>
              </w:rPr>
              <w:t>带去除吸附在颗粒物上的重金属。当烟气温度低于120°C时，可选用涤纶绒布和涤纶针刺毡；烟气温度为120~250℃时，可选用石墨化玻璃丝布，为进一步提高除尘效率，还可选用覆膜滤料。</w:t>
            </w:r>
          </w:p>
          <w:p w14:paraId="5235685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32"/>
                <w:lang w:val="en-US" w:eastAsia="zh-CN"/>
              </w:rPr>
            </w:pPr>
            <w:r>
              <w:rPr>
                <w:rFonts w:hint="default" w:ascii="Times New Roman" w:hAnsi="Times New Roman" w:eastAsia="宋体" w:cs="Times New Roman"/>
                <w:b w:val="0"/>
                <w:bCs w:val="0"/>
                <w:color w:val="auto"/>
                <w:sz w:val="24"/>
                <w:szCs w:val="32"/>
                <w:lang w:val="en-US" w:eastAsia="zh-CN"/>
              </w:rPr>
              <w:t>布袋除尘器也称为过滤式除尘器，是一种干式高效除尘器。它利用纤维编织物制作的袋式过滤元件来捕集含尘气体中的固体颗粒物。</w:t>
            </w:r>
          </w:p>
          <w:p w14:paraId="1846A5E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32"/>
                <w:lang w:val="en-US" w:eastAsia="zh-CN"/>
              </w:rPr>
            </w:pPr>
            <w:r>
              <w:rPr>
                <w:rFonts w:hint="default" w:ascii="Times New Roman" w:hAnsi="Times New Roman" w:eastAsia="宋体" w:cs="Times New Roman"/>
                <w:b w:val="0"/>
                <w:bCs w:val="0"/>
                <w:color w:val="auto"/>
                <w:sz w:val="24"/>
                <w:szCs w:val="32"/>
                <w:lang w:val="en-US" w:eastAsia="zh-CN"/>
              </w:rPr>
              <w:t>布袋除尘器的特点是除尘效率高，一般可达99.9%以上，适应力强，布袋能处理不同类型的颗粒物，袋式除尘器对10um以下尤其1um以下的亚微粒颗粒物有较好的捕集效果，是捕集PM</w:t>
            </w:r>
            <w:r>
              <w:rPr>
                <w:rFonts w:hint="default" w:ascii="Times New Roman" w:hAnsi="Times New Roman" w:eastAsia="宋体" w:cs="Times New Roman"/>
                <w:b w:val="0"/>
                <w:bCs w:val="0"/>
                <w:color w:val="auto"/>
                <w:sz w:val="24"/>
                <w:szCs w:val="32"/>
                <w:vertAlign w:val="subscript"/>
                <w:lang w:val="en-US" w:eastAsia="zh-CN"/>
              </w:rPr>
              <w:t>2.5</w:t>
            </w:r>
            <w:r>
              <w:rPr>
                <w:rFonts w:hint="default" w:ascii="Times New Roman" w:hAnsi="Times New Roman" w:eastAsia="宋体" w:cs="Times New Roman"/>
                <w:b w:val="0"/>
                <w:bCs w:val="0"/>
                <w:color w:val="auto"/>
                <w:sz w:val="24"/>
                <w:szCs w:val="32"/>
                <w:lang w:val="en-US" w:eastAsia="zh-CN"/>
              </w:rPr>
              <w:t>的重要手段。袋式除尘在净化效率、运行能耗、设备造价、占地面积等方面都优于电除尘，特别对电除尘器不易捕集的高比电阻尘粒很有效</w:t>
            </w:r>
            <w:r>
              <w:rPr>
                <w:rFonts w:hint="eastAsia" w:cs="Times New Roman"/>
                <w:b w:val="0"/>
                <w:bCs w:val="0"/>
                <w:color w:val="auto"/>
                <w:sz w:val="24"/>
                <w:szCs w:val="32"/>
                <w:lang w:val="en-US" w:eastAsia="zh-CN"/>
              </w:rPr>
              <w:t>；</w:t>
            </w:r>
            <w:r>
              <w:rPr>
                <w:rFonts w:hint="default" w:ascii="Times New Roman" w:hAnsi="Times New Roman" w:eastAsia="宋体" w:cs="Times New Roman"/>
                <w:b w:val="0"/>
                <w:bCs w:val="0"/>
                <w:color w:val="auto"/>
                <w:sz w:val="24"/>
                <w:szCs w:val="32"/>
                <w:lang w:val="en-US" w:eastAsia="zh-CN"/>
              </w:rPr>
              <w:t>适应的质量浓度范围大，对烟气流速的变化也具有一定的稳定性</w:t>
            </w:r>
            <w:r>
              <w:rPr>
                <w:rFonts w:hint="eastAsia" w:cs="Times New Roman"/>
                <w:b w:val="0"/>
                <w:bCs w:val="0"/>
                <w:color w:val="auto"/>
                <w:sz w:val="24"/>
                <w:szCs w:val="32"/>
                <w:lang w:val="en-US" w:eastAsia="zh-CN"/>
              </w:rPr>
              <w:t>；</w:t>
            </w:r>
            <w:r>
              <w:rPr>
                <w:rFonts w:hint="default" w:ascii="Times New Roman" w:hAnsi="Times New Roman" w:eastAsia="宋体" w:cs="Times New Roman"/>
                <w:b w:val="0"/>
                <w:bCs w:val="0"/>
                <w:color w:val="auto"/>
                <w:sz w:val="24"/>
                <w:szCs w:val="32"/>
                <w:lang w:val="en-US" w:eastAsia="zh-CN"/>
              </w:rPr>
              <w:t>结构简单，内部无复杂结构。缺点是压力损失大，本体阻力800</w:t>
            </w:r>
            <w:r>
              <w:rPr>
                <w:rFonts w:hint="eastAsia" w:cs="Times New Roman"/>
                <w:b w:val="0"/>
                <w:bCs w:val="0"/>
                <w:color w:val="auto"/>
                <w:sz w:val="24"/>
                <w:szCs w:val="32"/>
                <w:lang w:val="en-US" w:eastAsia="zh-CN"/>
              </w:rPr>
              <w:t>～</w:t>
            </w:r>
            <w:r>
              <w:rPr>
                <w:rFonts w:hint="default" w:ascii="Times New Roman" w:hAnsi="Times New Roman" w:eastAsia="宋体" w:cs="Times New Roman"/>
                <w:b w:val="0"/>
                <w:bCs w:val="0"/>
                <w:color w:val="auto"/>
                <w:sz w:val="24"/>
                <w:szCs w:val="32"/>
                <w:lang w:val="en-US" w:eastAsia="zh-CN"/>
              </w:rPr>
              <w:t>1500Pa。袋式除尘器设备正常工作时，含尘气体由进风口进入灰斗，由于气体体积的急速膨胀，一部分较粗的尘粒受惯性或自然沉降等原因落入灰斗，其余大部分尘粒随气流上升进入袋室，经滤袋过滤后，尘粒被滞留在滤袋的外侧，净化后的气体由滤袋内部进入上箱体，再由阀板孔、排风口排入大气，从而达到除尘的目的。随着过滤的不断进行，除尘器阻力也随之上升，当阻力达到一定值时，清灰控制器发出清灰命令，首先将提升阀板关闭，切断过滤气流；然后清灰控制器向脉冲电磁阀发出信号，随着脉冲阀把用作清灰的高压逆向气流送入袋内，滤袋迅速鼓胀，并产生强烈抖动，导致滤袋外侧的粉尘抖落，达到清灰的目的。由于设备分为若干个箱区，所以上述过程是逐箱进行的，一个箱区在清灰时，其余箱区仍在正常工作，保证了设备的连续正常运转。之所以能处理高浓度粉尘，关键在于这种强清灰所需清灰时间极短（唢吹一次只需0.1</w:t>
            </w:r>
            <w:r>
              <w:rPr>
                <w:rFonts w:hint="eastAsia" w:cs="Times New Roman"/>
                <w:b w:val="0"/>
                <w:bCs w:val="0"/>
                <w:color w:val="auto"/>
                <w:sz w:val="24"/>
                <w:szCs w:val="32"/>
                <w:lang w:val="en-US" w:eastAsia="zh-CN"/>
              </w:rPr>
              <w:t>～</w:t>
            </w:r>
            <w:r>
              <w:rPr>
                <w:rFonts w:hint="default" w:ascii="Times New Roman" w:hAnsi="Times New Roman" w:eastAsia="宋体" w:cs="Times New Roman"/>
                <w:b w:val="0"/>
                <w:bCs w:val="0"/>
                <w:color w:val="auto"/>
                <w:sz w:val="24"/>
                <w:szCs w:val="32"/>
                <w:lang w:val="en-US" w:eastAsia="zh-CN"/>
              </w:rPr>
              <w:t>0.2s）。</w:t>
            </w:r>
          </w:p>
          <w:p w14:paraId="73E45AC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32"/>
                <w:lang w:val="en-US" w:eastAsia="zh-CN"/>
              </w:rPr>
            </w:pPr>
            <w:r>
              <w:rPr>
                <w:rFonts w:hint="default" w:ascii="Times New Roman" w:hAnsi="Times New Roman" w:eastAsia="宋体" w:cs="Times New Roman"/>
                <w:b w:val="0"/>
                <w:bCs w:val="0"/>
                <w:color w:val="auto"/>
                <w:sz w:val="24"/>
                <w:szCs w:val="32"/>
                <w:lang w:val="en-US" w:eastAsia="zh-CN"/>
              </w:rPr>
              <w:t>参照</w:t>
            </w:r>
            <w:r>
              <w:rPr>
                <w:rFonts w:hint="eastAsia" w:ascii="Times New Roman" w:hAnsi="Times New Roman" w:eastAsia="宋体" w:cs="Times New Roman"/>
                <w:b w:val="0"/>
                <w:bCs w:val="0"/>
                <w:color w:val="auto"/>
                <w:sz w:val="24"/>
                <w:szCs w:val="32"/>
                <w:lang w:val="en-US" w:eastAsia="zh-CN"/>
              </w:rPr>
              <w:t>《排污许可证申请与核发技术规范水泥工业》（HJ847-2017）6.2可行技术</w:t>
            </w:r>
            <w:r>
              <w:rPr>
                <w:rFonts w:hint="default" w:ascii="Times New Roman" w:hAnsi="Times New Roman" w:eastAsia="宋体" w:cs="Times New Roman"/>
                <w:b w:val="0"/>
                <w:bCs w:val="0"/>
                <w:color w:val="auto"/>
                <w:sz w:val="24"/>
                <w:szCs w:val="32"/>
                <w:lang w:val="en-US" w:eastAsia="zh-CN"/>
              </w:rPr>
              <w:t>，项目生产过程中“</w:t>
            </w:r>
            <w:r>
              <w:rPr>
                <w:rFonts w:hint="eastAsia" w:ascii="Times New Roman" w:hAnsi="Times New Roman" w:eastAsia="宋体" w:cs="Times New Roman"/>
                <w:b w:val="0"/>
                <w:bCs w:val="0"/>
                <w:color w:val="auto"/>
                <w:sz w:val="24"/>
                <w:szCs w:val="32"/>
                <w:lang w:val="en-US" w:eastAsia="zh-CN"/>
              </w:rPr>
              <w:t>上料、混拌</w:t>
            </w:r>
            <w:r>
              <w:rPr>
                <w:rFonts w:hint="default" w:ascii="Times New Roman" w:hAnsi="Times New Roman" w:eastAsia="宋体" w:cs="Times New Roman"/>
                <w:b w:val="0"/>
                <w:bCs w:val="0"/>
                <w:color w:val="auto"/>
                <w:sz w:val="24"/>
                <w:szCs w:val="32"/>
                <w:lang w:val="en-US" w:eastAsia="zh-CN"/>
              </w:rPr>
              <w:t>”产生的颗粒物采取袋式除尘器处理后有组织排放，废气处理措施满足废气污染防治可行技术要求，因此，本次环评对破碎筛分废气提出袋式除尘的环保措施可行。</w:t>
            </w:r>
          </w:p>
          <w:p w14:paraId="002A409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eastAsia="新宋体" w:cs="Times New Roman"/>
                <w:bCs/>
                <w:color w:val="000000" w:themeColor="text1"/>
                <w:spacing w:val="0"/>
                <w:sz w:val="24"/>
                <w:highlight w:val="none"/>
                <w:lang w:val="en-US" w:eastAsia="zh-CN"/>
                <w14:textFill>
                  <w14:solidFill>
                    <w14:schemeClr w14:val="tx1"/>
                  </w14:solidFill>
                </w14:textFill>
              </w:rPr>
            </w:pPr>
            <w:r>
              <w:rPr>
                <w:rFonts w:hint="eastAsia" w:eastAsia="新宋体" w:cs="Times New Roman"/>
                <w:b/>
                <w:bCs w:val="0"/>
                <w:color w:val="000000" w:themeColor="text1"/>
                <w:spacing w:val="0"/>
                <w:sz w:val="24"/>
                <w:highlight w:val="none"/>
                <w:lang w:val="en-US" w:eastAsia="zh-CN"/>
                <w14:textFill>
                  <w14:solidFill>
                    <w14:schemeClr w14:val="tx1"/>
                  </w14:solidFill>
                </w14:textFill>
              </w:rPr>
              <w:t>1.4非正常工况分析</w:t>
            </w:r>
          </w:p>
          <w:p w14:paraId="4C9842E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pacing w:val="0"/>
                <w:sz w:val="24"/>
                <w:highlight w:val="none"/>
              </w:rPr>
            </w:pPr>
            <w:r>
              <w:rPr>
                <w:rFonts w:hint="default" w:ascii="Times New Roman" w:hAnsi="Times New Roman" w:cs="Times New Roman"/>
                <w:bCs/>
                <w:color w:val="auto"/>
                <w:spacing w:val="0"/>
                <w:sz w:val="24"/>
                <w:highlight w:val="none"/>
              </w:rPr>
              <w:t>本项目非正常工况主要包括</w:t>
            </w:r>
            <w:r>
              <w:rPr>
                <w:rFonts w:hint="default" w:ascii="Times New Roman" w:hAnsi="Times New Roman" w:cs="Times New Roman"/>
                <w:bCs/>
                <w:color w:val="auto"/>
                <w:spacing w:val="0"/>
                <w:sz w:val="24"/>
                <w:highlight w:val="none"/>
                <w:lang w:val="en-US" w:eastAsia="zh-CN"/>
              </w:rPr>
              <w:t>生产设备</w:t>
            </w:r>
            <w:r>
              <w:rPr>
                <w:rFonts w:hint="default" w:ascii="Times New Roman" w:hAnsi="Times New Roman" w:cs="Times New Roman"/>
                <w:bCs/>
                <w:color w:val="auto"/>
                <w:spacing w:val="0"/>
                <w:sz w:val="24"/>
                <w:highlight w:val="none"/>
              </w:rPr>
              <w:t>开、停车，检修；电力供应突然中断；除尘设备故障。项目非正常工况会引起污染物的非正常排放。本项目非正常工况下情况分析如下：</w:t>
            </w:r>
          </w:p>
          <w:p w14:paraId="2CE4DE6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pacing w:val="0"/>
                <w:sz w:val="24"/>
                <w:highlight w:val="none"/>
              </w:rPr>
            </w:pPr>
            <w:r>
              <w:rPr>
                <w:rFonts w:hint="default" w:ascii="Times New Roman" w:hAnsi="Times New Roman" w:cs="Times New Roman"/>
                <w:bCs/>
                <w:color w:val="auto"/>
                <w:spacing w:val="0"/>
                <w:sz w:val="24"/>
                <w:highlight w:val="none"/>
                <w:lang w:eastAsia="zh-CN"/>
              </w:rPr>
              <w:t>（</w:t>
            </w:r>
            <w:r>
              <w:rPr>
                <w:rFonts w:hint="default" w:ascii="Times New Roman" w:hAnsi="Times New Roman" w:cs="Times New Roman"/>
                <w:bCs/>
                <w:color w:val="auto"/>
                <w:spacing w:val="0"/>
                <w:sz w:val="24"/>
                <w:highlight w:val="none"/>
                <w:lang w:val="en-US" w:eastAsia="zh-CN"/>
              </w:rPr>
              <w:t>1</w:t>
            </w:r>
            <w:r>
              <w:rPr>
                <w:rFonts w:hint="default" w:ascii="Times New Roman" w:hAnsi="Times New Roman" w:cs="Times New Roman"/>
                <w:bCs/>
                <w:color w:val="auto"/>
                <w:spacing w:val="0"/>
                <w:sz w:val="24"/>
                <w:highlight w:val="none"/>
                <w:lang w:eastAsia="zh-CN"/>
              </w:rPr>
              <w:t>）</w:t>
            </w:r>
            <w:r>
              <w:rPr>
                <w:rFonts w:hint="default" w:ascii="Times New Roman" w:hAnsi="Times New Roman" w:cs="Times New Roman"/>
                <w:bCs/>
                <w:color w:val="auto"/>
                <w:spacing w:val="0"/>
                <w:sz w:val="24"/>
                <w:highlight w:val="none"/>
              </w:rPr>
              <w:t>开停车</w:t>
            </w:r>
          </w:p>
          <w:p w14:paraId="54A45DC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pacing w:val="0"/>
                <w:sz w:val="24"/>
                <w:highlight w:val="none"/>
              </w:rPr>
            </w:pPr>
            <w:r>
              <w:rPr>
                <w:rFonts w:hint="default" w:ascii="Times New Roman" w:hAnsi="Times New Roman" w:cs="Times New Roman"/>
                <w:bCs/>
                <w:color w:val="auto"/>
                <w:spacing w:val="0"/>
                <w:sz w:val="24"/>
                <w:highlight w:val="none"/>
              </w:rPr>
              <w:t>项目计划停车，装置首先要停工，生产设备及环保设施等同步进行检修、维护和保养后，再开工生产。</w:t>
            </w:r>
          </w:p>
          <w:p w14:paraId="1BD6BF6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pacing w:val="0"/>
                <w:sz w:val="24"/>
                <w:highlight w:val="none"/>
                <w:lang w:eastAsia="zh-CN"/>
              </w:rPr>
            </w:pPr>
            <w:r>
              <w:rPr>
                <w:rFonts w:hint="default" w:ascii="Times New Roman" w:hAnsi="Times New Roman" w:cs="Times New Roman"/>
                <w:bCs/>
                <w:color w:val="auto"/>
                <w:spacing w:val="0"/>
                <w:sz w:val="24"/>
                <w:highlight w:val="none"/>
                <w:lang w:eastAsia="zh-CN"/>
              </w:rPr>
              <w:t>（</w:t>
            </w:r>
            <w:r>
              <w:rPr>
                <w:rFonts w:hint="default" w:ascii="Times New Roman" w:hAnsi="Times New Roman" w:cs="Times New Roman"/>
                <w:bCs/>
                <w:color w:val="auto"/>
                <w:spacing w:val="0"/>
                <w:sz w:val="24"/>
                <w:highlight w:val="none"/>
                <w:lang w:val="en-US" w:eastAsia="zh-CN"/>
              </w:rPr>
              <w:t>2</w:t>
            </w:r>
            <w:r>
              <w:rPr>
                <w:rFonts w:hint="default" w:ascii="Times New Roman" w:hAnsi="Times New Roman" w:cs="Times New Roman"/>
                <w:bCs/>
                <w:color w:val="auto"/>
                <w:spacing w:val="0"/>
                <w:sz w:val="24"/>
                <w:highlight w:val="none"/>
                <w:lang w:eastAsia="zh-CN"/>
              </w:rPr>
              <w:t>）</w:t>
            </w:r>
            <w:r>
              <w:rPr>
                <w:rFonts w:hint="default" w:ascii="Times New Roman" w:hAnsi="Times New Roman" w:cs="Times New Roman"/>
                <w:bCs/>
                <w:color w:val="auto"/>
                <w:spacing w:val="0"/>
                <w:sz w:val="24"/>
                <w:highlight w:val="none"/>
              </w:rPr>
              <w:t>废气处理设施</w:t>
            </w:r>
            <w:r>
              <w:rPr>
                <w:rFonts w:hint="default" w:ascii="Times New Roman" w:hAnsi="Times New Roman" w:cs="Times New Roman"/>
                <w:bCs/>
                <w:color w:val="auto"/>
                <w:spacing w:val="0"/>
                <w:sz w:val="24"/>
                <w:highlight w:val="none"/>
                <w:lang w:val="en-US" w:eastAsia="zh-CN"/>
              </w:rPr>
              <w:t>故障</w:t>
            </w:r>
          </w:p>
          <w:p w14:paraId="14E2421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pacing w:val="0"/>
                <w:sz w:val="24"/>
                <w:highlight w:val="none"/>
              </w:rPr>
            </w:pPr>
            <w:r>
              <w:rPr>
                <w:rFonts w:hint="default" w:ascii="Times New Roman" w:hAnsi="Times New Roman" w:cs="Times New Roman"/>
                <w:bCs/>
                <w:color w:val="auto"/>
                <w:spacing w:val="0"/>
                <w:sz w:val="24"/>
                <w:highlight w:val="none"/>
              </w:rPr>
              <w:t>废气处理设施</w:t>
            </w:r>
            <w:r>
              <w:rPr>
                <w:rFonts w:hint="default" w:ascii="Times New Roman" w:hAnsi="Times New Roman" w:cs="Times New Roman"/>
                <w:bCs/>
                <w:color w:val="auto"/>
                <w:spacing w:val="0"/>
                <w:sz w:val="24"/>
                <w:highlight w:val="none"/>
                <w:lang w:val="en-US" w:eastAsia="zh-CN"/>
              </w:rPr>
              <w:t>故障</w:t>
            </w:r>
            <w:r>
              <w:rPr>
                <w:rFonts w:hint="default" w:ascii="Times New Roman" w:hAnsi="Times New Roman" w:cs="Times New Roman"/>
                <w:bCs/>
                <w:color w:val="auto"/>
                <w:spacing w:val="0"/>
                <w:sz w:val="24"/>
                <w:highlight w:val="none"/>
              </w:rPr>
              <w:t>的原因是长时间未检修、没有做到定期更换，导致处理效率变低，污染物超标排放。</w:t>
            </w:r>
            <w:r>
              <w:rPr>
                <w:rFonts w:hint="default" w:ascii="Times New Roman" w:hAnsi="Times New Roman" w:cs="Times New Roman"/>
                <w:bCs/>
                <w:color w:val="auto"/>
                <w:spacing w:val="0"/>
                <w:sz w:val="24"/>
                <w:highlight w:val="none"/>
                <w:lang w:val="en-US" w:eastAsia="zh-CN"/>
              </w:rPr>
              <w:t>建设单位应</w:t>
            </w:r>
            <w:r>
              <w:rPr>
                <w:rFonts w:hint="default" w:ascii="Times New Roman" w:hAnsi="Times New Roman" w:cs="Times New Roman"/>
                <w:bCs/>
                <w:color w:val="auto"/>
                <w:spacing w:val="0"/>
                <w:sz w:val="24"/>
                <w:highlight w:val="none"/>
              </w:rPr>
              <w:t>加强日常管理，做到定期检修、定期更换。</w:t>
            </w:r>
          </w:p>
          <w:p w14:paraId="00C8086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pacing w:val="0"/>
                <w:sz w:val="24"/>
                <w:highlight w:val="none"/>
              </w:rPr>
            </w:pPr>
            <w:r>
              <w:rPr>
                <w:rFonts w:hint="default" w:ascii="Times New Roman" w:hAnsi="Times New Roman" w:cs="Times New Roman"/>
                <w:bCs/>
                <w:color w:val="auto"/>
                <w:spacing w:val="0"/>
                <w:sz w:val="24"/>
                <w:highlight w:val="none"/>
              </w:rPr>
              <w:t>鉴于本项目产污主要集中在</w:t>
            </w:r>
            <w:r>
              <w:rPr>
                <w:rFonts w:hint="eastAsia" w:ascii="Times New Roman" w:hAnsi="Times New Roman" w:cs="Times New Roman"/>
                <w:bCs/>
                <w:color w:val="auto"/>
                <w:spacing w:val="0"/>
                <w:sz w:val="24"/>
                <w:highlight w:val="none"/>
                <w:lang w:val="en-US" w:eastAsia="zh-CN"/>
              </w:rPr>
              <w:t>上料、混拌</w:t>
            </w:r>
            <w:r>
              <w:rPr>
                <w:rFonts w:hint="default" w:ascii="Times New Roman" w:hAnsi="Times New Roman" w:cs="Times New Roman"/>
                <w:bCs/>
                <w:color w:val="auto"/>
                <w:spacing w:val="0"/>
                <w:sz w:val="24"/>
                <w:highlight w:val="none"/>
              </w:rPr>
              <w:t>，污染物产生速率较大，本项目非正常工况废气处理设施处理</w:t>
            </w:r>
            <w:r>
              <w:rPr>
                <w:rFonts w:hint="default" w:ascii="Times New Roman" w:hAnsi="Times New Roman" w:cs="Times New Roman"/>
                <w:bCs/>
                <w:color w:val="auto"/>
                <w:spacing w:val="0"/>
                <w:sz w:val="24"/>
                <w:highlight w:val="none"/>
                <w:lang w:val="en-US" w:eastAsia="zh-CN"/>
              </w:rPr>
              <w:t>故障导致颗粒物超标</w:t>
            </w:r>
            <w:r>
              <w:rPr>
                <w:rFonts w:hint="default" w:ascii="Times New Roman" w:hAnsi="Times New Roman" w:cs="Times New Roman"/>
                <w:bCs/>
                <w:color w:val="auto"/>
                <w:spacing w:val="0"/>
                <w:sz w:val="24"/>
                <w:highlight w:val="none"/>
              </w:rPr>
              <w:t>，出现频次约5次/年，非正常工况年排放时间按1h时间计算，废气在未经有效处理的情况通过排气筒排放，非正常工况下废气排放详</w:t>
            </w:r>
            <w:r>
              <w:rPr>
                <w:rFonts w:hint="default" w:ascii="Times New Roman" w:hAnsi="Times New Roman" w:cs="Times New Roman"/>
                <w:bCs/>
                <w:color w:val="auto"/>
                <w:spacing w:val="0"/>
                <w:sz w:val="24"/>
                <w:highlight w:val="none"/>
                <w:lang w:eastAsia="zh-CN"/>
              </w:rPr>
              <w:t>见表</w:t>
            </w:r>
            <w:r>
              <w:rPr>
                <w:rFonts w:hint="default" w:ascii="Times New Roman" w:hAnsi="Times New Roman" w:cs="Times New Roman"/>
                <w:bCs/>
                <w:color w:val="auto"/>
                <w:spacing w:val="0"/>
                <w:sz w:val="24"/>
                <w:highlight w:val="none"/>
                <w:lang w:val="en-US" w:eastAsia="zh-CN"/>
              </w:rPr>
              <w:t>4-</w:t>
            </w:r>
            <w:r>
              <w:rPr>
                <w:rFonts w:hint="eastAsia" w:cs="Times New Roman"/>
                <w:bCs/>
                <w:color w:val="auto"/>
                <w:spacing w:val="0"/>
                <w:sz w:val="24"/>
                <w:highlight w:val="none"/>
                <w:lang w:val="en-US" w:eastAsia="zh-CN"/>
              </w:rPr>
              <w:t>8</w:t>
            </w:r>
            <w:r>
              <w:rPr>
                <w:rFonts w:hint="default" w:ascii="Times New Roman" w:hAnsi="Times New Roman" w:cs="Times New Roman"/>
                <w:bCs/>
                <w:color w:val="auto"/>
                <w:spacing w:val="0"/>
                <w:sz w:val="24"/>
                <w:highlight w:val="none"/>
              </w:rPr>
              <w:t>。</w:t>
            </w:r>
          </w:p>
          <w:p w14:paraId="5D876974">
            <w:pPr>
              <w:adjustRightInd w:val="0"/>
              <w:snapToGrid w:val="0"/>
              <w:jc w:val="center"/>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表</w:t>
            </w:r>
            <w:r>
              <w:rPr>
                <w:rFonts w:hint="default" w:ascii="Times New Roman" w:hAnsi="Times New Roman" w:cs="Times New Roman"/>
                <w:b/>
                <w:bCs/>
                <w:color w:val="auto"/>
                <w:spacing w:val="0"/>
                <w:sz w:val="21"/>
                <w:szCs w:val="21"/>
                <w:highlight w:val="none"/>
                <w:lang w:val="en-US" w:eastAsia="zh-CN"/>
              </w:rPr>
              <w:t>4-</w:t>
            </w:r>
            <w:r>
              <w:rPr>
                <w:rFonts w:hint="eastAsia" w:cs="Times New Roman"/>
                <w:b/>
                <w:bCs/>
                <w:color w:val="auto"/>
                <w:spacing w:val="0"/>
                <w:sz w:val="21"/>
                <w:szCs w:val="21"/>
                <w:highlight w:val="none"/>
                <w:lang w:val="en-US" w:eastAsia="zh-CN"/>
              </w:rPr>
              <w:t>8</w:t>
            </w:r>
            <w:r>
              <w:rPr>
                <w:rFonts w:hint="default" w:ascii="Times New Roman" w:hAnsi="Times New Roman" w:eastAsia="宋体" w:cs="Times New Roman"/>
                <w:b/>
                <w:bCs/>
                <w:color w:val="auto"/>
                <w:spacing w:val="0"/>
                <w:sz w:val="21"/>
                <w:szCs w:val="21"/>
                <w:highlight w:val="none"/>
              </w:rPr>
              <w:t>本项目非正常工况污染物产排情况</w:t>
            </w:r>
          </w:p>
          <w:tbl>
            <w:tblPr>
              <w:tblStyle w:val="28"/>
              <w:tblW w:w="4994"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862"/>
              <w:gridCol w:w="724"/>
              <w:gridCol w:w="1189"/>
              <w:gridCol w:w="1139"/>
              <w:gridCol w:w="820"/>
              <w:gridCol w:w="805"/>
              <w:gridCol w:w="846"/>
              <w:gridCol w:w="636"/>
            </w:tblGrid>
            <w:tr w14:paraId="56DDEF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1" w:type="pct"/>
                  <w:tcBorders>
                    <w:tl2br w:val="nil"/>
                    <w:tr2bl w:val="nil"/>
                  </w:tcBorders>
                  <w:noWrap w:val="0"/>
                  <w:vAlign w:val="center"/>
                </w:tcPr>
                <w:p w14:paraId="6C820F2A">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污染源</w:t>
                  </w:r>
                </w:p>
              </w:tc>
              <w:tc>
                <w:tcPr>
                  <w:tcW w:w="592" w:type="pct"/>
                  <w:tcBorders>
                    <w:tl2br w:val="nil"/>
                    <w:tr2bl w:val="nil"/>
                  </w:tcBorders>
                  <w:noWrap w:val="0"/>
                  <w:vAlign w:val="center"/>
                </w:tcPr>
                <w:p w14:paraId="25D4960D">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非正常排放原因</w:t>
                  </w:r>
                </w:p>
              </w:tc>
              <w:tc>
                <w:tcPr>
                  <w:tcW w:w="504" w:type="pct"/>
                  <w:tcBorders>
                    <w:tl2br w:val="nil"/>
                    <w:tr2bl w:val="nil"/>
                  </w:tcBorders>
                  <w:noWrap w:val="0"/>
                  <w:vAlign w:val="center"/>
                </w:tcPr>
                <w:p w14:paraId="2FD72163">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污染物</w:t>
                  </w:r>
                </w:p>
              </w:tc>
              <w:tc>
                <w:tcPr>
                  <w:tcW w:w="729" w:type="pct"/>
                  <w:tcBorders>
                    <w:tl2br w:val="nil"/>
                    <w:tr2bl w:val="nil"/>
                  </w:tcBorders>
                  <w:noWrap w:val="0"/>
                  <w:vAlign w:val="center"/>
                </w:tcPr>
                <w:p w14:paraId="4EBC0436">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非正常排放浓度/（mg/m³）</w:t>
                  </w:r>
                </w:p>
              </w:tc>
              <w:tc>
                <w:tcPr>
                  <w:tcW w:w="768" w:type="pct"/>
                  <w:tcBorders>
                    <w:tl2br w:val="nil"/>
                    <w:tr2bl w:val="nil"/>
                  </w:tcBorders>
                  <w:noWrap w:val="0"/>
                  <w:vAlign w:val="center"/>
                </w:tcPr>
                <w:p w14:paraId="791171BC">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非正常排放速率（kg/h）</w:t>
                  </w:r>
                </w:p>
              </w:tc>
              <w:tc>
                <w:tcPr>
                  <w:tcW w:w="565" w:type="pct"/>
                  <w:tcBorders>
                    <w:tl2br w:val="nil"/>
                    <w:tr2bl w:val="nil"/>
                  </w:tcBorders>
                  <w:noWrap w:val="0"/>
                  <w:vAlign w:val="center"/>
                </w:tcPr>
                <w:p w14:paraId="2A188BD0">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单次持续时间</w:t>
                  </w:r>
                </w:p>
                <w:p w14:paraId="125C56F3">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/h</w:t>
                  </w:r>
                </w:p>
              </w:tc>
              <w:tc>
                <w:tcPr>
                  <w:tcW w:w="555" w:type="pct"/>
                  <w:tcBorders>
                    <w:tl2br w:val="nil"/>
                    <w:tr2bl w:val="nil"/>
                  </w:tcBorders>
                  <w:noWrap w:val="0"/>
                  <w:vAlign w:val="center"/>
                </w:tcPr>
                <w:p w14:paraId="2D478362">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年发生频次（次/年）</w:t>
                  </w:r>
                </w:p>
              </w:tc>
              <w:tc>
                <w:tcPr>
                  <w:tcW w:w="453" w:type="pct"/>
                  <w:tcBorders>
                    <w:tl2br w:val="nil"/>
                    <w:tr2bl w:val="nil"/>
                  </w:tcBorders>
                  <w:noWrap w:val="0"/>
                  <w:vAlign w:val="center"/>
                </w:tcPr>
                <w:p w14:paraId="7431B892">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排放量（t</w:t>
                  </w:r>
                  <w:r>
                    <w:rPr>
                      <w:rFonts w:hint="eastAsia" w:ascii="Times New Roman" w:hAnsi="Times New Roman" w:eastAsia="新宋体" w:cs="Times New Roman"/>
                      <w:color w:val="auto"/>
                      <w:sz w:val="21"/>
                      <w:szCs w:val="21"/>
                      <w:lang w:val="en-US" w:eastAsia="zh-CN"/>
                    </w:rPr>
                    <w:t>/a</w:t>
                  </w:r>
                  <w:r>
                    <w:rPr>
                      <w:rFonts w:hint="default" w:ascii="Times New Roman" w:hAnsi="Times New Roman" w:eastAsia="新宋体" w:cs="Times New Roman"/>
                      <w:color w:val="auto"/>
                      <w:sz w:val="21"/>
                      <w:szCs w:val="21"/>
                      <w:lang w:val="en-US" w:eastAsia="zh-CN"/>
                    </w:rPr>
                    <w:t>）</w:t>
                  </w:r>
                </w:p>
              </w:tc>
              <w:tc>
                <w:tcPr>
                  <w:tcW w:w="400" w:type="pct"/>
                  <w:tcBorders>
                    <w:tl2br w:val="nil"/>
                    <w:tr2bl w:val="nil"/>
                  </w:tcBorders>
                  <w:noWrap w:val="0"/>
                  <w:vAlign w:val="center"/>
                </w:tcPr>
                <w:p w14:paraId="3DE1DF6E">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应对措施</w:t>
                  </w:r>
                </w:p>
              </w:tc>
            </w:tr>
            <w:tr w14:paraId="53E4C5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1" w:type="pct"/>
                  <w:tcBorders>
                    <w:tl2br w:val="nil"/>
                    <w:tr2bl w:val="nil"/>
                  </w:tcBorders>
                  <w:noWrap w:val="0"/>
                  <w:vAlign w:val="center"/>
                </w:tcPr>
                <w:p w14:paraId="6BC0CAB5">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DA001</w:t>
                  </w:r>
                </w:p>
              </w:tc>
              <w:tc>
                <w:tcPr>
                  <w:tcW w:w="592" w:type="pct"/>
                  <w:tcBorders>
                    <w:tl2br w:val="nil"/>
                    <w:tr2bl w:val="nil"/>
                  </w:tcBorders>
                  <w:noWrap w:val="0"/>
                  <w:vAlign w:val="center"/>
                </w:tcPr>
                <w:p w14:paraId="73DF2B41">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布袋堵塞，除尘效率降为0%</w:t>
                  </w:r>
                </w:p>
              </w:tc>
              <w:tc>
                <w:tcPr>
                  <w:tcW w:w="504" w:type="pct"/>
                  <w:tcBorders>
                    <w:tl2br w:val="nil"/>
                    <w:tr2bl w:val="nil"/>
                  </w:tcBorders>
                  <w:noWrap w:val="0"/>
                  <w:vAlign w:val="center"/>
                </w:tcPr>
                <w:p w14:paraId="7FF93215">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颗粒物</w:t>
                  </w:r>
                </w:p>
              </w:tc>
              <w:tc>
                <w:tcPr>
                  <w:tcW w:w="729" w:type="pct"/>
                  <w:tcBorders>
                    <w:tl2br w:val="nil"/>
                    <w:tr2bl w:val="nil"/>
                  </w:tcBorders>
                  <w:noWrap w:val="0"/>
                  <w:vAlign w:val="center"/>
                </w:tcPr>
                <w:p w14:paraId="6DFCEFA8">
                  <w:pPr>
                    <w:pStyle w:val="40"/>
                    <w:widowControl w:val="0"/>
                    <w:jc w:val="center"/>
                    <w:rPr>
                      <w:rFonts w:hint="default" w:ascii="Times New Roman" w:hAnsi="Times New Roman" w:eastAsia="新宋体" w:cs="Times New Roman"/>
                      <w:color w:val="auto"/>
                      <w:sz w:val="21"/>
                      <w:szCs w:val="21"/>
                      <w:lang w:val="en-US" w:eastAsia="zh-CN"/>
                    </w:rPr>
                  </w:pPr>
                  <w:r>
                    <w:rPr>
                      <w:rFonts w:hint="eastAsia" w:ascii="Times New Roman" w:hAnsi="Times New Roman" w:eastAsia="新宋体" w:cs="Times New Roman"/>
                      <w:color w:val="auto"/>
                      <w:sz w:val="21"/>
                      <w:szCs w:val="21"/>
                      <w:lang w:val="en-US" w:eastAsia="zh-CN"/>
                    </w:rPr>
                    <w:t>571.43</w:t>
                  </w:r>
                </w:p>
              </w:tc>
              <w:tc>
                <w:tcPr>
                  <w:tcW w:w="768" w:type="pct"/>
                  <w:tcBorders>
                    <w:tl2br w:val="nil"/>
                    <w:tr2bl w:val="nil"/>
                  </w:tcBorders>
                  <w:noWrap w:val="0"/>
                  <w:vAlign w:val="center"/>
                </w:tcPr>
                <w:p w14:paraId="3A3B11A5">
                  <w:pPr>
                    <w:pStyle w:val="40"/>
                    <w:widowControl w:val="0"/>
                    <w:jc w:val="center"/>
                    <w:rPr>
                      <w:rFonts w:hint="default" w:ascii="Times New Roman" w:hAnsi="Times New Roman" w:eastAsia="新宋体" w:cs="Times New Roman"/>
                      <w:color w:val="auto"/>
                      <w:sz w:val="21"/>
                      <w:szCs w:val="21"/>
                      <w:lang w:val="en-US" w:eastAsia="zh-CN"/>
                    </w:rPr>
                  </w:pPr>
                  <w:r>
                    <w:rPr>
                      <w:rFonts w:hint="eastAsia" w:ascii="Times New Roman" w:hAnsi="Times New Roman" w:eastAsia="新宋体" w:cs="Times New Roman"/>
                      <w:color w:val="auto"/>
                      <w:sz w:val="21"/>
                      <w:szCs w:val="21"/>
                      <w:lang w:val="en-US" w:eastAsia="zh-CN"/>
                    </w:rPr>
                    <w:t>0.571</w:t>
                  </w:r>
                </w:p>
              </w:tc>
              <w:tc>
                <w:tcPr>
                  <w:tcW w:w="565" w:type="pct"/>
                  <w:tcBorders>
                    <w:tl2br w:val="nil"/>
                    <w:tr2bl w:val="nil"/>
                  </w:tcBorders>
                  <w:noWrap w:val="0"/>
                  <w:vAlign w:val="center"/>
                </w:tcPr>
                <w:p w14:paraId="684921BB">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1</w:t>
                  </w:r>
                </w:p>
              </w:tc>
              <w:tc>
                <w:tcPr>
                  <w:tcW w:w="555" w:type="pct"/>
                  <w:tcBorders>
                    <w:tl2br w:val="nil"/>
                    <w:tr2bl w:val="nil"/>
                  </w:tcBorders>
                  <w:noWrap w:val="0"/>
                  <w:vAlign w:val="center"/>
                </w:tcPr>
                <w:p w14:paraId="1270B064">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5</w:t>
                  </w:r>
                </w:p>
              </w:tc>
              <w:tc>
                <w:tcPr>
                  <w:tcW w:w="453" w:type="pct"/>
                  <w:tcBorders>
                    <w:tl2br w:val="nil"/>
                    <w:tr2bl w:val="nil"/>
                  </w:tcBorders>
                  <w:noWrap w:val="0"/>
                  <w:vAlign w:val="center"/>
                </w:tcPr>
                <w:p w14:paraId="1972CDBA">
                  <w:pPr>
                    <w:pStyle w:val="40"/>
                    <w:widowControl w:val="0"/>
                    <w:jc w:val="center"/>
                    <w:rPr>
                      <w:rFonts w:hint="default" w:ascii="Times New Roman" w:hAnsi="Times New Roman" w:eastAsia="新宋体" w:cs="Times New Roman"/>
                      <w:color w:val="auto"/>
                      <w:sz w:val="21"/>
                      <w:szCs w:val="21"/>
                      <w:lang w:val="en-US" w:eastAsia="zh-CN"/>
                    </w:rPr>
                  </w:pPr>
                  <w:r>
                    <w:rPr>
                      <w:rFonts w:hint="eastAsia" w:ascii="Times New Roman" w:hAnsi="Times New Roman" w:eastAsia="新宋体" w:cs="Times New Roman"/>
                      <w:color w:val="auto"/>
                      <w:sz w:val="21"/>
                      <w:szCs w:val="21"/>
                      <w:lang w:val="en-US" w:eastAsia="zh-CN"/>
                    </w:rPr>
                    <w:t>0.96</w:t>
                  </w:r>
                </w:p>
              </w:tc>
              <w:tc>
                <w:tcPr>
                  <w:tcW w:w="400" w:type="pct"/>
                  <w:vMerge w:val="restart"/>
                  <w:tcBorders>
                    <w:tl2br w:val="nil"/>
                    <w:tr2bl w:val="nil"/>
                  </w:tcBorders>
                  <w:noWrap w:val="0"/>
                  <w:vAlign w:val="center"/>
                </w:tcPr>
                <w:p w14:paraId="7289241F">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发现问题第一时间维修、停止生产，待设备正常后恢复生产</w:t>
                  </w:r>
                </w:p>
              </w:tc>
            </w:tr>
            <w:tr w14:paraId="3FC37E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31" w:type="pct"/>
                  <w:tcBorders>
                    <w:tl2br w:val="nil"/>
                    <w:tr2bl w:val="nil"/>
                  </w:tcBorders>
                  <w:noWrap w:val="0"/>
                  <w:vAlign w:val="center"/>
                </w:tcPr>
                <w:p w14:paraId="44CA834A">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DA00</w:t>
                  </w:r>
                  <w:r>
                    <w:rPr>
                      <w:rFonts w:hint="eastAsia" w:ascii="Times New Roman" w:hAnsi="Times New Roman" w:eastAsia="新宋体" w:cs="Times New Roman"/>
                      <w:color w:val="auto"/>
                      <w:sz w:val="21"/>
                      <w:szCs w:val="21"/>
                      <w:lang w:val="en-US" w:eastAsia="zh-CN"/>
                    </w:rPr>
                    <w:t>2</w:t>
                  </w:r>
                </w:p>
              </w:tc>
              <w:tc>
                <w:tcPr>
                  <w:tcW w:w="592" w:type="pct"/>
                  <w:tcBorders>
                    <w:tl2br w:val="nil"/>
                    <w:tr2bl w:val="nil"/>
                  </w:tcBorders>
                  <w:noWrap w:val="0"/>
                  <w:vAlign w:val="center"/>
                </w:tcPr>
                <w:p w14:paraId="140F2E4E">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布袋堵塞，除尘效率降为0%；</w:t>
                  </w:r>
                </w:p>
              </w:tc>
              <w:tc>
                <w:tcPr>
                  <w:tcW w:w="504" w:type="pct"/>
                  <w:tcBorders>
                    <w:tl2br w:val="nil"/>
                    <w:tr2bl w:val="nil"/>
                  </w:tcBorders>
                  <w:noWrap w:val="0"/>
                  <w:vAlign w:val="center"/>
                </w:tcPr>
                <w:p w14:paraId="258CEC5A">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颗粒物</w:t>
                  </w:r>
                </w:p>
              </w:tc>
              <w:tc>
                <w:tcPr>
                  <w:tcW w:w="729" w:type="pct"/>
                  <w:tcBorders>
                    <w:tl2br w:val="nil"/>
                    <w:tr2bl w:val="nil"/>
                  </w:tcBorders>
                  <w:noWrap w:val="0"/>
                  <w:vAlign w:val="center"/>
                </w:tcPr>
                <w:p w14:paraId="2D7C92FF">
                  <w:pPr>
                    <w:pStyle w:val="40"/>
                    <w:widowControl w:val="0"/>
                    <w:jc w:val="center"/>
                    <w:rPr>
                      <w:rFonts w:hint="default" w:ascii="Times New Roman" w:hAnsi="Times New Roman" w:eastAsia="新宋体" w:cs="Times New Roman"/>
                      <w:color w:val="auto"/>
                      <w:sz w:val="21"/>
                      <w:szCs w:val="21"/>
                      <w:lang w:val="en-US" w:eastAsia="zh-CN"/>
                    </w:rPr>
                  </w:pPr>
                  <w:r>
                    <w:rPr>
                      <w:rFonts w:hint="eastAsia" w:ascii="Times New Roman" w:hAnsi="Times New Roman" w:eastAsia="新宋体" w:cs="Times New Roman"/>
                      <w:color w:val="auto"/>
                      <w:sz w:val="21"/>
                      <w:szCs w:val="21"/>
                      <w:lang w:val="en-US" w:eastAsia="zh-CN"/>
                    </w:rPr>
                    <w:t>747.14</w:t>
                  </w:r>
                </w:p>
              </w:tc>
              <w:tc>
                <w:tcPr>
                  <w:tcW w:w="768" w:type="pct"/>
                  <w:tcBorders>
                    <w:tl2br w:val="nil"/>
                    <w:tr2bl w:val="nil"/>
                  </w:tcBorders>
                  <w:noWrap w:val="0"/>
                  <w:vAlign w:val="center"/>
                </w:tcPr>
                <w:p w14:paraId="5ABA7547">
                  <w:pPr>
                    <w:pStyle w:val="40"/>
                    <w:widowControl w:val="0"/>
                    <w:jc w:val="center"/>
                    <w:rPr>
                      <w:rFonts w:hint="default" w:ascii="Times New Roman" w:hAnsi="Times New Roman" w:eastAsia="新宋体" w:cs="Times New Roman"/>
                      <w:color w:val="auto"/>
                      <w:sz w:val="21"/>
                      <w:szCs w:val="21"/>
                      <w:lang w:val="en-US" w:eastAsia="zh-CN"/>
                    </w:rPr>
                  </w:pPr>
                  <w:r>
                    <w:rPr>
                      <w:rFonts w:hint="eastAsia" w:ascii="Times New Roman" w:hAnsi="Times New Roman" w:eastAsia="新宋体" w:cs="Times New Roman"/>
                      <w:color w:val="auto"/>
                      <w:sz w:val="21"/>
                      <w:szCs w:val="21"/>
                      <w:lang w:val="en-US" w:eastAsia="zh-CN"/>
                    </w:rPr>
                    <w:t>3.736</w:t>
                  </w:r>
                </w:p>
              </w:tc>
              <w:tc>
                <w:tcPr>
                  <w:tcW w:w="565" w:type="pct"/>
                  <w:tcBorders>
                    <w:tl2br w:val="nil"/>
                    <w:tr2bl w:val="nil"/>
                  </w:tcBorders>
                  <w:noWrap w:val="0"/>
                  <w:vAlign w:val="center"/>
                </w:tcPr>
                <w:p w14:paraId="56DC0825">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1</w:t>
                  </w:r>
                </w:p>
              </w:tc>
              <w:tc>
                <w:tcPr>
                  <w:tcW w:w="555" w:type="pct"/>
                  <w:tcBorders>
                    <w:tl2br w:val="nil"/>
                    <w:tr2bl w:val="nil"/>
                  </w:tcBorders>
                  <w:noWrap w:val="0"/>
                  <w:vAlign w:val="center"/>
                </w:tcPr>
                <w:p w14:paraId="3A36630B">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5</w:t>
                  </w:r>
                </w:p>
              </w:tc>
              <w:tc>
                <w:tcPr>
                  <w:tcW w:w="453" w:type="pct"/>
                  <w:tcBorders>
                    <w:tl2br w:val="nil"/>
                    <w:tr2bl w:val="nil"/>
                  </w:tcBorders>
                  <w:noWrap w:val="0"/>
                  <w:vAlign w:val="center"/>
                </w:tcPr>
                <w:p w14:paraId="4132AA15">
                  <w:pPr>
                    <w:pStyle w:val="40"/>
                    <w:widowControl w:val="0"/>
                    <w:jc w:val="center"/>
                    <w:rPr>
                      <w:rFonts w:hint="default" w:ascii="Times New Roman" w:hAnsi="Times New Roman" w:eastAsia="新宋体" w:cs="Times New Roman"/>
                      <w:color w:val="auto"/>
                      <w:sz w:val="21"/>
                      <w:szCs w:val="21"/>
                      <w:lang w:val="en-US" w:eastAsia="zh-CN"/>
                    </w:rPr>
                  </w:pPr>
                  <w:r>
                    <w:rPr>
                      <w:rFonts w:hint="eastAsia" w:ascii="Times New Roman" w:hAnsi="Times New Roman" w:eastAsia="新宋体" w:cs="Times New Roman"/>
                      <w:color w:val="auto"/>
                      <w:sz w:val="21"/>
                      <w:szCs w:val="21"/>
                      <w:lang w:val="en-US" w:eastAsia="zh-CN"/>
                    </w:rPr>
                    <w:t>6.28</w:t>
                  </w:r>
                </w:p>
              </w:tc>
              <w:tc>
                <w:tcPr>
                  <w:tcW w:w="400" w:type="pct"/>
                  <w:vMerge w:val="continue"/>
                  <w:tcBorders>
                    <w:tl2br w:val="nil"/>
                    <w:tr2bl w:val="nil"/>
                  </w:tcBorders>
                  <w:noWrap w:val="0"/>
                  <w:vAlign w:val="center"/>
                </w:tcPr>
                <w:p w14:paraId="10CEAA2C">
                  <w:pPr>
                    <w:pStyle w:val="40"/>
                    <w:widowControl w:val="0"/>
                    <w:jc w:val="center"/>
                    <w:rPr>
                      <w:rFonts w:hint="default" w:ascii="Times New Roman" w:hAnsi="Times New Roman" w:eastAsia="新宋体" w:cs="Times New Roman"/>
                      <w:color w:val="auto"/>
                      <w:sz w:val="21"/>
                      <w:szCs w:val="21"/>
                      <w:lang w:val="en-US" w:eastAsia="zh-CN"/>
                    </w:rPr>
                  </w:pPr>
                </w:p>
              </w:tc>
            </w:tr>
          </w:tbl>
          <w:p w14:paraId="72774B7F">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cs="Times New Roman"/>
                <w:color w:val="auto"/>
                <w:spacing w:val="0"/>
                <w:sz w:val="24"/>
                <w:highlight w:val="none"/>
              </w:rPr>
            </w:pPr>
            <w:r>
              <w:rPr>
                <w:rFonts w:hint="default" w:ascii="Times New Roman" w:hAnsi="Times New Roman" w:cs="Times New Roman"/>
                <w:bCs/>
                <w:color w:val="auto"/>
                <w:spacing w:val="0"/>
                <w:sz w:val="24"/>
                <w:highlight w:val="none"/>
              </w:rPr>
              <w:t>为防止生产废气非正常工况排放，</w:t>
            </w:r>
            <w:r>
              <w:rPr>
                <w:rFonts w:hint="default" w:ascii="Times New Roman" w:hAnsi="Times New Roman" w:cs="Times New Roman"/>
                <w:color w:val="auto"/>
                <w:spacing w:val="0"/>
                <w:sz w:val="24"/>
                <w:highlight w:val="none"/>
              </w:rPr>
              <w:t>及时检查废气处理装置的有效性和设备的运行情况，确保废气处理系统正常运行；开、停、检修要有预案，有严密周全的计划，降低非正常排放</w:t>
            </w:r>
            <w:r>
              <w:rPr>
                <w:rFonts w:hint="default" w:ascii="Times New Roman" w:hAnsi="Times New Roman" w:cs="Times New Roman"/>
                <w:color w:val="auto"/>
                <w:spacing w:val="0"/>
                <w:sz w:val="24"/>
                <w:highlight w:val="none"/>
                <w:lang w:eastAsia="zh-CN"/>
              </w:rPr>
              <w:t>概率</w:t>
            </w:r>
            <w:r>
              <w:rPr>
                <w:rFonts w:hint="default" w:ascii="Times New Roman" w:hAnsi="Times New Roman" w:cs="Times New Roman"/>
                <w:color w:val="auto"/>
                <w:spacing w:val="0"/>
                <w:sz w:val="24"/>
                <w:highlight w:val="none"/>
              </w:rPr>
              <w:t>，或使影响最小：</w:t>
            </w:r>
          </w:p>
          <w:p w14:paraId="4E136A3D">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pacing w:val="0"/>
                <w:sz w:val="24"/>
                <w:highlight w:val="none"/>
              </w:rPr>
            </w:pPr>
            <w:r>
              <w:rPr>
                <w:rFonts w:hint="default" w:ascii="Times New Roman" w:hAnsi="Times New Roman" w:cs="Times New Roman"/>
                <w:color w:val="auto"/>
                <w:spacing w:val="0"/>
                <w:sz w:val="24"/>
                <w:highlight w:val="none"/>
              </w:rPr>
              <w:t>①为确保项目布袋除尘器能够有效收集和处理，评价建议定期对布袋除尘器装置检查和维修等；</w:t>
            </w:r>
          </w:p>
          <w:p w14:paraId="02450539">
            <w:pPr>
              <w:pStyle w:val="81"/>
              <w:keepNext w:val="0"/>
              <w:keepLines w:val="0"/>
              <w:pageBreakBefore w:val="0"/>
              <w:tabs>
                <w:tab w:val="left" w:pos="2850"/>
                <w:tab w:val="left" w:pos="3918"/>
              </w:tabs>
              <w:kinsoku/>
              <w:wordWrap/>
              <w:overflowPunct/>
              <w:topLinePunct w:val="0"/>
              <w:autoSpaceDE/>
              <w:autoSpaceDN/>
              <w:bidi w:val="0"/>
              <w:adjustRightInd w:val="0"/>
              <w:snapToGrid w:val="0"/>
              <w:spacing w:before="0" w:beforeLines="0" w:line="360" w:lineRule="auto"/>
              <w:ind w:firstLine="480" w:firstLineChars="200"/>
              <w:textAlignment w:val="auto"/>
              <w:outlineLvl w:val="9"/>
              <w:rPr>
                <w:rFonts w:hint="default" w:ascii="Times New Roman" w:hAnsi="Times New Roman" w:cs="Times New Roman"/>
                <w:b w:val="0"/>
                <w:color w:val="auto"/>
                <w:spacing w:val="0"/>
                <w:sz w:val="24"/>
                <w:highlight w:val="none"/>
              </w:rPr>
            </w:pPr>
            <w:r>
              <w:rPr>
                <w:rFonts w:hint="default" w:ascii="Times New Roman" w:hAnsi="Times New Roman" w:cs="Times New Roman"/>
                <w:b w:val="0"/>
                <w:color w:val="auto"/>
                <w:spacing w:val="0"/>
                <w:sz w:val="24"/>
                <w:highlight w:val="none"/>
              </w:rPr>
              <w:t>②应设有备用电源和备用处理设备和零件，以备停电或设备出现故障时保障及时更换使废气全部做到达标排放。</w:t>
            </w:r>
          </w:p>
          <w:p w14:paraId="0B55255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eastAsia="新宋体" w:cs="Times New Roman"/>
                <w:bCs/>
                <w:color w:val="000000" w:themeColor="text1"/>
                <w:spacing w:val="0"/>
                <w:sz w:val="24"/>
                <w:highlight w:val="none"/>
                <w:lang w:val="en-US" w:eastAsia="zh-CN"/>
                <w14:textFill>
                  <w14:solidFill>
                    <w14:schemeClr w14:val="tx1"/>
                  </w14:solidFill>
                </w14:textFill>
              </w:rPr>
            </w:pPr>
            <w:r>
              <w:rPr>
                <w:rFonts w:hint="default" w:ascii="Times New Roman" w:hAnsi="Times New Roman" w:cs="Times New Roman"/>
                <w:color w:val="auto"/>
                <w:spacing w:val="0"/>
                <w:sz w:val="24"/>
                <w:highlight w:val="none"/>
              </w:rPr>
              <w:t>③对员工进行岗位培训。做好值班记录，实行岗位责任制。</w:t>
            </w:r>
          </w:p>
          <w:p w14:paraId="7700353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eastAsia="新宋体" w:cs="Times New Roman"/>
                <w:b/>
                <w:bCs w:val="0"/>
                <w:color w:val="000000" w:themeColor="text1"/>
                <w:spacing w:val="0"/>
                <w:sz w:val="24"/>
                <w:highlight w:val="none"/>
                <w:lang w:val="en-US" w:eastAsia="zh-CN"/>
                <w14:textFill>
                  <w14:solidFill>
                    <w14:schemeClr w14:val="tx1"/>
                  </w14:solidFill>
                </w14:textFill>
              </w:rPr>
            </w:pPr>
            <w:r>
              <w:rPr>
                <w:rFonts w:hint="eastAsia" w:eastAsia="新宋体" w:cs="Times New Roman"/>
                <w:b/>
                <w:bCs w:val="0"/>
                <w:color w:val="000000" w:themeColor="text1"/>
                <w:spacing w:val="0"/>
                <w:sz w:val="24"/>
                <w:highlight w:val="none"/>
                <w:lang w:val="en-US" w:eastAsia="zh-CN"/>
                <w14:textFill>
                  <w14:solidFill>
                    <w14:schemeClr w14:val="tx1"/>
                  </w14:solidFill>
                </w14:textFill>
              </w:rPr>
              <w:t>1.5废气监测计划</w:t>
            </w:r>
          </w:p>
          <w:p w14:paraId="3C5ACC52">
            <w:pPr>
              <w:pStyle w:val="84"/>
              <w:keepNext w:val="0"/>
              <w:keepLines w:val="0"/>
              <w:pageBreakBefore w:val="0"/>
              <w:widowControl w:val="0"/>
              <w:kinsoku/>
              <w:wordWrap/>
              <w:overflowPunct/>
              <w:topLinePunct w:val="0"/>
              <w:autoSpaceDE/>
              <w:autoSpaceDN/>
              <w:bidi w:val="0"/>
              <w:adjustRightInd/>
              <w:snapToGrid/>
              <w:spacing w:line="360" w:lineRule="auto"/>
              <w:ind w:left="0" w:right="0" w:firstLine="434"/>
              <w:jc w:val="both"/>
              <w:textAlignment w:val="auto"/>
              <w:rPr>
                <w:rFonts w:hint="default" w:ascii="Times New Roman" w:hAnsi="Times New Roman" w:eastAsia="宋体" w:cs="Times New Roman"/>
                <w:b w:val="0"/>
                <w:color w:val="auto"/>
                <w:spacing w:val="0"/>
                <w:kern w:val="2"/>
                <w:sz w:val="24"/>
                <w:szCs w:val="24"/>
                <w:highlight w:val="none"/>
                <w:lang w:val="en-US" w:eastAsia="zh-CN" w:bidi="ar-SA"/>
              </w:rPr>
            </w:pPr>
            <w:r>
              <w:rPr>
                <w:rFonts w:hint="default" w:ascii="Times New Roman" w:hAnsi="Times New Roman" w:eastAsia="宋体" w:cs="Times New Roman"/>
                <w:b w:val="0"/>
                <w:color w:val="auto"/>
                <w:spacing w:val="0"/>
                <w:kern w:val="2"/>
                <w:sz w:val="24"/>
                <w:szCs w:val="24"/>
                <w:highlight w:val="none"/>
                <w:lang w:val="en-US" w:eastAsia="zh-CN" w:bidi="ar-SA"/>
              </w:rPr>
              <w:t>根据《排污单位自行监测技术指南水泥工业》（HJ848-2017），本项目废气污染物监测计划见表</w:t>
            </w:r>
            <w:r>
              <w:rPr>
                <w:rFonts w:hint="eastAsia" w:ascii="Times New Roman" w:hAnsi="Times New Roman" w:eastAsia="宋体" w:cs="Times New Roman"/>
                <w:b w:val="0"/>
                <w:color w:val="auto"/>
                <w:spacing w:val="0"/>
                <w:kern w:val="2"/>
                <w:sz w:val="24"/>
                <w:szCs w:val="24"/>
                <w:highlight w:val="none"/>
                <w:lang w:val="en-US" w:eastAsia="zh-CN" w:bidi="ar-SA"/>
              </w:rPr>
              <w:t>4-9</w:t>
            </w:r>
            <w:r>
              <w:rPr>
                <w:rFonts w:hint="default" w:ascii="Times New Roman" w:hAnsi="Times New Roman" w:eastAsia="宋体" w:cs="Times New Roman"/>
                <w:b w:val="0"/>
                <w:color w:val="auto"/>
                <w:spacing w:val="0"/>
                <w:kern w:val="2"/>
                <w:sz w:val="24"/>
                <w:szCs w:val="24"/>
                <w:highlight w:val="none"/>
                <w:lang w:val="en-US" w:eastAsia="zh-CN" w:bidi="ar-SA"/>
              </w:rPr>
              <w:t>。</w:t>
            </w:r>
          </w:p>
          <w:p w14:paraId="5AA49CF5">
            <w:pPr>
              <w:adjustRightInd w:val="0"/>
              <w:snapToGrid w:val="0"/>
              <w:jc w:val="center"/>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表</w:t>
            </w:r>
            <w:r>
              <w:rPr>
                <w:rFonts w:hint="eastAsia" w:ascii="Times New Roman" w:hAnsi="Times New Roman" w:eastAsia="宋体" w:cs="Times New Roman"/>
                <w:b/>
                <w:bCs/>
                <w:color w:val="auto"/>
                <w:spacing w:val="0"/>
                <w:sz w:val="21"/>
                <w:szCs w:val="21"/>
                <w:highlight w:val="none"/>
                <w:lang w:val="en-US" w:eastAsia="zh-CN"/>
              </w:rPr>
              <w:t>4-9</w:t>
            </w:r>
            <w:r>
              <w:rPr>
                <w:rFonts w:hint="default" w:ascii="Times New Roman" w:hAnsi="Times New Roman" w:eastAsia="宋体" w:cs="Times New Roman"/>
                <w:b/>
                <w:bCs/>
                <w:color w:val="auto"/>
                <w:spacing w:val="0"/>
                <w:sz w:val="21"/>
                <w:szCs w:val="21"/>
                <w:highlight w:val="none"/>
              </w:rPr>
              <w:t>大气污染物监测计划</w:t>
            </w:r>
          </w:p>
          <w:tbl>
            <w:tblPr>
              <w:tblStyle w:val="83"/>
              <w:tblW w:w="7854"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122"/>
              <w:gridCol w:w="1122"/>
              <w:gridCol w:w="1121"/>
              <w:gridCol w:w="1122"/>
              <w:gridCol w:w="1122"/>
              <w:gridCol w:w="1122"/>
              <w:gridCol w:w="1123"/>
            </w:tblGrid>
            <w:tr w14:paraId="0C93DB8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7" w:hRule="atLeast"/>
                <w:jc w:val="center"/>
              </w:trPr>
              <w:tc>
                <w:tcPr>
                  <w:tcW w:w="2244" w:type="dxa"/>
                  <w:gridSpan w:val="2"/>
                  <w:tcBorders>
                    <w:tl2br w:val="nil"/>
                    <w:tr2bl w:val="nil"/>
                  </w:tcBorders>
                  <w:vAlign w:val="center"/>
                </w:tcPr>
                <w:p w14:paraId="0AADFA1B">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类别</w:t>
                  </w:r>
                </w:p>
              </w:tc>
              <w:tc>
                <w:tcPr>
                  <w:tcW w:w="1121" w:type="dxa"/>
                  <w:tcBorders>
                    <w:tl2br w:val="nil"/>
                    <w:tr2bl w:val="nil"/>
                  </w:tcBorders>
                  <w:vAlign w:val="center"/>
                </w:tcPr>
                <w:p w14:paraId="462C95DB">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监测位置</w:t>
                  </w:r>
                </w:p>
              </w:tc>
              <w:tc>
                <w:tcPr>
                  <w:tcW w:w="1122" w:type="dxa"/>
                  <w:tcBorders>
                    <w:tl2br w:val="nil"/>
                    <w:tr2bl w:val="nil"/>
                  </w:tcBorders>
                  <w:vAlign w:val="center"/>
                </w:tcPr>
                <w:p w14:paraId="1AAB8EDD">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排口编号</w:t>
                  </w:r>
                </w:p>
              </w:tc>
              <w:tc>
                <w:tcPr>
                  <w:tcW w:w="1122" w:type="dxa"/>
                  <w:tcBorders>
                    <w:tl2br w:val="nil"/>
                    <w:tr2bl w:val="nil"/>
                  </w:tcBorders>
                  <w:vAlign w:val="center"/>
                </w:tcPr>
                <w:p w14:paraId="5AAE65B9">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监测项目</w:t>
                  </w:r>
                </w:p>
              </w:tc>
              <w:tc>
                <w:tcPr>
                  <w:tcW w:w="1122" w:type="dxa"/>
                  <w:tcBorders>
                    <w:tl2br w:val="nil"/>
                    <w:tr2bl w:val="nil"/>
                  </w:tcBorders>
                  <w:vAlign w:val="center"/>
                </w:tcPr>
                <w:p w14:paraId="02D46B29">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监测频次</w:t>
                  </w:r>
                </w:p>
              </w:tc>
              <w:tc>
                <w:tcPr>
                  <w:tcW w:w="1123" w:type="dxa"/>
                  <w:tcBorders>
                    <w:tl2br w:val="nil"/>
                    <w:tr2bl w:val="nil"/>
                  </w:tcBorders>
                  <w:vAlign w:val="center"/>
                </w:tcPr>
                <w:p w14:paraId="1900C0D7">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实施单位</w:t>
                  </w:r>
                </w:p>
              </w:tc>
            </w:tr>
            <w:tr w14:paraId="4DA4926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80" w:hRule="atLeast"/>
                <w:jc w:val="center"/>
              </w:trPr>
              <w:tc>
                <w:tcPr>
                  <w:tcW w:w="1122" w:type="dxa"/>
                  <w:vMerge w:val="restart"/>
                  <w:tcBorders>
                    <w:tl2br w:val="nil"/>
                    <w:tr2bl w:val="nil"/>
                  </w:tcBorders>
                  <w:vAlign w:val="center"/>
                </w:tcPr>
                <w:p w14:paraId="21DDEC7D">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有组织废</w:t>
                  </w:r>
                </w:p>
                <w:p w14:paraId="6D71697E">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气监测</w:t>
                  </w:r>
                </w:p>
              </w:tc>
              <w:tc>
                <w:tcPr>
                  <w:tcW w:w="1122" w:type="dxa"/>
                  <w:tcBorders>
                    <w:tl2br w:val="nil"/>
                    <w:tr2bl w:val="nil"/>
                  </w:tcBorders>
                  <w:vAlign w:val="center"/>
                </w:tcPr>
                <w:p w14:paraId="39A90046">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投料</w:t>
                  </w:r>
                </w:p>
              </w:tc>
              <w:tc>
                <w:tcPr>
                  <w:tcW w:w="1121" w:type="dxa"/>
                  <w:vMerge w:val="restart"/>
                  <w:tcBorders>
                    <w:tl2br w:val="nil"/>
                    <w:tr2bl w:val="nil"/>
                  </w:tcBorders>
                  <w:vAlign w:val="center"/>
                </w:tcPr>
                <w:p w14:paraId="74E07EA7">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布袋除尘器配套1根</w:t>
                  </w:r>
                  <w:r>
                    <w:rPr>
                      <w:rFonts w:hint="eastAsia" w:ascii="Times New Roman" w:hAnsi="Times New Roman" w:eastAsia="新宋体" w:cs="Times New Roman"/>
                      <w:color w:val="auto"/>
                      <w:sz w:val="21"/>
                      <w:szCs w:val="21"/>
                      <w:lang w:val="en-US" w:eastAsia="zh-CN"/>
                    </w:rPr>
                    <w:t>15</w:t>
                  </w:r>
                  <w:r>
                    <w:rPr>
                      <w:rFonts w:hint="default" w:ascii="Times New Roman" w:hAnsi="Times New Roman" w:eastAsia="新宋体" w:cs="Times New Roman"/>
                      <w:color w:val="auto"/>
                      <w:sz w:val="21"/>
                      <w:szCs w:val="21"/>
                      <w:lang w:val="en-US" w:eastAsia="zh-CN"/>
                    </w:rPr>
                    <w:t>m高排气筒</w:t>
                  </w:r>
                </w:p>
              </w:tc>
              <w:tc>
                <w:tcPr>
                  <w:tcW w:w="1122" w:type="dxa"/>
                  <w:tcBorders>
                    <w:tl2br w:val="nil"/>
                    <w:tr2bl w:val="nil"/>
                  </w:tcBorders>
                  <w:vAlign w:val="center"/>
                </w:tcPr>
                <w:p w14:paraId="162D8843">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DA001</w:t>
                  </w:r>
                </w:p>
              </w:tc>
              <w:tc>
                <w:tcPr>
                  <w:tcW w:w="1122" w:type="dxa"/>
                  <w:tcBorders>
                    <w:tl2br w:val="nil"/>
                    <w:tr2bl w:val="nil"/>
                  </w:tcBorders>
                  <w:vAlign w:val="center"/>
                </w:tcPr>
                <w:p w14:paraId="0ACB42C9">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颗粒物</w:t>
                  </w:r>
                </w:p>
              </w:tc>
              <w:tc>
                <w:tcPr>
                  <w:tcW w:w="1122" w:type="dxa"/>
                  <w:tcBorders>
                    <w:tl2br w:val="nil"/>
                    <w:tr2bl w:val="nil"/>
                  </w:tcBorders>
                  <w:vAlign w:val="center"/>
                </w:tcPr>
                <w:p w14:paraId="222275D7">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次/</w:t>
                  </w:r>
                  <w:r>
                    <w:rPr>
                      <w:rFonts w:hint="eastAsia" w:eastAsia="新宋体" w:cs="Times New Roman"/>
                      <w:color w:val="auto"/>
                      <w:sz w:val="21"/>
                      <w:szCs w:val="21"/>
                      <w:lang w:val="en-US" w:eastAsia="zh-CN"/>
                    </w:rPr>
                    <w:t>季度</w:t>
                  </w:r>
                </w:p>
              </w:tc>
              <w:tc>
                <w:tcPr>
                  <w:tcW w:w="1123" w:type="dxa"/>
                  <w:vMerge w:val="restart"/>
                  <w:tcBorders>
                    <w:tl2br w:val="nil"/>
                    <w:tr2bl w:val="nil"/>
                  </w:tcBorders>
                  <w:vAlign w:val="center"/>
                </w:tcPr>
                <w:p w14:paraId="759F978E">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委托第三方</w:t>
                  </w:r>
                  <w:r>
                    <w:rPr>
                      <w:rFonts w:hint="eastAsia" w:eastAsia="新宋体" w:cs="Times New Roman"/>
                      <w:color w:val="auto"/>
                      <w:sz w:val="21"/>
                      <w:szCs w:val="21"/>
                      <w:lang w:val="en-US" w:eastAsia="zh-CN"/>
                    </w:rPr>
                    <w:t>检测机构</w:t>
                  </w:r>
                </w:p>
              </w:tc>
            </w:tr>
            <w:tr w14:paraId="218045D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80" w:hRule="atLeast"/>
                <w:jc w:val="center"/>
              </w:trPr>
              <w:tc>
                <w:tcPr>
                  <w:tcW w:w="1122" w:type="dxa"/>
                  <w:vMerge w:val="continue"/>
                  <w:tcBorders>
                    <w:tl2br w:val="nil"/>
                    <w:tr2bl w:val="nil"/>
                  </w:tcBorders>
                  <w:vAlign w:val="center"/>
                </w:tcPr>
                <w:p w14:paraId="6632CCE5">
                  <w:pPr>
                    <w:pStyle w:val="40"/>
                    <w:widowControl w:val="0"/>
                    <w:jc w:val="center"/>
                    <w:rPr>
                      <w:rFonts w:hint="default" w:ascii="Times New Roman" w:hAnsi="Times New Roman" w:eastAsia="新宋体" w:cs="Times New Roman"/>
                      <w:color w:val="auto"/>
                      <w:sz w:val="21"/>
                      <w:szCs w:val="21"/>
                      <w:lang w:val="en-US" w:eastAsia="zh-CN"/>
                    </w:rPr>
                  </w:pPr>
                </w:p>
              </w:tc>
              <w:tc>
                <w:tcPr>
                  <w:tcW w:w="1122" w:type="dxa"/>
                  <w:tcBorders>
                    <w:tl2br w:val="nil"/>
                    <w:tr2bl w:val="nil"/>
                  </w:tcBorders>
                  <w:vAlign w:val="center"/>
                </w:tcPr>
                <w:p w14:paraId="5488F706">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搅拌</w:t>
                  </w:r>
                </w:p>
              </w:tc>
              <w:tc>
                <w:tcPr>
                  <w:tcW w:w="1121" w:type="dxa"/>
                  <w:vMerge w:val="continue"/>
                  <w:tcBorders>
                    <w:tl2br w:val="nil"/>
                    <w:tr2bl w:val="nil"/>
                  </w:tcBorders>
                  <w:vAlign w:val="center"/>
                </w:tcPr>
                <w:p w14:paraId="2D81A669">
                  <w:pPr>
                    <w:pStyle w:val="40"/>
                    <w:widowControl w:val="0"/>
                    <w:jc w:val="center"/>
                    <w:rPr>
                      <w:rFonts w:hint="default" w:ascii="Times New Roman" w:hAnsi="Times New Roman" w:eastAsia="新宋体" w:cs="Times New Roman"/>
                      <w:color w:val="auto"/>
                      <w:sz w:val="21"/>
                      <w:szCs w:val="21"/>
                      <w:lang w:val="en-US" w:eastAsia="zh-CN"/>
                    </w:rPr>
                  </w:pPr>
                </w:p>
              </w:tc>
              <w:tc>
                <w:tcPr>
                  <w:tcW w:w="1122" w:type="dxa"/>
                  <w:tcBorders>
                    <w:tl2br w:val="nil"/>
                    <w:tr2bl w:val="nil"/>
                  </w:tcBorders>
                  <w:vAlign w:val="center"/>
                </w:tcPr>
                <w:p w14:paraId="6780E4E7">
                  <w:pPr>
                    <w:pStyle w:val="40"/>
                    <w:widowControl w:val="0"/>
                    <w:jc w:val="center"/>
                    <w:rPr>
                      <w:rFonts w:hint="default" w:ascii="Times New Roman" w:hAnsi="Times New Roman" w:eastAsia="新宋体" w:cs="Times New Roman"/>
                      <w:color w:val="auto"/>
                      <w:sz w:val="21"/>
                      <w:szCs w:val="21"/>
                      <w:lang w:val="en-US" w:eastAsia="zh-CN"/>
                    </w:rPr>
                  </w:pPr>
                  <w:r>
                    <w:rPr>
                      <w:rFonts w:hint="eastAsia" w:ascii="Times New Roman" w:hAnsi="Times New Roman" w:eastAsia="新宋体" w:cs="Times New Roman"/>
                      <w:color w:val="auto"/>
                      <w:sz w:val="21"/>
                      <w:szCs w:val="21"/>
                      <w:lang w:val="en-US" w:eastAsia="zh-CN"/>
                    </w:rPr>
                    <w:t>DA002</w:t>
                  </w:r>
                </w:p>
              </w:tc>
              <w:tc>
                <w:tcPr>
                  <w:tcW w:w="1122" w:type="dxa"/>
                  <w:tcBorders>
                    <w:tl2br w:val="nil"/>
                    <w:tr2bl w:val="nil"/>
                  </w:tcBorders>
                  <w:vAlign w:val="center"/>
                </w:tcPr>
                <w:p w14:paraId="7EC0C29B">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颗粒物</w:t>
                  </w:r>
                </w:p>
              </w:tc>
              <w:tc>
                <w:tcPr>
                  <w:tcW w:w="1122" w:type="dxa"/>
                  <w:tcBorders>
                    <w:tl2br w:val="nil"/>
                    <w:tr2bl w:val="nil"/>
                  </w:tcBorders>
                  <w:vAlign w:val="center"/>
                </w:tcPr>
                <w:p w14:paraId="1E7C5CE3">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次/</w:t>
                  </w:r>
                  <w:r>
                    <w:rPr>
                      <w:rFonts w:hint="eastAsia" w:eastAsia="新宋体" w:cs="Times New Roman"/>
                      <w:color w:val="auto"/>
                      <w:sz w:val="21"/>
                      <w:szCs w:val="21"/>
                      <w:lang w:val="en-US" w:eastAsia="zh-CN"/>
                    </w:rPr>
                    <w:t>季度</w:t>
                  </w:r>
                </w:p>
              </w:tc>
              <w:tc>
                <w:tcPr>
                  <w:tcW w:w="1123" w:type="dxa"/>
                  <w:vMerge w:val="continue"/>
                  <w:tcBorders>
                    <w:tl2br w:val="nil"/>
                    <w:tr2bl w:val="nil"/>
                  </w:tcBorders>
                  <w:vAlign w:val="center"/>
                </w:tcPr>
                <w:p w14:paraId="5BD789E6">
                  <w:pPr>
                    <w:pStyle w:val="40"/>
                    <w:widowControl w:val="0"/>
                    <w:jc w:val="center"/>
                    <w:rPr>
                      <w:rFonts w:hint="default" w:ascii="Times New Roman" w:hAnsi="Times New Roman" w:eastAsia="新宋体" w:cs="Times New Roman"/>
                      <w:color w:val="auto"/>
                      <w:sz w:val="21"/>
                      <w:szCs w:val="21"/>
                      <w:lang w:val="en-US" w:eastAsia="zh-CN"/>
                    </w:rPr>
                  </w:pPr>
                </w:p>
              </w:tc>
            </w:tr>
            <w:tr w14:paraId="5544897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96" w:hRule="atLeast"/>
                <w:jc w:val="center"/>
              </w:trPr>
              <w:tc>
                <w:tcPr>
                  <w:tcW w:w="2244" w:type="dxa"/>
                  <w:gridSpan w:val="2"/>
                  <w:tcBorders>
                    <w:tl2br w:val="nil"/>
                    <w:tr2bl w:val="nil"/>
                  </w:tcBorders>
                  <w:vAlign w:val="center"/>
                </w:tcPr>
                <w:p w14:paraId="177449C6">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无组织废气监测</w:t>
                  </w:r>
                </w:p>
              </w:tc>
              <w:tc>
                <w:tcPr>
                  <w:tcW w:w="1121" w:type="dxa"/>
                  <w:tcBorders>
                    <w:tl2br w:val="nil"/>
                    <w:tr2bl w:val="nil"/>
                  </w:tcBorders>
                  <w:vAlign w:val="center"/>
                </w:tcPr>
                <w:p w14:paraId="78C92964">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厂界</w:t>
                  </w:r>
                </w:p>
              </w:tc>
              <w:tc>
                <w:tcPr>
                  <w:tcW w:w="1122" w:type="dxa"/>
                  <w:tcBorders>
                    <w:tl2br w:val="nil"/>
                    <w:tr2bl w:val="nil"/>
                  </w:tcBorders>
                  <w:vAlign w:val="center"/>
                </w:tcPr>
                <w:p w14:paraId="34744FC0">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w:t>
                  </w:r>
                </w:p>
              </w:tc>
              <w:tc>
                <w:tcPr>
                  <w:tcW w:w="1122" w:type="dxa"/>
                  <w:tcBorders>
                    <w:tl2br w:val="nil"/>
                    <w:tr2bl w:val="nil"/>
                  </w:tcBorders>
                  <w:vAlign w:val="center"/>
                </w:tcPr>
                <w:p w14:paraId="595742EA">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颗粒物</w:t>
                  </w:r>
                </w:p>
              </w:tc>
              <w:tc>
                <w:tcPr>
                  <w:tcW w:w="1122" w:type="dxa"/>
                  <w:tcBorders>
                    <w:tl2br w:val="nil"/>
                    <w:tr2bl w:val="nil"/>
                  </w:tcBorders>
                  <w:vAlign w:val="center"/>
                </w:tcPr>
                <w:p w14:paraId="639FD3CE">
                  <w:pPr>
                    <w:pStyle w:val="40"/>
                    <w:widowControl w:val="0"/>
                    <w:jc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次/</w:t>
                  </w:r>
                  <w:r>
                    <w:rPr>
                      <w:rFonts w:hint="eastAsia" w:ascii="Times New Roman" w:hAnsi="Times New Roman" w:eastAsia="新宋体" w:cs="Times New Roman"/>
                      <w:color w:val="auto"/>
                      <w:sz w:val="21"/>
                      <w:szCs w:val="21"/>
                      <w:lang w:val="en-US" w:eastAsia="zh-CN"/>
                    </w:rPr>
                    <w:t>1</w:t>
                  </w:r>
                  <w:r>
                    <w:rPr>
                      <w:rFonts w:hint="default" w:ascii="Times New Roman" w:hAnsi="Times New Roman" w:eastAsia="新宋体" w:cs="Times New Roman"/>
                      <w:color w:val="auto"/>
                      <w:sz w:val="21"/>
                      <w:szCs w:val="21"/>
                      <w:lang w:val="en-US" w:eastAsia="zh-CN"/>
                    </w:rPr>
                    <w:t>季度</w:t>
                  </w:r>
                </w:p>
              </w:tc>
              <w:tc>
                <w:tcPr>
                  <w:tcW w:w="1123" w:type="dxa"/>
                  <w:vMerge w:val="continue"/>
                  <w:tcBorders>
                    <w:tl2br w:val="nil"/>
                    <w:tr2bl w:val="nil"/>
                  </w:tcBorders>
                  <w:vAlign w:val="center"/>
                </w:tcPr>
                <w:p w14:paraId="5AE8A93A">
                  <w:pPr>
                    <w:pStyle w:val="40"/>
                    <w:widowControl w:val="0"/>
                    <w:jc w:val="center"/>
                    <w:rPr>
                      <w:rFonts w:hint="default" w:ascii="Times New Roman" w:hAnsi="Times New Roman" w:eastAsia="新宋体" w:cs="Times New Roman"/>
                      <w:color w:val="auto"/>
                      <w:sz w:val="21"/>
                      <w:szCs w:val="21"/>
                      <w:lang w:val="en-US" w:eastAsia="zh-CN"/>
                    </w:rPr>
                  </w:pPr>
                </w:p>
              </w:tc>
            </w:tr>
          </w:tbl>
          <w:p w14:paraId="1B85B4FE">
            <w:pPr>
              <w:keepNext w:val="0"/>
              <w:keepLines w:val="0"/>
              <w:suppressLineNumbers w:val="0"/>
              <w:spacing w:before="0" w:beforeAutospacing="0" w:after="0" w:afterAutospacing="0" w:line="360" w:lineRule="auto"/>
              <w:ind w:left="0" w:right="0"/>
              <w:rPr>
                <w:rFonts w:hint="default" w:ascii="Times New Roman" w:hAnsi="Times New Roman" w:eastAsia="新宋体" w:cs="Times New Roman"/>
                <w:b/>
                <w:bCs/>
                <w:color w:val="000000" w:themeColor="text1"/>
                <w:sz w:val="24"/>
                <w:szCs w:val="24"/>
                <w14:textFill>
                  <w14:solidFill>
                    <w14:schemeClr w14:val="tx1"/>
                  </w14:solidFill>
                </w14:textFill>
              </w:rPr>
            </w:pPr>
            <w:r>
              <w:rPr>
                <w:rFonts w:hint="default" w:ascii="Times New Roman" w:hAnsi="Times New Roman" w:eastAsia="新宋体" w:cs="Times New Roman"/>
                <w:b/>
                <w:bCs/>
                <w:color w:val="000000" w:themeColor="text1"/>
                <w:sz w:val="24"/>
                <w:szCs w:val="24"/>
                <w:lang w:val="en-US" w:eastAsia="zh-CN"/>
                <w14:textFill>
                  <w14:solidFill>
                    <w14:schemeClr w14:val="tx1"/>
                  </w14:solidFill>
                </w14:textFill>
              </w:rPr>
              <w:t>2、</w:t>
            </w:r>
            <w:r>
              <w:rPr>
                <w:rFonts w:hint="default" w:ascii="Times New Roman" w:hAnsi="Times New Roman" w:eastAsia="新宋体" w:cs="Times New Roman"/>
                <w:b/>
                <w:bCs/>
                <w:color w:val="000000" w:themeColor="text1"/>
                <w:sz w:val="24"/>
                <w:szCs w:val="24"/>
                <w14:textFill>
                  <w14:solidFill>
                    <w14:schemeClr w14:val="tx1"/>
                  </w14:solidFill>
                </w14:textFill>
              </w:rPr>
              <w:t>废水</w:t>
            </w:r>
          </w:p>
          <w:p w14:paraId="1865BC5C">
            <w:pPr>
              <w:keepNext w:val="0"/>
              <w:keepLines w:val="0"/>
              <w:suppressLineNumbers w:val="0"/>
              <w:spacing w:before="0" w:beforeAutospacing="0" w:after="0" w:afterAutospacing="0" w:line="360" w:lineRule="auto"/>
              <w:ind w:left="0" w:right="0" w:firstLine="480" w:firstLineChars="200"/>
              <w:rPr>
                <w:rFonts w:hint="default" w:eastAsia="新宋体" w:cs="Times New Roman"/>
                <w:color w:val="000000" w:themeColor="text1"/>
                <w:sz w:val="24"/>
                <w:szCs w:val="24"/>
                <w:highlight w:val="none"/>
                <w:lang w:val="en-US" w:eastAsia="zh-CN"/>
                <w14:textFill>
                  <w14:solidFill>
                    <w14:schemeClr w14:val="tx1"/>
                  </w14:solidFill>
                </w14:textFill>
              </w:rPr>
            </w:pPr>
            <w:r>
              <w:rPr>
                <w:rFonts w:hint="eastAsia" w:eastAsia="新宋体" w:cs="Times New Roman"/>
                <w:color w:val="000000" w:themeColor="text1"/>
                <w:sz w:val="24"/>
                <w:szCs w:val="24"/>
                <w:highlight w:val="none"/>
                <w:lang w:val="en-US" w:eastAsia="zh-CN"/>
                <w14:textFill>
                  <w14:solidFill>
                    <w14:schemeClr w14:val="tx1"/>
                  </w14:solidFill>
                </w14:textFill>
              </w:rPr>
              <w:t>（1）生活污水</w:t>
            </w:r>
          </w:p>
          <w:p w14:paraId="5DF8C4B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pPr>
            <w:r>
              <w:rPr>
                <w:rFonts w:hint="eastAsia" w:eastAsia="新宋体" w:cs="Times New Roman"/>
                <w:color w:val="000000" w:themeColor="text1"/>
                <w:sz w:val="24"/>
                <w:szCs w:val="24"/>
                <w:highlight w:val="none"/>
                <w:lang w:val="en-US" w:eastAsia="zh-CN"/>
                <w14:textFill>
                  <w14:solidFill>
                    <w14:schemeClr w14:val="tx1"/>
                  </w14:solidFill>
                </w14:textFill>
              </w:rPr>
              <w:t>根据前文计算，生活污水产生量</w:t>
            </w:r>
            <w:r>
              <w:rPr>
                <w:rFonts w:hint="eastAsia" w:eastAsia="新宋体" w:cs="Times New Roman"/>
                <w:color w:val="auto"/>
                <w:lang w:val="en-US" w:eastAsia="zh-CN"/>
              </w:rPr>
              <w:t>0.72</w:t>
            </w:r>
            <w:r>
              <w:rPr>
                <w:rFonts w:hint="default" w:ascii="Times New Roman" w:hAnsi="Times New Roman" w:eastAsia="新宋体" w:cs="Times New Roman"/>
                <w:color w:val="auto"/>
              </w:rPr>
              <w:t>m</w:t>
            </w:r>
            <w:r>
              <w:rPr>
                <w:rFonts w:hint="default" w:ascii="Times New Roman" w:hAnsi="Times New Roman" w:eastAsia="新宋体" w:cs="Times New Roman"/>
                <w:color w:val="auto"/>
                <w:vertAlign w:val="superscript"/>
              </w:rPr>
              <w:t>3</w:t>
            </w:r>
            <w:r>
              <w:rPr>
                <w:rFonts w:hint="default" w:ascii="Times New Roman" w:hAnsi="Times New Roman" w:eastAsia="新宋体" w:cs="Times New Roman"/>
                <w:color w:val="auto"/>
              </w:rPr>
              <w:t>/d（</w:t>
            </w:r>
            <w:r>
              <w:rPr>
                <w:rFonts w:hint="eastAsia" w:eastAsia="新宋体" w:cs="Times New Roman"/>
                <w:color w:val="auto"/>
                <w:lang w:val="en-US" w:eastAsia="zh-CN"/>
              </w:rPr>
              <w:t>151.2</w:t>
            </w:r>
            <w:r>
              <w:rPr>
                <w:rFonts w:hint="default" w:ascii="Times New Roman" w:hAnsi="Times New Roman" w:eastAsia="新宋体" w:cs="Times New Roman"/>
                <w:color w:val="auto"/>
              </w:rPr>
              <w:t>m</w:t>
            </w:r>
            <w:r>
              <w:rPr>
                <w:rFonts w:hint="default" w:ascii="Times New Roman" w:hAnsi="Times New Roman" w:eastAsia="新宋体" w:cs="Times New Roman"/>
                <w:color w:val="auto"/>
                <w:vertAlign w:val="superscript"/>
              </w:rPr>
              <w:t>3</w:t>
            </w:r>
            <w:r>
              <w:rPr>
                <w:rFonts w:hint="default" w:ascii="Times New Roman" w:hAnsi="Times New Roman" w:eastAsia="新宋体" w:cs="Times New Roman"/>
                <w:color w:val="auto"/>
              </w:rPr>
              <w:t>/a）</w:t>
            </w:r>
            <w:r>
              <w:rPr>
                <w:rFonts w:hint="eastAsia" w:ascii="Times New Roman" w:hAnsi="Times New Roman" w:eastAsia="新宋体" w:cs="Times New Roman"/>
                <w:color w:val="auto"/>
                <w:lang w:eastAsia="zh-CN"/>
              </w:rPr>
              <w:t>，</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收集后委托外单位定期</w:t>
            </w:r>
            <w:r>
              <w:rPr>
                <w:rFonts w:hint="eastAsia" w:eastAsia="新宋体" w:cs="Times New Roman"/>
                <w:color w:val="000000" w:themeColor="text1"/>
                <w:sz w:val="24"/>
                <w:szCs w:val="24"/>
                <w:highlight w:val="none"/>
                <w:lang w:val="en-US" w:eastAsia="zh-CN"/>
                <w14:textFill>
                  <w14:solidFill>
                    <w14:schemeClr w14:val="tx1"/>
                  </w14:solidFill>
                </w14:textFill>
              </w:rPr>
              <w:t>拉运处置</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，与周围水环境无</w:t>
            </w:r>
            <w:r>
              <w:rPr>
                <w:rFonts w:hint="eastAsia" w:eastAsia="新宋体" w:cs="Times New Roman"/>
                <w:color w:val="000000" w:themeColor="text1"/>
                <w:sz w:val="24"/>
                <w:szCs w:val="24"/>
                <w:highlight w:val="none"/>
                <w:lang w:val="en-US" w:eastAsia="zh-CN"/>
                <w14:textFill>
                  <w14:solidFill>
                    <w14:schemeClr w14:val="tx1"/>
                  </w14:solidFill>
                </w14:textFill>
              </w:rPr>
              <w:t>直接</w:t>
            </w:r>
            <w:r>
              <w:rPr>
                <w:rFonts w:hint="default" w:ascii="Times New Roman" w:hAnsi="Times New Roman" w:eastAsia="新宋体" w:cs="Times New Roman"/>
                <w:color w:val="000000" w:themeColor="text1"/>
                <w:sz w:val="24"/>
                <w:szCs w:val="24"/>
                <w:highlight w:val="none"/>
                <w:lang w:val="en-US" w:eastAsia="zh-CN"/>
                <w14:textFill>
                  <w14:solidFill>
                    <w14:schemeClr w14:val="tx1"/>
                  </w14:solidFill>
                </w14:textFill>
              </w:rPr>
              <w:t>水力联系。</w:t>
            </w:r>
          </w:p>
          <w:p w14:paraId="3131CBD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新宋体" w:cs="Times New Roman"/>
                <w:color w:val="000000" w:themeColor="text1"/>
                <w:lang w:val="en-US" w:eastAsia="zh-CN"/>
                <w14:textFill>
                  <w14:solidFill>
                    <w14:schemeClr w14:val="tx1"/>
                  </w14:solidFill>
                </w14:textFill>
              </w:rPr>
            </w:pPr>
            <w:r>
              <w:rPr>
                <w:rFonts w:hint="default" w:ascii="Times New Roman" w:hAnsi="Times New Roman" w:eastAsia="新宋体" w:cs="Times New Roman"/>
              </w:rPr>
              <w:t>废水水质为一般生活污水</w:t>
            </w:r>
            <w:r>
              <w:rPr>
                <w:rFonts w:hint="default" w:ascii="Times New Roman" w:hAnsi="Times New Roman" w:eastAsia="新宋体" w:cs="Times New Roman"/>
                <w:lang w:eastAsia="zh-CN"/>
              </w:rPr>
              <w:t>，根据《城市污水处理厂处理设施设计计算》（化学工业出版社2004年第一版）典型生活污水水质指标</w:t>
            </w:r>
            <w:r>
              <w:rPr>
                <w:rFonts w:hint="default" w:ascii="Times New Roman" w:hAnsi="Times New Roman" w:eastAsia="新宋体" w:cs="Times New Roman"/>
              </w:rPr>
              <w:t>生活污水水质如下：CODcr350mg/L、BOD</w:t>
            </w:r>
            <w:r>
              <w:rPr>
                <w:rFonts w:hint="default" w:ascii="Times New Roman" w:hAnsi="Times New Roman" w:eastAsia="新宋体" w:cs="Times New Roman"/>
                <w:vertAlign w:val="subscript"/>
              </w:rPr>
              <w:t>5</w:t>
            </w:r>
            <w:r>
              <w:rPr>
                <w:rFonts w:hint="default" w:ascii="Times New Roman" w:hAnsi="Times New Roman" w:eastAsia="新宋体" w:cs="Times New Roman"/>
              </w:rPr>
              <w:t>250mg/L、SS300mg/L、氨氮</w:t>
            </w:r>
            <w:r>
              <w:rPr>
                <w:rFonts w:hint="default" w:ascii="Times New Roman" w:hAnsi="Times New Roman" w:eastAsia="新宋体" w:cs="Times New Roman"/>
                <w:lang w:val="en-US" w:eastAsia="zh-CN"/>
              </w:rPr>
              <w:t>3</w:t>
            </w:r>
            <w:r>
              <w:rPr>
                <w:rFonts w:hint="default" w:ascii="Times New Roman" w:hAnsi="Times New Roman" w:eastAsia="新宋体" w:cs="Times New Roman"/>
              </w:rPr>
              <w:t>0mg/L</w:t>
            </w:r>
            <w:r>
              <w:rPr>
                <w:rFonts w:hint="default" w:ascii="Times New Roman" w:hAnsi="Times New Roman" w:eastAsia="新宋体" w:cs="Times New Roman"/>
                <w:lang w:eastAsia="zh-CN"/>
              </w:rPr>
              <w:t>，</w:t>
            </w:r>
            <w:r>
              <w:rPr>
                <w:rFonts w:hint="default" w:ascii="Times New Roman" w:hAnsi="Times New Roman" w:eastAsia="新宋体" w:cs="Times New Roman"/>
                <w:color w:val="000000" w:themeColor="text1"/>
                <w:lang w:val="en-US" w:eastAsia="zh-CN"/>
                <w14:textFill>
                  <w14:solidFill>
                    <w14:schemeClr w14:val="tx1"/>
                  </w14:solidFill>
                </w14:textFill>
              </w:rPr>
              <w:t>预测项目生活污水各污染物产生及排放源强情况见表4-</w:t>
            </w:r>
            <w:r>
              <w:rPr>
                <w:rFonts w:hint="eastAsia" w:eastAsia="新宋体" w:cs="Times New Roman"/>
                <w:color w:val="000000" w:themeColor="text1"/>
                <w:lang w:val="en-US" w:eastAsia="zh-CN"/>
                <w14:textFill>
                  <w14:solidFill>
                    <w14:schemeClr w14:val="tx1"/>
                  </w14:solidFill>
                </w14:textFill>
              </w:rPr>
              <w:t>10</w:t>
            </w:r>
            <w:r>
              <w:rPr>
                <w:rFonts w:hint="default" w:ascii="Times New Roman" w:hAnsi="Times New Roman" w:eastAsia="新宋体" w:cs="Times New Roman"/>
                <w:color w:val="000000" w:themeColor="text1"/>
                <w:lang w:val="en-US" w:eastAsia="zh-CN"/>
                <w14:textFill>
                  <w14:solidFill>
                    <w14:schemeClr w14:val="tx1"/>
                  </w14:solidFill>
                </w14:textFill>
              </w:rPr>
              <w:t>。</w:t>
            </w:r>
          </w:p>
          <w:p w14:paraId="2B8C544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新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b/>
                <w:bCs/>
                <w:color w:val="000000" w:themeColor="text1"/>
                <w:sz w:val="21"/>
                <w:szCs w:val="21"/>
                <w:lang w:val="en-US" w:eastAsia="zh-CN"/>
                <w14:textFill>
                  <w14:solidFill>
                    <w14:schemeClr w14:val="tx1"/>
                  </w14:solidFill>
                </w14:textFill>
              </w:rPr>
              <w:t>表4-</w:t>
            </w:r>
            <w:r>
              <w:rPr>
                <w:rFonts w:hint="eastAsia" w:eastAsia="新宋体" w:cs="Times New Roman"/>
                <w:b/>
                <w:bCs/>
                <w:color w:val="000000" w:themeColor="text1"/>
                <w:sz w:val="21"/>
                <w:szCs w:val="21"/>
                <w:lang w:val="en-US" w:eastAsia="zh-CN"/>
                <w14:textFill>
                  <w14:solidFill>
                    <w14:schemeClr w14:val="tx1"/>
                  </w14:solidFill>
                </w14:textFill>
              </w:rPr>
              <w:t>10</w:t>
            </w:r>
            <w:r>
              <w:rPr>
                <w:rFonts w:hint="default" w:ascii="Times New Roman" w:hAnsi="Times New Roman" w:eastAsia="新宋体" w:cs="Times New Roman"/>
                <w:b/>
                <w:bCs/>
                <w:color w:val="000000" w:themeColor="text1"/>
                <w:sz w:val="21"/>
                <w:szCs w:val="21"/>
                <w:lang w:val="en-US" w:eastAsia="zh-CN"/>
                <w14:textFill>
                  <w14:solidFill>
                    <w14:schemeClr w14:val="tx1"/>
                  </w14:solidFill>
                </w14:textFill>
              </w:rPr>
              <w:t>项目污水污染源源强核算结果及一览表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 w:type="dxa"/>
                <w:bottom w:w="0" w:type="dxa"/>
                <w:right w:w="10" w:type="dxa"/>
              </w:tblCellMar>
            </w:tblPr>
            <w:tblGrid>
              <w:gridCol w:w="332"/>
              <w:gridCol w:w="332"/>
              <w:gridCol w:w="859"/>
              <w:gridCol w:w="711"/>
              <w:gridCol w:w="823"/>
              <w:gridCol w:w="1191"/>
              <w:gridCol w:w="1073"/>
              <w:gridCol w:w="895"/>
              <w:gridCol w:w="695"/>
              <w:gridCol w:w="951"/>
            </w:tblGrid>
            <w:tr w14:paraId="6F4789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86" w:hRule="atLeast"/>
                <w:jc w:val="center"/>
              </w:trPr>
              <w:tc>
                <w:tcPr>
                  <w:tcW w:w="218" w:type="pct"/>
                  <w:vMerge w:val="restart"/>
                  <w:tcBorders>
                    <w:tl2br w:val="nil"/>
                    <w:tr2bl w:val="nil"/>
                  </w:tcBorders>
                  <w:vAlign w:val="center"/>
                </w:tcPr>
                <w:p w14:paraId="51DA1ED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产</w:t>
                  </w:r>
                </w:p>
                <w:p w14:paraId="25241B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排</w:t>
                  </w:r>
                </w:p>
                <w:p w14:paraId="75E9FA9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污</w:t>
                  </w:r>
                </w:p>
                <w:p w14:paraId="20FA79B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环</w:t>
                  </w:r>
                </w:p>
                <w:p w14:paraId="50DB51F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节</w:t>
                  </w:r>
                </w:p>
              </w:tc>
              <w:tc>
                <w:tcPr>
                  <w:tcW w:w="218" w:type="pct"/>
                  <w:vMerge w:val="restart"/>
                  <w:tcBorders>
                    <w:tl2br w:val="nil"/>
                    <w:tr2bl w:val="nil"/>
                  </w:tcBorders>
                  <w:vAlign w:val="center"/>
                </w:tcPr>
                <w:p w14:paraId="1B8BD6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类</w:t>
                  </w:r>
                </w:p>
                <w:p w14:paraId="0D90C32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别</w:t>
                  </w:r>
                </w:p>
              </w:tc>
              <w:tc>
                <w:tcPr>
                  <w:tcW w:w="553" w:type="pct"/>
                  <w:vMerge w:val="restart"/>
                  <w:tcBorders>
                    <w:tl2br w:val="nil"/>
                    <w:tr2bl w:val="nil"/>
                  </w:tcBorders>
                  <w:vAlign w:val="center"/>
                </w:tcPr>
                <w:p w14:paraId="0476827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污染物种类</w:t>
                  </w:r>
                </w:p>
              </w:tc>
              <w:tc>
                <w:tcPr>
                  <w:tcW w:w="2374" w:type="pct"/>
                  <w:gridSpan w:val="4"/>
                  <w:tcBorders>
                    <w:tl2br w:val="nil"/>
                    <w:tr2bl w:val="nil"/>
                  </w:tcBorders>
                  <w:vAlign w:val="center"/>
                </w:tcPr>
                <w:p w14:paraId="7DD7981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污染源产生</w:t>
                  </w:r>
                </w:p>
              </w:tc>
              <w:tc>
                <w:tcPr>
                  <w:tcW w:w="1635" w:type="pct"/>
                  <w:gridSpan w:val="3"/>
                  <w:tcBorders>
                    <w:tl2br w:val="nil"/>
                    <w:tr2bl w:val="nil"/>
                  </w:tcBorders>
                  <w:vAlign w:val="center"/>
                </w:tcPr>
                <w:p w14:paraId="4193020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污染物排放</w:t>
                  </w:r>
                </w:p>
              </w:tc>
            </w:tr>
            <w:tr w14:paraId="41A8D1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1178" w:hRule="atLeast"/>
                <w:jc w:val="center"/>
              </w:trPr>
              <w:tc>
                <w:tcPr>
                  <w:tcW w:w="218" w:type="pct"/>
                  <w:vMerge w:val="continue"/>
                  <w:tcBorders>
                    <w:tl2br w:val="nil"/>
                    <w:tr2bl w:val="nil"/>
                  </w:tcBorders>
                  <w:vAlign w:val="center"/>
                </w:tcPr>
                <w:p w14:paraId="14B6DA0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p>
              </w:tc>
              <w:tc>
                <w:tcPr>
                  <w:tcW w:w="218" w:type="pct"/>
                  <w:vMerge w:val="continue"/>
                  <w:tcBorders>
                    <w:tl2br w:val="nil"/>
                    <w:tr2bl w:val="nil"/>
                  </w:tcBorders>
                  <w:vAlign w:val="center"/>
                </w:tcPr>
                <w:p w14:paraId="345D001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p>
              </w:tc>
              <w:tc>
                <w:tcPr>
                  <w:tcW w:w="553" w:type="pct"/>
                  <w:vMerge w:val="continue"/>
                  <w:tcBorders>
                    <w:tl2br w:val="nil"/>
                    <w:tr2bl w:val="nil"/>
                  </w:tcBorders>
                  <w:vAlign w:val="center"/>
                </w:tcPr>
                <w:p w14:paraId="6413995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p>
              </w:tc>
              <w:tc>
                <w:tcPr>
                  <w:tcW w:w="459" w:type="pct"/>
                  <w:tcBorders>
                    <w:tl2br w:val="nil"/>
                    <w:tr2bl w:val="nil"/>
                  </w:tcBorders>
                  <w:vAlign w:val="center"/>
                </w:tcPr>
                <w:p w14:paraId="265A73D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核</w:t>
                  </w:r>
                </w:p>
                <w:p w14:paraId="4129239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算</w:t>
                  </w:r>
                </w:p>
                <w:p w14:paraId="1DA9891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方</w:t>
                  </w:r>
                </w:p>
                <w:p w14:paraId="42B9C44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法</w:t>
                  </w:r>
                </w:p>
              </w:tc>
              <w:tc>
                <w:tcPr>
                  <w:tcW w:w="462" w:type="pct"/>
                  <w:tcBorders>
                    <w:tl2br w:val="nil"/>
                    <w:tr2bl w:val="nil"/>
                  </w:tcBorders>
                  <w:vAlign w:val="center"/>
                </w:tcPr>
                <w:p w14:paraId="6E7B123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产生废水量</w:t>
                  </w:r>
                </w:p>
                <w:p w14:paraId="604DC84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m</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/a</w:t>
                  </w:r>
                  <w:r>
                    <w:rPr>
                      <w:rFonts w:hint="default" w:ascii="Times New Roman" w:hAnsi="Times New Roman" w:eastAsia="新宋体" w:cs="Times New Roman"/>
                      <w:color w:val="000000" w:themeColor="text1"/>
                      <w:sz w:val="21"/>
                      <w:szCs w:val="21"/>
                      <w:lang w:eastAsia="zh-CN"/>
                      <w14:textFill>
                        <w14:solidFill>
                          <w14:schemeClr w14:val="tx1"/>
                        </w14:solidFill>
                      </w14:textFill>
                    </w:rPr>
                    <w:t>）</w:t>
                  </w:r>
                </w:p>
              </w:tc>
              <w:tc>
                <w:tcPr>
                  <w:tcW w:w="764" w:type="pct"/>
                  <w:tcBorders>
                    <w:tl2br w:val="nil"/>
                    <w:tr2bl w:val="nil"/>
                  </w:tcBorders>
                  <w:vAlign w:val="center"/>
                </w:tcPr>
                <w:p w14:paraId="29909EB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产生浓度</w:t>
                  </w:r>
                </w:p>
                <w:p w14:paraId="0015FA9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mg/L</w:t>
                  </w:r>
                  <w:r>
                    <w:rPr>
                      <w:rFonts w:hint="default" w:ascii="Times New Roman" w:hAnsi="Times New Roman" w:eastAsia="新宋体" w:cs="Times New Roman"/>
                      <w:color w:val="000000" w:themeColor="text1"/>
                      <w:sz w:val="21"/>
                      <w:szCs w:val="21"/>
                      <w:lang w:eastAsia="zh-CN"/>
                      <w14:textFill>
                        <w14:solidFill>
                          <w14:schemeClr w14:val="tx1"/>
                        </w14:solidFill>
                      </w14:textFill>
                    </w:rPr>
                    <w:t>）</w:t>
                  </w:r>
                </w:p>
              </w:tc>
              <w:tc>
                <w:tcPr>
                  <w:tcW w:w="688" w:type="pct"/>
                  <w:tcBorders>
                    <w:tl2br w:val="nil"/>
                    <w:tr2bl w:val="nil"/>
                  </w:tcBorders>
                  <w:vAlign w:val="center"/>
                </w:tcPr>
                <w:p w14:paraId="3A6D100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产生量</w:t>
                  </w:r>
                </w:p>
                <w:p w14:paraId="6A75295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（t/</w:t>
                  </w:r>
                  <w:r>
                    <w:rPr>
                      <w:rFonts w:hint="default" w:ascii="Times New Roman" w:hAnsi="Times New Roman" w:eastAsia="新宋体" w:cs="Times New Roman"/>
                      <w:color w:val="000000" w:themeColor="text1"/>
                      <w:sz w:val="21"/>
                      <w:szCs w:val="21"/>
                      <w14:textFill>
                        <w14:solidFill>
                          <w14:schemeClr w14:val="tx1"/>
                        </w14:solidFill>
                      </w14:textFill>
                    </w:rPr>
                    <w:t>a</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p>
              </w:tc>
              <w:tc>
                <w:tcPr>
                  <w:tcW w:w="576" w:type="pct"/>
                  <w:tcBorders>
                    <w:tl2br w:val="nil"/>
                    <w:tr2bl w:val="nil"/>
                  </w:tcBorders>
                  <w:vAlign w:val="center"/>
                </w:tcPr>
                <w:p w14:paraId="5548E71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处理能</w:t>
                  </w:r>
                </w:p>
                <w:p w14:paraId="7882B10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力</w:t>
                  </w:r>
                </w:p>
              </w:tc>
              <w:tc>
                <w:tcPr>
                  <w:tcW w:w="448" w:type="pct"/>
                  <w:tcBorders>
                    <w:tl2br w:val="nil"/>
                    <w:tr2bl w:val="nil"/>
                  </w:tcBorders>
                  <w:vAlign w:val="center"/>
                </w:tcPr>
                <w:p w14:paraId="5CAD54F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是否为可行技</w:t>
                  </w:r>
                </w:p>
                <w:p w14:paraId="3C94B50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术</w:t>
                  </w:r>
                </w:p>
              </w:tc>
              <w:tc>
                <w:tcPr>
                  <w:tcW w:w="611" w:type="pct"/>
                  <w:tcBorders>
                    <w:tl2br w:val="nil"/>
                    <w:tr2bl w:val="nil"/>
                  </w:tcBorders>
                  <w:vAlign w:val="center"/>
                </w:tcPr>
                <w:p w14:paraId="7B8F57F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去向</w:t>
                  </w:r>
                </w:p>
              </w:tc>
            </w:tr>
            <w:tr w14:paraId="2D7C88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218" w:type="pct"/>
                  <w:vMerge w:val="restart"/>
                  <w:tcBorders>
                    <w:tl2br w:val="nil"/>
                    <w:tr2bl w:val="nil"/>
                  </w:tcBorders>
                  <w:vAlign w:val="center"/>
                </w:tcPr>
                <w:p w14:paraId="2406E8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营运生活</w:t>
                  </w:r>
                </w:p>
                <w:p w14:paraId="5DB4CB01">
                  <w:pPr>
                    <w:pStyle w:val="4"/>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c>
                <w:tcPr>
                  <w:tcW w:w="218" w:type="pct"/>
                  <w:vMerge w:val="restart"/>
                  <w:tcBorders>
                    <w:tl2br w:val="nil"/>
                    <w:tr2bl w:val="nil"/>
                  </w:tcBorders>
                  <w:vAlign w:val="center"/>
                </w:tcPr>
                <w:p w14:paraId="227DF9D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生</w:t>
                  </w:r>
                </w:p>
                <w:p w14:paraId="02D8A53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活</w:t>
                  </w:r>
                </w:p>
                <w:p w14:paraId="0D3E32D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污</w:t>
                  </w:r>
                </w:p>
                <w:p w14:paraId="658EDE9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水</w:t>
                  </w:r>
                </w:p>
              </w:tc>
              <w:tc>
                <w:tcPr>
                  <w:tcW w:w="553" w:type="pct"/>
                  <w:tcBorders>
                    <w:tl2br w:val="nil"/>
                    <w:tr2bl w:val="nil"/>
                  </w:tcBorders>
                  <w:vAlign w:val="center"/>
                </w:tcPr>
                <w:p w14:paraId="4ADA66A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pH</w:t>
                  </w:r>
                </w:p>
              </w:tc>
              <w:tc>
                <w:tcPr>
                  <w:tcW w:w="459" w:type="pct"/>
                  <w:vMerge w:val="restart"/>
                  <w:tcBorders>
                    <w:tl2br w:val="nil"/>
                    <w:tr2bl w:val="nil"/>
                  </w:tcBorders>
                  <w:vAlign w:val="center"/>
                </w:tcPr>
                <w:p w14:paraId="1BA9B0A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产</w:t>
                  </w:r>
                </w:p>
                <w:p w14:paraId="1DC3C01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污</w:t>
                  </w:r>
                </w:p>
                <w:p w14:paraId="6C92671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系</w:t>
                  </w:r>
                </w:p>
                <w:p w14:paraId="5B277C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数</w:t>
                  </w:r>
                </w:p>
                <w:p w14:paraId="6DA51D7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法</w:t>
                  </w:r>
                </w:p>
              </w:tc>
              <w:tc>
                <w:tcPr>
                  <w:tcW w:w="462" w:type="pct"/>
                  <w:vMerge w:val="restart"/>
                  <w:tcBorders>
                    <w:tl2br w:val="nil"/>
                    <w:tr2bl w:val="nil"/>
                  </w:tcBorders>
                  <w:vAlign w:val="center"/>
                </w:tcPr>
                <w:p w14:paraId="5E62C3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151.2</w:t>
                  </w:r>
                </w:p>
              </w:tc>
              <w:tc>
                <w:tcPr>
                  <w:tcW w:w="764" w:type="pct"/>
                  <w:tcBorders>
                    <w:tl2br w:val="nil"/>
                    <w:tr2bl w:val="nil"/>
                  </w:tcBorders>
                  <w:vAlign w:val="center"/>
                </w:tcPr>
                <w:p w14:paraId="1950184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6-9</w:t>
                  </w:r>
                </w:p>
              </w:tc>
              <w:tc>
                <w:tcPr>
                  <w:tcW w:w="688" w:type="pct"/>
                  <w:tcBorders>
                    <w:tl2br w:val="nil"/>
                    <w:tr2bl w:val="nil"/>
                  </w:tcBorders>
                  <w:vAlign w:val="center"/>
                </w:tcPr>
                <w:p w14:paraId="34DD1A1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w:t>
                  </w:r>
                </w:p>
              </w:tc>
              <w:tc>
                <w:tcPr>
                  <w:tcW w:w="576" w:type="pct"/>
                  <w:vMerge w:val="restart"/>
                  <w:tcBorders>
                    <w:tl2br w:val="nil"/>
                    <w:tr2bl w:val="nil"/>
                  </w:tcBorders>
                  <w:vAlign w:val="center"/>
                </w:tcPr>
                <w:p w14:paraId="3E78958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防渗</w:t>
                  </w:r>
                  <w:r>
                    <w:rPr>
                      <w:rFonts w:hint="default" w:ascii="Times New Roman" w:hAnsi="Times New Roman" w:eastAsia="新宋体" w:cs="Times New Roman"/>
                      <w:color w:val="000000" w:themeColor="text1"/>
                      <w:sz w:val="21"/>
                      <w:szCs w:val="21"/>
                      <w14:textFill>
                        <w14:solidFill>
                          <w14:schemeClr w14:val="tx1"/>
                        </w14:solidFill>
                      </w14:textFill>
                    </w:rPr>
                    <w:t>化粪</w:t>
                  </w:r>
                </w:p>
                <w:p w14:paraId="7B1D5FF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池</w:t>
                  </w:r>
                  <w:r>
                    <w:rPr>
                      <w:rFonts w:hint="default"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容</w:t>
                  </w:r>
                </w:p>
                <w:p w14:paraId="2C0153C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积</w:t>
                  </w:r>
                  <w:r>
                    <w:rPr>
                      <w:rFonts w:hint="eastAsia" w:eastAsia="新宋体" w:cs="Times New Roman"/>
                      <w:color w:val="000000" w:themeColor="text1"/>
                      <w:sz w:val="21"/>
                      <w:szCs w:val="21"/>
                      <w:lang w:val="en-US" w:eastAsia="zh-CN"/>
                      <w14:textFill>
                        <w14:solidFill>
                          <w14:schemeClr w14:val="tx1"/>
                        </w14:solidFill>
                      </w14:textFill>
                    </w:rPr>
                    <w:t>8</w:t>
                  </w:r>
                  <w:r>
                    <w:rPr>
                      <w:rFonts w:hint="default" w:ascii="Times New Roman" w:hAnsi="Times New Roman" w:eastAsia="新宋体" w:cs="Times New Roman"/>
                      <w:color w:val="000000" w:themeColor="text1"/>
                      <w:sz w:val="21"/>
                      <w:szCs w:val="21"/>
                      <w14:textFill>
                        <w14:solidFill>
                          <w14:schemeClr w14:val="tx1"/>
                        </w14:solidFill>
                      </w14:textFill>
                    </w:rPr>
                    <w:t>m</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3</w:t>
                  </w:r>
                </w:p>
              </w:tc>
              <w:tc>
                <w:tcPr>
                  <w:tcW w:w="448" w:type="pct"/>
                  <w:vMerge w:val="restart"/>
                  <w:tcBorders>
                    <w:tl2br w:val="nil"/>
                    <w:tr2bl w:val="nil"/>
                  </w:tcBorders>
                  <w:vAlign w:val="center"/>
                </w:tcPr>
                <w:p w14:paraId="28FBF5F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是</w:t>
                  </w:r>
                </w:p>
              </w:tc>
              <w:tc>
                <w:tcPr>
                  <w:tcW w:w="611" w:type="pct"/>
                  <w:vMerge w:val="restart"/>
                  <w:tcBorders>
                    <w:tl2br w:val="nil"/>
                    <w:tr2bl w:val="nil"/>
                  </w:tcBorders>
                  <w:vAlign w:val="center"/>
                </w:tcPr>
                <w:p w14:paraId="2C24D8F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委托有资质单位拉运处置（</w:t>
                  </w:r>
                  <w:r>
                    <w:rPr>
                      <w:rFonts w:hint="eastAsia" w:eastAsia="新宋体" w:cs="Times New Roman"/>
                      <w:color w:val="000000" w:themeColor="text1"/>
                      <w:sz w:val="21"/>
                      <w:szCs w:val="21"/>
                      <w:lang w:val="en-US" w:eastAsia="zh-CN"/>
                      <w14:textFill>
                        <w14:solidFill>
                          <w14:schemeClr w14:val="tx1"/>
                        </w14:solidFill>
                      </w14:textFill>
                    </w:rPr>
                    <w:t>和硕县</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污水处理厂）</w:t>
                  </w:r>
                </w:p>
              </w:tc>
            </w:tr>
            <w:tr w14:paraId="3139F6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218" w:type="pct"/>
                  <w:vMerge w:val="continue"/>
                  <w:tcBorders>
                    <w:tl2br w:val="nil"/>
                    <w:tr2bl w:val="nil"/>
                  </w:tcBorders>
                  <w:vAlign w:val="center"/>
                </w:tcPr>
                <w:p w14:paraId="076CA37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p>
              </w:tc>
              <w:tc>
                <w:tcPr>
                  <w:tcW w:w="218" w:type="pct"/>
                  <w:vMerge w:val="continue"/>
                  <w:tcBorders>
                    <w:tl2br w:val="nil"/>
                    <w:tr2bl w:val="nil"/>
                  </w:tcBorders>
                  <w:vAlign w:val="center"/>
                </w:tcPr>
                <w:p w14:paraId="18DBCA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p>
              </w:tc>
              <w:tc>
                <w:tcPr>
                  <w:tcW w:w="553" w:type="pct"/>
                  <w:tcBorders>
                    <w:tl2br w:val="nil"/>
                    <w:tr2bl w:val="nil"/>
                  </w:tcBorders>
                  <w:vAlign w:val="center"/>
                </w:tcPr>
                <w:p w14:paraId="3A200EB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CODcr</w:t>
                  </w:r>
                </w:p>
              </w:tc>
              <w:tc>
                <w:tcPr>
                  <w:tcW w:w="459" w:type="pct"/>
                  <w:vMerge w:val="continue"/>
                  <w:tcBorders>
                    <w:tl2br w:val="nil"/>
                    <w:tr2bl w:val="nil"/>
                  </w:tcBorders>
                  <w:vAlign w:val="center"/>
                </w:tcPr>
                <w:p w14:paraId="7635974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p>
              </w:tc>
              <w:tc>
                <w:tcPr>
                  <w:tcW w:w="462" w:type="pct"/>
                  <w:vMerge w:val="continue"/>
                  <w:tcBorders>
                    <w:tl2br w:val="nil"/>
                    <w:tr2bl w:val="nil"/>
                  </w:tcBorders>
                  <w:vAlign w:val="center"/>
                </w:tcPr>
                <w:p w14:paraId="4FA2EFF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p>
              </w:tc>
              <w:tc>
                <w:tcPr>
                  <w:tcW w:w="764" w:type="pct"/>
                  <w:tcBorders>
                    <w:tl2br w:val="nil"/>
                    <w:tr2bl w:val="nil"/>
                  </w:tcBorders>
                  <w:vAlign w:val="center"/>
                </w:tcPr>
                <w:p w14:paraId="51BC26B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350</w:t>
                  </w:r>
                </w:p>
              </w:tc>
              <w:tc>
                <w:tcPr>
                  <w:tcW w:w="688" w:type="pct"/>
                  <w:tcBorders>
                    <w:tl2br w:val="nil"/>
                    <w:tr2bl w:val="nil"/>
                  </w:tcBorders>
                  <w:vAlign w:val="center"/>
                </w:tcPr>
                <w:p w14:paraId="6D35394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0.053</w:t>
                  </w:r>
                </w:p>
              </w:tc>
              <w:tc>
                <w:tcPr>
                  <w:tcW w:w="576" w:type="pct"/>
                  <w:vMerge w:val="continue"/>
                  <w:tcBorders>
                    <w:tl2br w:val="nil"/>
                    <w:tr2bl w:val="nil"/>
                  </w:tcBorders>
                  <w:vAlign w:val="center"/>
                </w:tcPr>
                <w:p w14:paraId="37C3663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p>
              </w:tc>
              <w:tc>
                <w:tcPr>
                  <w:tcW w:w="448" w:type="pct"/>
                  <w:vMerge w:val="continue"/>
                  <w:tcBorders>
                    <w:tl2br w:val="nil"/>
                    <w:tr2bl w:val="nil"/>
                  </w:tcBorders>
                  <w:vAlign w:val="center"/>
                </w:tcPr>
                <w:p w14:paraId="53E3175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p>
              </w:tc>
              <w:tc>
                <w:tcPr>
                  <w:tcW w:w="611" w:type="pct"/>
                  <w:vMerge w:val="continue"/>
                  <w:tcBorders>
                    <w:tl2br w:val="nil"/>
                    <w:tr2bl w:val="nil"/>
                  </w:tcBorders>
                  <w:vAlign w:val="center"/>
                </w:tcPr>
                <w:p w14:paraId="1513EB7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r>
            <w:tr w14:paraId="0732FD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218" w:type="pct"/>
                  <w:vMerge w:val="continue"/>
                  <w:tcBorders>
                    <w:tl2br w:val="nil"/>
                    <w:tr2bl w:val="nil"/>
                  </w:tcBorders>
                  <w:vAlign w:val="center"/>
                </w:tcPr>
                <w:p w14:paraId="2941FF2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p>
              </w:tc>
              <w:tc>
                <w:tcPr>
                  <w:tcW w:w="218" w:type="pct"/>
                  <w:vMerge w:val="continue"/>
                  <w:tcBorders>
                    <w:tl2br w:val="nil"/>
                    <w:tr2bl w:val="nil"/>
                  </w:tcBorders>
                  <w:vAlign w:val="center"/>
                </w:tcPr>
                <w:p w14:paraId="00BEE13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p>
              </w:tc>
              <w:tc>
                <w:tcPr>
                  <w:tcW w:w="553" w:type="pct"/>
                  <w:tcBorders>
                    <w:tl2br w:val="nil"/>
                    <w:tr2bl w:val="nil"/>
                  </w:tcBorders>
                  <w:vAlign w:val="center"/>
                </w:tcPr>
                <w:p w14:paraId="49FF1E4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BOD</w:t>
                  </w:r>
                  <w:r>
                    <w:rPr>
                      <w:rFonts w:hint="default" w:ascii="Times New Roman" w:hAnsi="Times New Roman" w:eastAsia="新宋体" w:cs="Times New Roman"/>
                      <w:color w:val="000000" w:themeColor="text1"/>
                      <w:sz w:val="21"/>
                      <w:szCs w:val="21"/>
                      <w:vertAlign w:val="subscript"/>
                      <w:lang w:val="en-US" w:eastAsia="zh-CN"/>
                      <w14:textFill>
                        <w14:solidFill>
                          <w14:schemeClr w14:val="tx1"/>
                        </w14:solidFill>
                      </w14:textFill>
                    </w:rPr>
                    <w:t>5</w:t>
                  </w:r>
                </w:p>
              </w:tc>
              <w:tc>
                <w:tcPr>
                  <w:tcW w:w="459" w:type="pct"/>
                  <w:vMerge w:val="continue"/>
                  <w:tcBorders>
                    <w:tl2br w:val="nil"/>
                    <w:tr2bl w:val="nil"/>
                  </w:tcBorders>
                  <w:vAlign w:val="center"/>
                </w:tcPr>
                <w:p w14:paraId="6448112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p>
              </w:tc>
              <w:tc>
                <w:tcPr>
                  <w:tcW w:w="462" w:type="pct"/>
                  <w:vMerge w:val="continue"/>
                  <w:tcBorders>
                    <w:tl2br w:val="nil"/>
                    <w:tr2bl w:val="nil"/>
                  </w:tcBorders>
                  <w:vAlign w:val="center"/>
                </w:tcPr>
                <w:p w14:paraId="30F5E32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p>
              </w:tc>
              <w:tc>
                <w:tcPr>
                  <w:tcW w:w="764" w:type="pct"/>
                  <w:tcBorders>
                    <w:tl2br w:val="nil"/>
                    <w:tr2bl w:val="nil"/>
                  </w:tcBorders>
                  <w:vAlign w:val="center"/>
                </w:tcPr>
                <w:p w14:paraId="06EC3E3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250</w:t>
                  </w:r>
                </w:p>
              </w:tc>
              <w:tc>
                <w:tcPr>
                  <w:tcW w:w="688" w:type="pct"/>
                  <w:tcBorders>
                    <w:tl2br w:val="nil"/>
                    <w:tr2bl w:val="nil"/>
                  </w:tcBorders>
                  <w:vAlign w:val="center"/>
                </w:tcPr>
                <w:p w14:paraId="0973AC8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0.038</w:t>
                  </w:r>
                </w:p>
              </w:tc>
              <w:tc>
                <w:tcPr>
                  <w:tcW w:w="576" w:type="pct"/>
                  <w:vMerge w:val="continue"/>
                  <w:tcBorders>
                    <w:tl2br w:val="nil"/>
                    <w:tr2bl w:val="nil"/>
                  </w:tcBorders>
                  <w:vAlign w:val="center"/>
                </w:tcPr>
                <w:p w14:paraId="4E1575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p>
              </w:tc>
              <w:tc>
                <w:tcPr>
                  <w:tcW w:w="448" w:type="pct"/>
                  <w:vMerge w:val="continue"/>
                  <w:tcBorders>
                    <w:tl2br w:val="nil"/>
                    <w:tr2bl w:val="nil"/>
                  </w:tcBorders>
                  <w:vAlign w:val="center"/>
                </w:tcPr>
                <w:p w14:paraId="60A766E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p>
              </w:tc>
              <w:tc>
                <w:tcPr>
                  <w:tcW w:w="611" w:type="pct"/>
                  <w:vMerge w:val="continue"/>
                  <w:tcBorders>
                    <w:tl2br w:val="nil"/>
                    <w:tr2bl w:val="nil"/>
                  </w:tcBorders>
                  <w:vAlign w:val="center"/>
                </w:tcPr>
                <w:p w14:paraId="421E132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r>
            <w:tr w14:paraId="3AA7AC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218" w:type="pct"/>
                  <w:vMerge w:val="continue"/>
                  <w:tcBorders>
                    <w:tl2br w:val="nil"/>
                    <w:tr2bl w:val="nil"/>
                  </w:tcBorders>
                  <w:vAlign w:val="center"/>
                </w:tcPr>
                <w:p w14:paraId="3C119A6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p>
              </w:tc>
              <w:tc>
                <w:tcPr>
                  <w:tcW w:w="218" w:type="pct"/>
                  <w:vMerge w:val="continue"/>
                  <w:tcBorders>
                    <w:tl2br w:val="nil"/>
                    <w:tr2bl w:val="nil"/>
                  </w:tcBorders>
                  <w:vAlign w:val="center"/>
                </w:tcPr>
                <w:p w14:paraId="1FB41EC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p>
              </w:tc>
              <w:tc>
                <w:tcPr>
                  <w:tcW w:w="553" w:type="pct"/>
                  <w:tcBorders>
                    <w:tl2br w:val="nil"/>
                    <w:tr2bl w:val="nil"/>
                  </w:tcBorders>
                  <w:vAlign w:val="center"/>
                </w:tcPr>
                <w:p w14:paraId="1A14CCD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SS</w:t>
                  </w:r>
                </w:p>
              </w:tc>
              <w:tc>
                <w:tcPr>
                  <w:tcW w:w="459" w:type="pct"/>
                  <w:vMerge w:val="continue"/>
                  <w:tcBorders>
                    <w:tl2br w:val="nil"/>
                    <w:tr2bl w:val="nil"/>
                  </w:tcBorders>
                  <w:vAlign w:val="center"/>
                </w:tcPr>
                <w:p w14:paraId="376E119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p>
              </w:tc>
              <w:tc>
                <w:tcPr>
                  <w:tcW w:w="462" w:type="pct"/>
                  <w:vMerge w:val="continue"/>
                  <w:tcBorders>
                    <w:tl2br w:val="nil"/>
                    <w:tr2bl w:val="nil"/>
                  </w:tcBorders>
                  <w:vAlign w:val="center"/>
                </w:tcPr>
                <w:p w14:paraId="02C77E2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p>
              </w:tc>
              <w:tc>
                <w:tcPr>
                  <w:tcW w:w="764" w:type="pct"/>
                  <w:tcBorders>
                    <w:tl2br w:val="nil"/>
                    <w:tr2bl w:val="nil"/>
                  </w:tcBorders>
                  <w:vAlign w:val="center"/>
                </w:tcPr>
                <w:p w14:paraId="29EEA1E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300</w:t>
                  </w:r>
                </w:p>
              </w:tc>
              <w:tc>
                <w:tcPr>
                  <w:tcW w:w="688" w:type="pct"/>
                  <w:tcBorders>
                    <w:tl2br w:val="nil"/>
                    <w:tr2bl w:val="nil"/>
                  </w:tcBorders>
                  <w:vAlign w:val="center"/>
                </w:tcPr>
                <w:p w14:paraId="741B4F4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0.045</w:t>
                  </w:r>
                </w:p>
              </w:tc>
              <w:tc>
                <w:tcPr>
                  <w:tcW w:w="576" w:type="pct"/>
                  <w:vMerge w:val="continue"/>
                  <w:tcBorders>
                    <w:tl2br w:val="nil"/>
                    <w:tr2bl w:val="nil"/>
                  </w:tcBorders>
                  <w:vAlign w:val="center"/>
                </w:tcPr>
                <w:p w14:paraId="03F4ADC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p>
              </w:tc>
              <w:tc>
                <w:tcPr>
                  <w:tcW w:w="448" w:type="pct"/>
                  <w:vMerge w:val="continue"/>
                  <w:tcBorders>
                    <w:tl2br w:val="nil"/>
                    <w:tr2bl w:val="nil"/>
                  </w:tcBorders>
                  <w:vAlign w:val="center"/>
                </w:tcPr>
                <w:p w14:paraId="06ACC99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p>
              </w:tc>
              <w:tc>
                <w:tcPr>
                  <w:tcW w:w="611" w:type="pct"/>
                  <w:vMerge w:val="continue"/>
                  <w:tcBorders>
                    <w:tl2br w:val="nil"/>
                    <w:tr2bl w:val="nil"/>
                  </w:tcBorders>
                  <w:vAlign w:val="center"/>
                </w:tcPr>
                <w:p w14:paraId="7DEE917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r>
            <w:tr w14:paraId="3E02B8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218" w:type="pct"/>
                  <w:vMerge w:val="continue"/>
                  <w:tcBorders>
                    <w:tl2br w:val="nil"/>
                    <w:tr2bl w:val="nil"/>
                  </w:tcBorders>
                  <w:vAlign w:val="center"/>
                </w:tcPr>
                <w:p w14:paraId="4EEB021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p>
              </w:tc>
              <w:tc>
                <w:tcPr>
                  <w:tcW w:w="218" w:type="pct"/>
                  <w:vMerge w:val="continue"/>
                  <w:tcBorders>
                    <w:tl2br w:val="nil"/>
                    <w:tr2bl w:val="nil"/>
                  </w:tcBorders>
                  <w:vAlign w:val="center"/>
                </w:tcPr>
                <w:p w14:paraId="5FE0555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p>
              </w:tc>
              <w:tc>
                <w:tcPr>
                  <w:tcW w:w="553" w:type="pct"/>
                  <w:tcBorders>
                    <w:tl2br w:val="nil"/>
                    <w:tr2bl w:val="nil"/>
                  </w:tcBorders>
                  <w:vAlign w:val="center"/>
                </w:tcPr>
                <w:p w14:paraId="64F52A6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NH3-N</w:t>
                  </w:r>
                </w:p>
              </w:tc>
              <w:tc>
                <w:tcPr>
                  <w:tcW w:w="459" w:type="pct"/>
                  <w:vMerge w:val="continue"/>
                  <w:tcBorders>
                    <w:tl2br w:val="nil"/>
                    <w:tr2bl w:val="nil"/>
                  </w:tcBorders>
                  <w:vAlign w:val="center"/>
                </w:tcPr>
                <w:p w14:paraId="2A19DAD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p>
              </w:tc>
              <w:tc>
                <w:tcPr>
                  <w:tcW w:w="462" w:type="pct"/>
                  <w:vMerge w:val="continue"/>
                  <w:tcBorders>
                    <w:tl2br w:val="nil"/>
                    <w:tr2bl w:val="nil"/>
                  </w:tcBorders>
                  <w:vAlign w:val="center"/>
                </w:tcPr>
                <w:p w14:paraId="2787909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p>
              </w:tc>
              <w:tc>
                <w:tcPr>
                  <w:tcW w:w="764" w:type="pct"/>
                  <w:tcBorders>
                    <w:tl2br w:val="nil"/>
                    <w:tr2bl w:val="nil"/>
                  </w:tcBorders>
                  <w:vAlign w:val="center"/>
                </w:tcPr>
                <w:p w14:paraId="0F64900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30</w:t>
                  </w:r>
                </w:p>
              </w:tc>
              <w:tc>
                <w:tcPr>
                  <w:tcW w:w="688" w:type="pct"/>
                  <w:tcBorders>
                    <w:tl2br w:val="nil"/>
                    <w:tr2bl w:val="nil"/>
                  </w:tcBorders>
                  <w:vAlign w:val="center"/>
                </w:tcPr>
                <w:p w14:paraId="7985DED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0.005</w:t>
                  </w:r>
                </w:p>
              </w:tc>
              <w:tc>
                <w:tcPr>
                  <w:tcW w:w="576" w:type="pct"/>
                  <w:vMerge w:val="continue"/>
                  <w:tcBorders>
                    <w:tl2br w:val="nil"/>
                    <w:tr2bl w:val="nil"/>
                  </w:tcBorders>
                  <w:vAlign w:val="center"/>
                </w:tcPr>
                <w:p w14:paraId="725E900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p>
              </w:tc>
              <w:tc>
                <w:tcPr>
                  <w:tcW w:w="448" w:type="pct"/>
                  <w:vMerge w:val="continue"/>
                  <w:tcBorders>
                    <w:tl2br w:val="nil"/>
                    <w:tr2bl w:val="nil"/>
                  </w:tcBorders>
                  <w:vAlign w:val="center"/>
                </w:tcPr>
                <w:p w14:paraId="177EF40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p>
              </w:tc>
              <w:tc>
                <w:tcPr>
                  <w:tcW w:w="611" w:type="pct"/>
                  <w:vMerge w:val="continue"/>
                  <w:tcBorders>
                    <w:tl2br w:val="nil"/>
                    <w:tr2bl w:val="nil"/>
                  </w:tcBorders>
                  <w:vAlign w:val="center"/>
                </w:tcPr>
                <w:p w14:paraId="5AF0597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r>
          </w:tbl>
          <w:p w14:paraId="6B83A02D">
            <w:pPr>
              <w:keepNext w:val="0"/>
              <w:keepLines w:val="0"/>
              <w:suppressLineNumbers w:val="0"/>
              <w:spacing w:before="0" w:beforeAutospacing="0" w:after="0" w:afterAutospacing="0" w:line="360" w:lineRule="auto"/>
              <w:ind w:left="0" w:right="0"/>
              <w:rPr>
                <w:rFonts w:hint="eastAsia" w:eastAsia="新宋体" w:cs="Times New Roman"/>
                <w:b w:val="0"/>
                <w:bCs w:val="0"/>
                <w:color w:val="000000" w:themeColor="text1"/>
                <w:sz w:val="24"/>
                <w:szCs w:val="24"/>
                <w:lang w:val="en-US" w:eastAsia="zh-CN"/>
                <w14:textFill>
                  <w14:solidFill>
                    <w14:schemeClr w14:val="tx1"/>
                  </w14:solidFill>
                </w14:textFill>
              </w:rPr>
            </w:pPr>
            <w:r>
              <w:rPr>
                <w:rFonts w:hint="eastAsia" w:eastAsia="新宋体" w:cs="Times New Roman"/>
                <w:b w:val="0"/>
                <w:bCs w:val="0"/>
                <w:color w:val="000000" w:themeColor="text1"/>
                <w:sz w:val="24"/>
                <w:szCs w:val="24"/>
                <w:lang w:val="en-US" w:eastAsia="zh-CN"/>
                <w14:textFill>
                  <w14:solidFill>
                    <w14:schemeClr w14:val="tx1"/>
                  </w14:solidFill>
                </w14:textFill>
              </w:rPr>
              <w:t>和硕县污水处理厂位于和硕县城西南角，地理位置坐标为：东经86°50′16.30″，北纬 41°15′34.92″，主要接纳和硕县县城，和硕县经济开发区清水河综合工业园、塔哈其镇、苏哈特乡生活污水。污水处理厂设计最大处理规模为2.5 万m</w:t>
            </w:r>
            <w:r>
              <w:rPr>
                <w:rFonts w:hint="eastAsia" w:eastAsia="新宋体" w:cs="Times New Roman"/>
                <w:b w:val="0"/>
                <w:bCs w:val="0"/>
                <w:color w:val="000000" w:themeColor="text1"/>
                <w:sz w:val="24"/>
                <w:szCs w:val="24"/>
                <w:vertAlign w:val="superscript"/>
                <w:lang w:val="en-US" w:eastAsia="zh-CN"/>
                <w14:textFill>
                  <w14:solidFill>
                    <w14:schemeClr w14:val="tx1"/>
                  </w14:solidFill>
                </w14:textFill>
              </w:rPr>
              <w:t>3</w:t>
            </w:r>
            <w:r>
              <w:rPr>
                <w:rFonts w:hint="eastAsia" w:eastAsia="新宋体" w:cs="Times New Roman"/>
                <w:b w:val="0"/>
                <w:bCs w:val="0"/>
                <w:color w:val="000000" w:themeColor="text1"/>
                <w:sz w:val="24"/>
                <w:szCs w:val="24"/>
                <w:lang w:val="en-US" w:eastAsia="zh-CN"/>
                <w14:textFill>
                  <w14:solidFill>
                    <w14:schemeClr w14:val="tx1"/>
                  </w14:solidFill>
                </w14:textFill>
              </w:rPr>
              <w:t>/d，采用 A</w:t>
            </w:r>
            <w:r>
              <w:rPr>
                <w:rFonts w:hint="eastAsia" w:eastAsia="新宋体" w:cs="Times New Roman"/>
                <w:b w:val="0"/>
                <w:bCs w:val="0"/>
                <w:color w:val="000000" w:themeColor="text1"/>
                <w:sz w:val="24"/>
                <w:szCs w:val="24"/>
                <w:vertAlign w:val="superscript"/>
                <w:lang w:val="en-US" w:eastAsia="zh-CN"/>
                <w14:textFill>
                  <w14:solidFill>
                    <w14:schemeClr w14:val="tx1"/>
                  </w14:solidFill>
                </w14:textFill>
              </w:rPr>
              <w:t>2</w:t>
            </w:r>
            <w:r>
              <w:rPr>
                <w:rFonts w:hint="eastAsia" w:eastAsia="新宋体" w:cs="Times New Roman"/>
                <w:b w:val="0"/>
                <w:bCs w:val="0"/>
                <w:color w:val="000000" w:themeColor="text1"/>
                <w:sz w:val="24"/>
                <w:szCs w:val="24"/>
                <w:lang w:val="en-US" w:eastAsia="zh-CN"/>
                <w14:textFill>
                  <w14:solidFill>
                    <w14:schemeClr w14:val="tx1"/>
                  </w14:solidFill>
                </w14:textFill>
              </w:rPr>
              <w:t>0+MBR 池处理工艺，废水经污水处理厂处理达到《城镇污水处理厂污染物排放标准》（GB18918-2002）中一级 A 标准后用于城市景观湖及绿化灌溉用水。目前和硕县污水处理厂运行正常，且已取得排污许可证（证书号：91652828MA776Y3E5U001V）。</w:t>
            </w:r>
          </w:p>
          <w:p w14:paraId="0AF6A579">
            <w:pPr>
              <w:keepNext w:val="0"/>
              <w:keepLines w:val="0"/>
              <w:suppressLineNumbers w:val="0"/>
              <w:spacing w:before="0" w:beforeAutospacing="0" w:after="0" w:afterAutospacing="0" w:line="360" w:lineRule="auto"/>
              <w:ind w:left="0" w:right="0"/>
              <w:rPr>
                <w:rFonts w:hint="default" w:eastAsia="新宋体" w:cs="Times New Roman"/>
                <w:b w:val="0"/>
                <w:bCs w:val="0"/>
                <w:color w:val="000000" w:themeColor="text1"/>
                <w:sz w:val="24"/>
                <w:szCs w:val="24"/>
                <w:lang w:val="en-US" w:eastAsia="zh-CN"/>
                <w14:textFill>
                  <w14:solidFill>
                    <w14:schemeClr w14:val="tx1"/>
                  </w14:solidFill>
                </w14:textFill>
              </w:rPr>
            </w:pPr>
            <w:r>
              <w:rPr>
                <w:rFonts w:hint="eastAsia" w:eastAsia="新宋体" w:cs="Times New Roman"/>
                <w:b w:val="0"/>
                <w:bCs w:val="0"/>
                <w:color w:val="000000" w:themeColor="text1"/>
                <w:sz w:val="24"/>
                <w:szCs w:val="24"/>
                <w:lang w:val="en-US" w:eastAsia="zh-CN"/>
                <w14:textFill>
                  <w14:solidFill>
                    <w14:schemeClr w14:val="tx1"/>
                  </w14:solidFill>
                </w14:textFill>
              </w:rPr>
              <w:t>本项目污水产生量为0.72m</w:t>
            </w:r>
            <w:r>
              <w:rPr>
                <w:rFonts w:hint="eastAsia" w:eastAsia="新宋体" w:cs="Times New Roman"/>
                <w:b w:val="0"/>
                <w:bCs w:val="0"/>
                <w:color w:val="000000" w:themeColor="text1"/>
                <w:sz w:val="24"/>
                <w:szCs w:val="24"/>
                <w:vertAlign w:val="superscript"/>
                <w:lang w:val="en-US" w:eastAsia="zh-CN"/>
                <w14:textFill>
                  <w14:solidFill>
                    <w14:schemeClr w14:val="tx1"/>
                  </w14:solidFill>
                </w14:textFill>
              </w:rPr>
              <w:t>3</w:t>
            </w:r>
            <w:r>
              <w:rPr>
                <w:rFonts w:hint="eastAsia" w:eastAsia="新宋体" w:cs="Times New Roman"/>
                <w:b w:val="0"/>
                <w:bCs w:val="0"/>
                <w:color w:val="000000" w:themeColor="text1"/>
                <w:sz w:val="24"/>
                <w:szCs w:val="24"/>
                <w:lang w:val="en-US" w:eastAsia="zh-CN"/>
                <w14:textFill>
                  <w14:solidFill>
                    <w14:schemeClr w14:val="tx1"/>
                  </w14:solidFill>
                </w14:textFill>
              </w:rPr>
              <w:t>/d（151.2m</w:t>
            </w:r>
            <w:r>
              <w:rPr>
                <w:rFonts w:hint="eastAsia" w:eastAsia="新宋体" w:cs="Times New Roman"/>
                <w:b w:val="0"/>
                <w:bCs w:val="0"/>
                <w:color w:val="000000" w:themeColor="text1"/>
                <w:sz w:val="24"/>
                <w:szCs w:val="24"/>
                <w:vertAlign w:val="superscript"/>
                <w:lang w:val="en-US" w:eastAsia="zh-CN"/>
                <w14:textFill>
                  <w14:solidFill>
                    <w14:schemeClr w14:val="tx1"/>
                  </w14:solidFill>
                </w14:textFill>
              </w:rPr>
              <w:t>3</w:t>
            </w:r>
            <w:r>
              <w:rPr>
                <w:rFonts w:hint="eastAsia" w:eastAsia="新宋体" w:cs="Times New Roman"/>
                <w:b w:val="0"/>
                <w:bCs w:val="0"/>
                <w:color w:val="000000" w:themeColor="text1"/>
                <w:sz w:val="24"/>
                <w:szCs w:val="24"/>
                <w:lang w:val="en-US" w:eastAsia="zh-CN"/>
                <w14:textFill>
                  <w14:solidFill>
                    <w14:schemeClr w14:val="tx1"/>
                  </w14:solidFill>
                </w14:textFill>
              </w:rPr>
              <w:t>/d），产生量较小且水质简单浓度较低，从水质水量上看，不会对和硕县污水处理厂产生较大冲击。</w:t>
            </w:r>
          </w:p>
          <w:p w14:paraId="43163062">
            <w:pPr>
              <w:keepNext w:val="0"/>
              <w:keepLines w:val="0"/>
              <w:suppressLineNumbers w:val="0"/>
              <w:spacing w:before="0" w:beforeAutospacing="0" w:after="0" w:afterAutospacing="0" w:line="360" w:lineRule="auto"/>
              <w:ind w:left="0" w:right="0"/>
              <w:rPr>
                <w:rFonts w:hint="eastAsia" w:eastAsia="新宋体" w:cs="Times New Roman"/>
                <w:b w:val="0"/>
                <w:bCs w:val="0"/>
                <w:color w:val="000000" w:themeColor="text1"/>
                <w:sz w:val="24"/>
                <w:szCs w:val="24"/>
                <w:lang w:val="en-US" w:eastAsia="zh-CN"/>
                <w14:textFill>
                  <w14:solidFill>
                    <w14:schemeClr w14:val="tx1"/>
                  </w14:solidFill>
                </w14:textFill>
              </w:rPr>
            </w:pPr>
            <w:r>
              <w:rPr>
                <w:rFonts w:hint="eastAsia" w:eastAsia="新宋体" w:cs="Times New Roman"/>
                <w:b w:val="0"/>
                <w:bCs w:val="0"/>
                <w:color w:val="000000" w:themeColor="text1"/>
                <w:sz w:val="24"/>
                <w:szCs w:val="24"/>
                <w:lang w:val="en-US" w:eastAsia="zh-CN"/>
                <w14:textFill>
                  <w14:solidFill>
                    <w14:schemeClr w14:val="tx1"/>
                  </w14:solidFill>
                </w14:textFill>
              </w:rPr>
              <w:t>（2）生产废水</w:t>
            </w:r>
          </w:p>
          <w:p w14:paraId="765770A3">
            <w:pPr>
              <w:keepNext w:val="0"/>
              <w:keepLines w:val="0"/>
              <w:suppressLineNumbers w:val="0"/>
              <w:spacing w:before="0" w:beforeAutospacing="0" w:after="0" w:afterAutospacing="0" w:line="360" w:lineRule="auto"/>
              <w:ind w:left="0" w:right="0"/>
              <w:rPr>
                <w:rFonts w:hint="default" w:ascii="Times New Roman" w:hAnsi="Times New Roman" w:eastAsia="新宋体" w:cs="Times New Roman"/>
                <w:b w:val="0"/>
                <w:bCs w:val="0"/>
                <w:color w:val="000000" w:themeColor="text1"/>
                <w:sz w:val="24"/>
                <w:szCs w:val="24"/>
                <w:lang w:val="en-US" w:eastAsia="zh-CN"/>
                <w14:textFill>
                  <w14:solidFill>
                    <w14:schemeClr w14:val="tx1"/>
                  </w14:solidFill>
                </w14:textFill>
              </w:rPr>
            </w:pPr>
            <w:r>
              <w:rPr>
                <w:rFonts w:hint="eastAsia" w:eastAsia="新宋体" w:cs="Times New Roman"/>
                <w:b w:val="0"/>
                <w:bCs w:val="0"/>
                <w:color w:val="000000" w:themeColor="text1"/>
                <w:sz w:val="24"/>
                <w:szCs w:val="24"/>
                <w:lang w:val="en-US" w:eastAsia="zh-CN"/>
                <w14:textFill>
                  <w14:solidFill>
                    <w14:schemeClr w14:val="tx1"/>
                  </w14:solidFill>
                </w14:textFill>
              </w:rPr>
              <w:t>根据工艺分析，砼预制件配料用水随产品带出或自然蒸发，洗车废水、养护废水经沉淀池沉淀后回用地表抑尘与雾炮降尘用水自然蒸发，无生产废水外排。</w:t>
            </w:r>
          </w:p>
          <w:p w14:paraId="28F1A0DE">
            <w:pPr>
              <w:keepNext w:val="0"/>
              <w:keepLines w:val="0"/>
              <w:suppressLineNumbers w:val="0"/>
              <w:spacing w:before="0" w:beforeAutospacing="0" w:after="0" w:afterAutospacing="0" w:line="360" w:lineRule="auto"/>
              <w:ind w:left="0" w:right="0"/>
              <w:rPr>
                <w:rFonts w:hint="default" w:ascii="Times New Roman" w:hAnsi="Times New Roman" w:eastAsia="新宋体" w:cs="Times New Roman"/>
                <w:b/>
                <w:bCs/>
                <w:color w:val="000000" w:themeColor="text1"/>
                <w:sz w:val="24"/>
                <w:szCs w:val="24"/>
                <w14:textFill>
                  <w14:solidFill>
                    <w14:schemeClr w14:val="tx1"/>
                  </w14:solidFill>
                </w14:textFill>
              </w:rPr>
            </w:pPr>
            <w:r>
              <w:rPr>
                <w:rFonts w:hint="default" w:ascii="Times New Roman" w:hAnsi="Times New Roman" w:eastAsia="新宋体" w:cs="Times New Roman"/>
                <w:b/>
                <w:bCs/>
                <w:color w:val="000000" w:themeColor="text1"/>
                <w:sz w:val="24"/>
                <w:szCs w:val="24"/>
                <w:lang w:val="en-US" w:eastAsia="zh-CN"/>
                <w14:textFill>
                  <w14:solidFill>
                    <w14:schemeClr w14:val="tx1"/>
                  </w14:solidFill>
                </w14:textFill>
              </w:rPr>
              <w:t>3、</w:t>
            </w:r>
            <w:r>
              <w:rPr>
                <w:rFonts w:hint="default" w:ascii="Times New Roman" w:hAnsi="Times New Roman" w:eastAsia="新宋体" w:cs="Times New Roman"/>
                <w:b/>
                <w:bCs/>
                <w:color w:val="000000" w:themeColor="text1"/>
                <w:sz w:val="24"/>
                <w:szCs w:val="24"/>
                <w14:textFill>
                  <w14:solidFill>
                    <w14:schemeClr w14:val="tx1"/>
                  </w14:solidFill>
                </w14:textFill>
              </w:rPr>
              <w:t>噪声</w:t>
            </w:r>
          </w:p>
          <w:p w14:paraId="3F6C40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default" w:ascii="Times New Roman" w:hAnsi="Times New Roman" w:eastAsia="新宋体" w:cs="Times New Roman"/>
                <w:b/>
                <w:bCs/>
                <w:color w:val="000000" w:themeColor="text1"/>
                <w:kern w:val="0"/>
                <w:sz w:val="24"/>
                <w:szCs w:val="24"/>
                <w:lang w:val="en-US" w:eastAsia="zh-CN" w:bidi="ar"/>
                <w14:textFill>
                  <w14:solidFill>
                    <w14:schemeClr w14:val="tx1"/>
                  </w14:solidFill>
                </w14:textFill>
              </w:rPr>
              <w:t>3.1</w:t>
            </w:r>
            <w:r>
              <w:rPr>
                <w:rFonts w:hint="default" w:ascii="Times New Roman" w:hAnsi="Times New Roman" w:eastAsia="新宋体" w:cs="Times New Roman"/>
                <w:b/>
                <w:bCs/>
                <w:color w:val="000000" w:themeColor="text1"/>
                <w:sz w:val="24"/>
                <w:szCs w:val="24"/>
                <w:lang w:val="en-US" w:eastAsia="zh-CN"/>
                <w14:textFill>
                  <w14:solidFill>
                    <w14:schemeClr w14:val="tx1"/>
                  </w14:solidFill>
                </w14:textFill>
              </w:rPr>
              <w:t>噪声源强预测</w:t>
            </w:r>
          </w:p>
          <w:p w14:paraId="6478332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新宋体" w:cs="Times New Roman"/>
                <w:color w:val="000000" w:themeColor="text1"/>
                <w:sz w:val="24"/>
                <w:szCs w:val="24"/>
                <w:highlight w:val="none"/>
                <w:lang w:val="en-US"/>
                <w14:textFill>
                  <w14:solidFill>
                    <w14:schemeClr w14:val="tx1"/>
                  </w14:solidFill>
                </w14:textFill>
              </w:rPr>
            </w:pPr>
            <w:r>
              <w:rPr>
                <w:rFonts w:hint="default" w:ascii="Times New Roman" w:hAnsi="Times New Roman" w:eastAsia="新宋体" w:cs="Times New Roman"/>
                <w:color w:val="000000" w:themeColor="text1"/>
                <w:sz w:val="24"/>
                <w:szCs w:val="24"/>
                <w:highlight w:val="none"/>
                <w:lang w:val="en-US"/>
                <w14:textFill>
                  <w14:solidFill>
                    <w14:schemeClr w14:val="tx1"/>
                  </w14:solidFill>
                </w14:textFill>
              </w:rPr>
              <w:t>项目主要噪声</w:t>
            </w:r>
            <w:r>
              <w:rPr>
                <w:rFonts w:hint="eastAsia" w:eastAsia="新宋体" w:cs="Times New Roman"/>
                <w:color w:val="000000" w:themeColor="text1"/>
                <w:sz w:val="24"/>
                <w:szCs w:val="24"/>
                <w:highlight w:val="none"/>
                <w:lang w:val="en-US" w:eastAsia="zh-CN"/>
                <w14:textFill>
                  <w14:solidFill>
                    <w14:schemeClr w14:val="tx1"/>
                  </w14:solidFill>
                </w14:textFill>
              </w:rPr>
              <w:t>主要来源配料搅拌、钢筋切割调直、机器运转工序</w:t>
            </w:r>
            <w:r>
              <w:rPr>
                <w:rFonts w:hint="default" w:ascii="Times New Roman" w:hAnsi="Times New Roman" w:eastAsia="新宋体" w:cs="Times New Roman"/>
                <w:color w:val="000000" w:themeColor="text1"/>
                <w:sz w:val="24"/>
                <w:szCs w:val="24"/>
                <w:highlight w:val="none"/>
                <w:lang w:val="en-US"/>
                <w14:textFill>
                  <w14:solidFill>
                    <w14:schemeClr w14:val="tx1"/>
                  </w14:solidFill>
                </w14:textFill>
              </w:rPr>
              <w:t>等。项目主要噪声源输入清单见表</w:t>
            </w:r>
            <w:r>
              <w:rPr>
                <w:rFonts w:hint="eastAsia" w:ascii="Times New Roman" w:hAnsi="Times New Roman" w:eastAsia="新宋体" w:cs="Times New Roman"/>
                <w:color w:val="000000" w:themeColor="text1"/>
                <w:sz w:val="24"/>
                <w:szCs w:val="24"/>
                <w:highlight w:val="none"/>
                <w:lang w:val="en-US" w:eastAsia="zh-CN"/>
                <w14:textFill>
                  <w14:solidFill>
                    <w14:schemeClr w14:val="tx1"/>
                  </w14:solidFill>
                </w14:textFill>
              </w:rPr>
              <w:t>4-</w:t>
            </w:r>
            <w:r>
              <w:rPr>
                <w:rFonts w:hint="eastAsia" w:eastAsia="新宋体" w:cs="Times New Roman"/>
                <w:color w:val="000000" w:themeColor="text1"/>
                <w:sz w:val="24"/>
                <w:szCs w:val="24"/>
                <w:highlight w:val="none"/>
                <w:lang w:val="en-US" w:eastAsia="zh-CN"/>
                <w14:textFill>
                  <w14:solidFill>
                    <w14:schemeClr w14:val="tx1"/>
                  </w14:solidFill>
                </w14:textFill>
              </w:rPr>
              <w:t>11</w:t>
            </w:r>
            <w:r>
              <w:rPr>
                <w:rFonts w:hint="default" w:ascii="Times New Roman" w:hAnsi="Times New Roman" w:eastAsia="新宋体" w:cs="Times New Roman"/>
                <w:color w:val="000000" w:themeColor="text1"/>
                <w:sz w:val="24"/>
                <w:szCs w:val="24"/>
                <w:highlight w:val="none"/>
                <w:lang w:val="en-US"/>
                <w14:textFill>
                  <w14:solidFill>
                    <w14:schemeClr w14:val="tx1"/>
                  </w14:solidFill>
                </w14:textFill>
              </w:rPr>
              <w:t>。</w:t>
            </w:r>
          </w:p>
          <w:p w14:paraId="733F899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新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b/>
                <w:bCs/>
                <w:color w:val="000000" w:themeColor="text1"/>
                <w:sz w:val="21"/>
                <w:szCs w:val="21"/>
                <w:lang w:val="en-US" w:eastAsia="zh-CN"/>
                <w14:textFill>
                  <w14:solidFill>
                    <w14:schemeClr w14:val="tx1"/>
                  </w14:solidFill>
                </w14:textFill>
              </w:rPr>
              <w:t>表</w:t>
            </w:r>
            <w:r>
              <w:rPr>
                <w:rFonts w:hint="eastAsia" w:ascii="Times New Roman" w:hAnsi="Times New Roman" w:eastAsia="新宋体" w:cs="Times New Roman"/>
                <w:b/>
                <w:bCs/>
                <w:color w:val="000000" w:themeColor="text1"/>
                <w:sz w:val="21"/>
                <w:szCs w:val="21"/>
                <w:lang w:val="en-US" w:eastAsia="zh-CN"/>
                <w14:textFill>
                  <w14:solidFill>
                    <w14:schemeClr w14:val="tx1"/>
                  </w14:solidFill>
                </w14:textFill>
              </w:rPr>
              <w:t>4-</w:t>
            </w:r>
            <w:r>
              <w:rPr>
                <w:rFonts w:hint="eastAsia" w:eastAsia="新宋体" w:cs="Times New Roman"/>
                <w:b/>
                <w:bCs/>
                <w:color w:val="000000" w:themeColor="text1"/>
                <w:sz w:val="21"/>
                <w:szCs w:val="21"/>
                <w:lang w:val="en-US" w:eastAsia="zh-CN"/>
                <w14:textFill>
                  <w14:solidFill>
                    <w14:schemeClr w14:val="tx1"/>
                  </w14:solidFill>
                </w14:textFill>
              </w:rPr>
              <w:t>11</w:t>
            </w:r>
            <w:r>
              <w:rPr>
                <w:rFonts w:hint="default" w:ascii="Times New Roman" w:hAnsi="Times New Roman" w:eastAsia="新宋体" w:cs="Times New Roman"/>
                <w:b/>
                <w:bCs/>
                <w:color w:val="000000" w:themeColor="text1"/>
                <w:sz w:val="21"/>
                <w:szCs w:val="21"/>
                <w:lang w:val="en-US" w:eastAsia="zh-CN"/>
                <w14:textFill>
                  <w14:solidFill>
                    <w14:schemeClr w14:val="tx1"/>
                  </w14:solidFill>
                </w14:textFill>
              </w:rPr>
              <w:t>项目主要噪声源强</w:t>
            </w:r>
          </w:p>
          <w:tbl>
            <w:tblPr>
              <w:tblStyle w:val="28"/>
              <w:tblW w:w="4996"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1315"/>
              <w:gridCol w:w="986"/>
              <w:gridCol w:w="1265"/>
              <w:gridCol w:w="1073"/>
              <w:gridCol w:w="864"/>
              <w:gridCol w:w="986"/>
              <w:gridCol w:w="1370"/>
            </w:tblGrid>
            <w:tr w14:paraId="7190F62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836" w:type="pct"/>
                  <w:tcBorders>
                    <w:tl2br w:val="nil"/>
                    <w:tr2bl w:val="nil"/>
                  </w:tcBorders>
                  <w:vAlign w:val="center"/>
                </w:tcPr>
                <w:p w14:paraId="6ABC89E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声源名称</w:t>
                  </w:r>
                </w:p>
              </w:tc>
              <w:tc>
                <w:tcPr>
                  <w:tcW w:w="627" w:type="pct"/>
                  <w:tcBorders>
                    <w:tl2br w:val="nil"/>
                    <w:tr2bl w:val="nil"/>
                  </w:tcBorders>
                  <w:vAlign w:val="center"/>
                </w:tcPr>
                <w:p w14:paraId="7D0C5B6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所在位置</w:t>
                  </w:r>
                </w:p>
              </w:tc>
              <w:tc>
                <w:tcPr>
                  <w:tcW w:w="804" w:type="pct"/>
                  <w:tcBorders>
                    <w:tl2br w:val="nil"/>
                    <w:tr2bl w:val="nil"/>
                  </w:tcBorders>
                  <w:vAlign w:val="center"/>
                </w:tcPr>
                <w:p w14:paraId="462F2DE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台数（台）</w:t>
                  </w:r>
                </w:p>
              </w:tc>
              <w:tc>
                <w:tcPr>
                  <w:tcW w:w="682" w:type="pct"/>
                  <w:tcBorders>
                    <w:tl2br w:val="nil"/>
                    <w:tr2bl w:val="nil"/>
                  </w:tcBorders>
                  <w:vAlign w:val="center"/>
                </w:tcPr>
                <w:p w14:paraId="0D335BD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源强dB</w:t>
                  </w:r>
                  <w:r>
                    <w:rPr>
                      <w:rFonts w:hint="eastAsia"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A</w:t>
                  </w:r>
                  <w:r>
                    <w:rPr>
                      <w:rFonts w:hint="eastAsia" w:eastAsia="新宋体" w:cs="Times New Roman"/>
                      <w:color w:val="000000" w:themeColor="text1"/>
                      <w:sz w:val="21"/>
                      <w:szCs w:val="21"/>
                      <w:lang w:eastAsia="zh-CN"/>
                      <w14:textFill>
                        <w14:solidFill>
                          <w14:schemeClr w14:val="tx1"/>
                        </w14:solidFill>
                      </w14:textFill>
                    </w:rPr>
                    <w:t>）</w:t>
                  </w:r>
                </w:p>
              </w:tc>
              <w:tc>
                <w:tcPr>
                  <w:tcW w:w="549" w:type="pct"/>
                  <w:tcBorders>
                    <w:tl2br w:val="nil"/>
                    <w:tr2bl w:val="nil"/>
                  </w:tcBorders>
                  <w:vAlign w:val="center"/>
                </w:tcPr>
                <w:p w14:paraId="42E329D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声源</w:t>
                  </w:r>
                </w:p>
                <w:p w14:paraId="05B1127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种类</w:t>
                  </w:r>
                </w:p>
              </w:tc>
              <w:tc>
                <w:tcPr>
                  <w:tcW w:w="627" w:type="pct"/>
                  <w:tcBorders>
                    <w:tl2br w:val="nil"/>
                    <w:tr2bl w:val="nil"/>
                  </w:tcBorders>
                  <w:vAlign w:val="center"/>
                </w:tcPr>
                <w:p w14:paraId="20A512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工作情况</w:t>
                  </w:r>
                </w:p>
              </w:tc>
              <w:tc>
                <w:tcPr>
                  <w:tcW w:w="871" w:type="pct"/>
                  <w:tcBorders>
                    <w:tl2br w:val="nil"/>
                    <w:tr2bl w:val="nil"/>
                  </w:tcBorders>
                  <w:vAlign w:val="center"/>
                </w:tcPr>
                <w:p w14:paraId="5F96AE9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治理后声压级dB</w:t>
                  </w:r>
                  <w:r>
                    <w:rPr>
                      <w:rFonts w:hint="eastAsia"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A</w:t>
                  </w:r>
                  <w:r>
                    <w:rPr>
                      <w:rFonts w:hint="eastAsia" w:eastAsia="新宋体" w:cs="Times New Roman"/>
                      <w:color w:val="000000" w:themeColor="text1"/>
                      <w:sz w:val="21"/>
                      <w:szCs w:val="21"/>
                      <w:lang w:eastAsia="zh-CN"/>
                      <w14:textFill>
                        <w14:solidFill>
                          <w14:schemeClr w14:val="tx1"/>
                        </w14:solidFill>
                      </w14:textFill>
                    </w:rPr>
                    <w:t>）</w:t>
                  </w:r>
                </w:p>
              </w:tc>
            </w:tr>
            <w:tr w14:paraId="5A4D4FD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836" w:type="pct"/>
                  <w:tcBorders>
                    <w:tl2br w:val="nil"/>
                    <w:tr2bl w:val="nil"/>
                  </w:tcBorders>
                  <w:vAlign w:val="center"/>
                </w:tcPr>
                <w:p w14:paraId="7477A24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配料机</w:t>
                  </w:r>
                </w:p>
              </w:tc>
              <w:tc>
                <w:tcPr>
                  <w:tcW w:w="627" w:type="pct"/>
                  <w:tcBorders>
                    <w:tl2br w:val="nil"/>
                    <w:tr2bl w:val="nil"/>
                  </w:tcBorders>
                  <w:vAlign w:val="center"/>
                </w:tcPr>
                <w:p w14:paraId="449D10C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生产车间</w:t>
                  </w:r>
                </w:p>
              </w:tc>
              <w:tc>
                <w:tcPr>
                  <w:tcW w:w="804" w:type="pct"/>
                  <w:tcBorders>
                    <w:tl2br w:val="nil"/>
                    <w:tr2bl w:val="nil"/>
                  </w:tcBorders>
                  <w:vAlign w:val="center"/>
                </w:tcPr>
                <w:p w14:paraId="58415E6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2</w:t>
                  </w:r>
                </w:p>
              </w:tc>
              <w:tc>
                <w:tcPr>
                  <w:tcW w:w="682" w:type="pct"/>
                  <w:tcBorders>
                    <w:tl2br w:val="nil"/>
                    <w:tr2bl w:val="nil"/>
                  </w:tcBorders>
                  <w:vAlign w:val="center"/>
                </w:tcPr>
                <w:p w14:paraId="36477B3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70-80</w:t>
                  </w:r>
                </w:p>
              </w:tc>
              <w:tc>
                <w:tcPr>
                  <w:tcW w:w="549" w:type="pct"/>
                  <w:tcBorders>
                    <w:tl2br w:val="nil"/>
                    <w:tr2bl w:val="nil"/>
                  </w:tcBorders>
                  <w:vAlign w:val="center"/>
                </w:tcPr>
                <w:p w14:paraId="2E4B759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点源</w:t>
                  </w:r>
                </w:p>
              </w:tc>
              <w:tc>
                <w:tcPr>
                  <w:tcW w:w="627" w:type="pct"/>
                  <w:tcBorders>
                    <w:tl2br w:val="nil"/>
                    <w:tr2bl w:val="nil"/>
                  </w:tcBorders>
                  <w:vAlign w:val="center"/>
                </w:tcPr>
                <w:p w14:paraId="653AE70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连续</w:t>
                  </w:r>
                </w:p>
              </w:tc>
              <w:tc>
                <w:tcPr>
                  <w:tcW w:w="871" w:type="pct"/>
                  <w:tcBorders>
                    <w:tl2br w:val="nil"/>
                    <w:tr2bl w:val="nil"/>
                  </w:tcBorders>
                  <w:vAlign w:val="center"/>
                </w:tcPr>
                <w:p w14:paraId="39A0B3D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65-75</w:t>
                  </w:r>
                </w:p>
              </w:tc>
            </w:tr>
            <w:tr w14:paraId="52F8BB3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836" w:type="pct"/>
                  <w:tcBorders>
                    <w:tl2br w:val="nil"/>
                    <w:tr2bl w:val="nil"/>
                  </w:tcBorders>
                  <w:vAlign w:val="center"/>
                </w:tcPr>
                <w:p w14:paraId="1D60FD4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搅拌机</w:t>
                  </w:r>
                </w:p>
              </w:tc>
              <w:tc>
                <w:tcPr>
                  <w:tcW w:w="627" w:type="pct"/>
                  <w:tcBorders>
                    <w:tl2br w:val="nil"/>
                    <w:tr2bl w:val="nil"/>
                  </w:tcBorders>
                  <w:vAlign w:val="center"/>
                </w:tcPr>
                <w:p w14:paraId="5EA7947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生产车间</w:t>
                  </w:r>
                </w:p>
              </w:tc>
              <w:tc>
                <w:tcPr>
                  <w:tcW w:w="804" w:type="pct"/>
                  <w:tcBorders>
                    <w:tl2br w:val="nil"/>
                    <w:tr2bl w:val="nil"/>
                  </w:tcBorders>
                  <w:vAlign w:val="center"/>
                </w:tcPr>
                <w:p w14:paraId="5338209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2</w:t>
                  </w:r>
                </w:p>
              </w:tc>
              <w:tc>
                <w:tcPr>
                  <w:tcW w:w="682" w:type="pct"/>
                  <w:tcBorders>
                    <w:tl2br w:val="nil"/>
                    <w:tr2bl w:val="nil"/>
                  </w:tcBorders>
                  <w:vAlign w:val="center"/>
                </w:tcPr>
                <w:p w14:paraId="7E166D4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80-90</w:t>
                  </w:r>
                </w:p>
              </w:tc>
              <w:tc>
                <w:tcPr>
                  <w:tcW w:w="549" w:type="pct"/>
                  <w:tcBorders>
                    <w:tl2br w:val="nil"/>
                    <w:tr2bl w:val="nil"/>
                  </w:tcBorders>
                  <w:vAlign w:val="center"/>
                </w:tcPr>
                <w:p w14:paraId="5F41332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点源</w:t>
                  </w:r>
                </w:p>
              </w:tc>
              <w:tc>
                <w:tcPr>
                  <w:tcW w:w="627" w:type="pct"/>
                  <w:tcBorders>
                    <w:tl2br w:val="nil"/>
                    <w:tr2bl w:val="nil"/>
                  </w:tcBorders>
                  <w:vAlign w:val="center"/>
                </w:tcPr>
                <w:p w14:paraId="35AAC4A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连续</w:t>
                  </w:r>
                </w:p>
              </w:tc>
              <w:tc>
                <w:tcPr>
                  <w:tcW w:w="871" w:type="pct"/>
                  <w:tcBorders>
                    <w:tl2br w:val="nil"/>
                    <w:tr2bl w:val="nil"/>
                  </w:tcBorders>
                  <w:vAlign w:val="center"/>
                </w:tcPr>
                <w:p w14:paraId="2CDD95F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60-70</w:t>
                  </w:r>
                </w:p>
              </w:tc>
            </w:tr>
            <w:tr w14:paraId="168E0D1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836" w:type="pct"/>
                  <w:tcBorders>
                    <w:tl2br w:val="nil"/>
                    <w:tr2bl w:val="nil"/>
                  </w:tcBorders>
                  <w:vAlign w:val="center"/>
                </w:tcPr>
                <w:p w14:paraId="7611C7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砌块成型机</w:t>
                  </w:r>
                </w:p>
              </w:tc>
              <w:tc>
                <w:tcPr>
                  <w:tcW w:w="627" w:type="pct"/>
                  <w:tcBorders>
                    <w:tl2br w:val="nil"/>
                    <w:tr2bl w:val="nil"/>
                  </w:tcBorders>
                  <w:vAlign w:val="center"/>
                </w:tcPr>
                <w:p w14:paraId="26CAC3B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生产车间</w:t>
                  </w:r>
                </w:p>
              </w:tc>
              <w:tc>
                <w:tcPr>
                  <w:tcW w:w="804" w:type="pct"/>
                  <w:tcBorders>
                    <w:tl2br w:val="nil"/>
                    <w:tr2bl w:val="nil"/>
                  </w:tcBorders>
                  <w:vAlign w:val="center"/>
                </w:tcPr>
                <w:p w14:paraId="00F0142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1</w:t>
                  </w:r>
                </w:p>
              </w:tc>
              <w:tc>
                <w:tcPr>
                  <w:tcW w:w="682" w:type="pct"/>
                  <w:tcBorders>
                    <w:tl2br w:val="nil"/>
                    <w:tr2bl w:val="nil"/>
                  </w:tcBorders>
                  <w:vAlign w:val="center"/>
                </w:tcPr>
                <w:p w14:paraId="0F9234F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70-80</w:t>
                  </w:r>
                </w:p>
              </w:tc>
              <w:tc>
                <w:tcPr>
                  <w:tcW w:w="549" w:type="pct"/>
                  <w:tcBorders>
                    <w:tl2br w:val="nil"/>
                    <w:tr2bl w:val="nil"/>
                  </w:tcBorders>
                  <w:vAlign w:val="center"/>
                </w:tcPr>
                <w:p w14:paraId="3147187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点源</w:t>
                  </w:r>
                </w:p>
              </w:tc>
              <w:tc>
                <w:tcPr>
                  <w:tcW w:w="627" w:type="pct"/>
                  <w:tcBorders>
                    <w:tl2br w:val="nil"/>
                    <w:tr2bl w:val="nil"/>
                  </w:tcBorders>
                  <w:vAlign w:val="center"/>
                </w:tcPr>
                <w:p w14:paraId="425B855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间歇</w:t>
                  </w:r>
                </w:p>
              </w:tc>
              <w:tc>
                <w:tcPr>
                  <w:tcW w:w="871" w:type="pct"/>
                  <w:tcBorders>
                    <w:tl2br w:val="nil"/>
                    <w:tr2bl w:val="nil"/>
                  </w:tcBorders>
                  <w:vAlign w:val="center"/>
                </w:tcPr>
                <w:p w14:paraId="24AA201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60-70</w:t>
                  </w:r>
                </w:p>
              </w:tc>
            </w:tr>
            <w:tr w14:paraId="19E1AFD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836" w:type="pct"/>
                  <w:tcBorders>
                    <w:tl2br w:val="nil"/>
                    <w:tr2bl w:val="nil"/>
                  </w:tcBorders>
                  <w:vAlign w:val="center"/>
                </w:tcPr>
                <w:p w14:paraId="6B81EAB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折弯/调直机</w:t>
                  </w:r>
                </w:p>
              </w:tc>
              <w:tc>
                <w:tcPr>
                  <w:tcW w:w="627" w:type="pct"/>
                  <w:tcBorders>
                    <w:tl2br w:val="nil"/>
                    <w:tr2bl w:val="nil"/>
                  </w:tcBorders>
                  <w:vAlign w:val="center"/>
                </w:tcPr>
                <w:p w14:paraId="79A712A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生产车间</w:t>
                  </w:r>
                </w:p>
              </w:tc>
              <w:tc>
                <w:tcPr>
                  <w:tcW w:w="804" w:type="pct"/>
                  <w:tcBorders>
                    <w:tl2br w:val="nil"/>
                    <w:tr2bl w:val="nil"/>
                  </w:tcBorders>
                  <w:vAlign w:val="center"/>
                </w:tcPr>
                <w:p w14:paraId="019CCD8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2</w:t>
                  </w:r>
                </w:p>
              </w:tc>
              <w:tc>
                <w:tcPr>
                  <w:tcW w:w="682" w:type="pct"/>
                  <w:tcBorders>
                    <w:tl2br w:val="nil"/>
                    <w:tr2bl w:val="nil"/>
                  </w:tcBorders>
                  <w:vAlign w:val="center"/>
                </w:tcPr>
                <w:p w14:paraId="18222E6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80-90</w:t>
                  </w:r>
                </w:p>
              </w:tc>
              <w:tc>
                <w:tcPr>
                  <w:tcW w:w="549" w:type="pct"/>
                  <w:tcBorders>
                    <w:tl2br w:val="nil"/>
                    <w:tr2bl w:val="nil"/>
                  </w:tcBorders>
                  <w:vAlign w:val="center"/>
                </w:tcPr>
                <w:p w14:paraId="561B21C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点源</w:t>
                  </w:r>
                </w:p>
              </w:tc>
              <w:tc>
                <w:tcPr>
                  <w:tcW w:w="627" w:type="pct"/>
                  <w:tcBorders>
                    <w:tl2br w:val="nil"/>
                    <w:tr2bl w:val="nil"/>
                  </w:tcBorders>
                  <w:vAlign w:val="center"/>
                </w:tcPr>
                <w:p w14:paraId="7DD3132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间歇</w:t>
                  </w:r>
                </w:p>
              </w:tc>
              <w:tc>
                <w:tcPr>
                  <w:tcW w:w="871" w:type="pct"/>
                  <w:tcBorders>
                    <w:tl2br w:val="nil"/>
                    <w:tr2bl w:val="nil"/>
                  </w:tcBorders>
                  <w:vAlign w:val="center"/>
                </w:tcPr>
                <w:p w14:paraId="00FEF8B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70-80</w:t>
                  </w:r>
                </w:p>
              </w:tc>
            </w:tr>
            <w:tr w14:paraId="3474E39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836" w:type="pct"/>
                  <w:tcBorders>
                    <w:tl2br w:val="nil"/>
                    <w:tr2bl w:val="nil"/>
                  </w:tcBorders>
                  <w:vAlign w:val="center"/>
                </w:tcPr>
                <w:p w14:paraId="0866221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切割机</w:t>
                  </w:r>
                </w:p>
              </w:tc>
              <w:tc>
                <w:tcPr>
                  <w:tcW w:w="627" w:type="pct"/>
                  <w:tcBorders>
                    <w:tl2br w:val="nil"/>
                    <w:tr2bl w:val="nil"/>
                  </w:tcBorders>
                  <w:vAlign w:val="center"/>
                </w:tcPr>
                <w:p w14:paraId="2913C1D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生产车间</w:t>
                  </w:r>
                </w:p>
              </w:tc>
              <w:tc>
                <w:tcPr>
                  <w:tcW w:w="804" w:type="pct"/>
                  <w:tcBorders>
                    <w:tl2br w:val="nil"/>
                    <w:tr2bl w:val="nil"/>
                  </w:tcBorders>
                  <w:vAlign w:val="center"/>
                </w:tcPr>
                <w:p w14:paraId="2D18FE1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1</w:t>
                  </w:r>
                </w:p>
              </w:tc>
              <w:tc>
                <w:tcPr>
                  <w:tcW w:w="682" w:type="pct"/>
                  <w:tcBorders>
                    <w:tl2br w:val="nil"/>
                    <w:tr2bl w:val="nil"/>
                  </w:tcBorders>
                  <w:vAlign w:val="center"/>
                </w:tcPr>
                <w:p w14:paraId="65B3782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70-80</w:t>
                  </w:r>
                </w:p>
              </w:tc>
              <w:tc>
                <w:tcPr>
                  <w:tcW w:w="549" w:type="pct"/>
                  <w:tcBorders>
                    <w:tl2br w:val="nil"/>
                    <w:tr2bl w:val="nil"/>
                  </w:tcBorders>
                  <w:vAlign w:val="center"/>
                </w:tcPr>
                <w:p w14:paraId="4CE1D76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点源</w:t>
                  </w:r>
                </w:p>
              </w:tc>
              <w:tc>
                <w:tcPr>
                  <w:tcW w:w="627" w:type="pct"/>
                  <w:tcBorders>
                    <w:tl2br w:val="nil"/>
                    <w:tr2bl w:val="nil"/>
                  </w:tcBorders>
                  <w:vAlign w:val="center"/>
                </w:tcPr>
                <w:p w14:paraId="017E7B8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间歇</w:t>
                  </w:r>
                </w:p>
              </w:tc>
              <w:tc>
                <w:tcPr>
                  <w:tcW w:w="871" w:type="pct"/>
                  <w:tcBorders>
                    <w:tl2br w:val="nil"/>
                    <w:tr2bl w:val="nil"/>
                  </w:tcBorders>
                  <w:vAlign w:val="center"/>
                </w:tcPr>
                <w:p w14:paraId="361E404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60-70</w:t>
                  </w:r>
                </w:p>
              </w:tc>
            </w:tr>
            <w:tr w14:paraId="437FD6E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836" w:type="pct"/>
                  <w:tcBorders>
                    <w:tl2br w:val="nil"/>
                    <w:tr2bl w:val="nil"/>
                  </w:tcBorders>
                  <w:vAlign w:val="center"/>
                </w:tcPr>
                <w:p w14:paraId="26087EF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车辆</w:t>
                  </w:r>
                </w:p>
              </w:tc>
              <w:tc>
                <w:tcPr>
                  <w:tcW w:w="627" w:type="pct"/>
                  <w:tcBorders>
                    <w:tl2br w:val="nil"/>
                    <w:tr2bl w:val="nil"/>
                  </w:tcBorders>
                  <w:vAlign w:val="center"/>
                </w:tcPr>
                <w:p w14:paraId="190FB6C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全厂流动</w:t>
                  </w:r>
                </w:p>
              </w:tc>
              <w:tc>
                <w:tcPr>
                  <w:tcW w:w="804" w:type="pct"/>
                  <w:tcBorders>
                    <w:tl2br w:val="nil"/>
                    <w:tr2bl w:val="nil"/>
                  </w:tcBorders>
                  <w:vAlign w:val="center"/>
                </w:tcPr>
                <w:p w14:paraId="40A1A99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p>
              </w:tc>
              <w:tc>
                <w:tcPr>
                  <w:tcW w:w="682" w:type="pct"/>
                  <w:tcBorders>
                    <w:tl2br w:val="nil"/>
                    <w:tr2bl w:val="nil"/>
                  </w:tcBorders>
                  <w:vAlign w:val="center"/>
                </w:tcPr>
                <w:p w14:paraId="4913B59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80-85</w:t>
                  </w:r>
                </w:p>
              </w:tc>
              <w:tc>
                <w:tcPr>
                  <w:tcW w:w="549" w:type="pct"/>
                  <w:tcBorders>
                    <w:tl2br w:val="nil"/>
                    <w:tr2bl w:val="nil"/>
                  </w:tcBorders>
                  <w:vAlign w:val="center"/>
                </w:tcPr>
                <w:p w14:paraId="6CF66FD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流动源</w:t>
                  </w:r>
                </w:p>
              </w:tc>
              <w:tc>
                <w:tcPr>
                  <w:tcW w:w="627" w:type="pct"/>
                  <w:tcBorders>
                    <w:tl2br w:val="nil"/>
                    <w:tr2bl w:val="nil"/>
                  </w:tcBorders>
                  <w:vAlign w:val="center"/>
                </w:tcPr>
                <w:p w14:paraId="4BFC1B1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间歇</w:t>
                  </w:r>
                </w:p>
              </w:tc>
              <w:tc>
                <w:tcPr>
                  <w:tcW w:w="871" w:type="pct"/>
                  <w:tcBorders>
                    <w:tl2br w:val="nil"/>
                    <w:tr2bl w:val="nil"/>
                  </w:tcBorders>
                  <w:vAlign w:val="center"/>
                </w:tcPr>
                <w:p w14:paraId="204CEDC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60-65</w:t>
                  </w:r>
                </w:p>
              </w:tc>
            </w:tr>
          </w:tbl>
          <w:p w14:paraId="4DDF41C0">
            <w:pPr>
              <w:spacing w:line="360" w:lineRule="auto"/>
              <w:ind w:firstLine="482"/>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default" w:ascii="Times New Roman" w:hAnsi="Times New Roman" w:eastAsia="新宋体" w:cs="Times New Roman"/>
              </w:rPr>
              <w:t>预测模式</w:t>
            </w:r>
            <w:r>
              <w:rPr>
                <w:rFonts w:hint="eastAsia" w:eastAsia="新宋体" w:cs="Times New Roman"/>
                <w:lang w:eastAsia="zh-CN"/>
              </w:rPr>
              <w:t>采用</w:t>
            </w:r>
            <w:r>
              <w:rPr>
                <w:rFonts w:hint="default" w:ascii="Times New Roman" w:hAnsi="Times New Roman" w:eastAsia="新宋体" w:cs="Times New Roman"/>
              </w:rPr>
              <w:t>《环境影响评价技术导则-声环境》</w:t>
            </w:r>
            <w:r>
              <w:rPr>
                <w:rFonts w:hint="default" w:ascii="Times New Roman" w:hAnsi="Times New Roman" w:eastAsia="新宋体" w:cs="Times New Roman"/>
                <w:lang w:eastAsia="zh-CN"/>
              </w:rPr>
              <w:t>（</w:t>
            </w:r>
            <w:r>
              <w:rPr>
                <w:rFonts w:hint="default" w:ascii="Times New Roman" w:hAnsi="Times New Roman" w:eastAsia="新宋体" w:cs="Times New Roman"/>
              </w:rPr>
              <w:t>HJ2.4-2021</w:t>
            </w:r>
            <w:r>
              <w:rPr>
                <w:rFonts w:hint="default" w:ascii="Times New Roman" w:hAnsi="Times New Roman" w:eastAsia="新宋体" w:cs="Times New Roman"/>
                <w:lang w:eastAsia="zh-CN"/>
              </w:rPr>
              <w:t>）</w:t>
            </w:r>
            <w:r>
              <w:rPr>
                <w:rFonts w:hint="default" w:ascii="Times New Roman" w:hAnsi="Times New Roman" w:eastAsia="新宋体" w:cs="Times New Roman"/>
              </w:rPr>
              <w:t>中推荐的工业噪声预测计算模式。噪声在传播过程中受到多种因素的干扰，使其产生衰减，根据建设项目噪声源和环境特征，预测过程中考虑了厂房等建筑物的屏障作用、空气吸收。</w:t>
            </w:r>
          </w:p>
          <w:p w14:paraId="3C0EE076">
            <w:pPr>
              <w:spacing w:line="360" w:lineRule="auto"/>
              <w:ind w:firstLine="482"/>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4"/>
                <w:lang w:val="en-US" w:eastAsia="zh-CN"/>
                <w14:textFill>
                  <w14:solidFill>
                    <w14:schemeClr w14:val="tx1"/>
                  </w14:solidFill>
                </w14:textFill>
              </w:rPr>
              <w:t>本评价根据实际情况，把</w:t>
            </w:r>
            <w:r>
              <w:rPr>
                <w:rFonts w:hint="eastAsia" w:eastAsia="新宋体" w:cs="Times New Roman"/>
                <w:color w:val="000000" w:themeColor="text1"/>
                <w:sz w:val="24"/>
                <w:szCs w:val="24"/>
                <w:lang w:val="en-US" w:eastAsia="zh-CN"/>
                <w14:textFill>
                  <w14:solidFill>
                    <w14:schemeClr w14:val="tx1"/>
                  </w14:solidFill>
                </w14:textFill>
              </w:rPr>
              <w:t>混料机、切割、成型机</w:t>
            </w:r>
            <w:r>
              <w:rPr>
                <w:rFonts w:hint="default" w:ascii="Times New Roman" w:hAnsi="Times New Roman" w:eastAsia="新宋体" w:cs="Times New Roman"/>
                <w:color w:val="000000" w:themeColor="text1"/>
                <w:sz w:val="24"/>
                <w:szCs w:val="24"/>
                <w:lang w:val="en-US" w:eastAsia="zh-CN"/>
                <w14:textFill>
                  <w14:solidFill>
                    <w14:schemeClr w14:val="tx1"/>
                  </w14:solidFill>
                </w14:textFill>
              </w:rPr>
              <w:t>噪声源叠加简化为一个点声源进行计算，</w:t>
            </w:r>
            <w:r>
              <w:rPr>
                <w:rFonts w:hint="eastAsia" w:eastAsia="新宋体" w:cs="Times New Roman"/>
                <w:color w:val="000000" w:themeColor="text1"/>
                <w:sz w:val="24"/>
                <w:szCs w:val="24"/>
                <w:lang w:val="en-US" w:eastAsia="zh-CN"/>
                <w14:textFill>
                  <w14:solidFill>
                    <w14:schemeClr w14:val="tx1"/>
                  </w14:solidFill>
                </w14:textFill>
              </w:rPr>
              <w:t>配料机简化为一个噪声源分别位于生产车间东西两侧。</w:t>
            </w:r>
            <w:r>
              <w:rPr>
                <w:rFonts w:hint="default" w:ascii="Times New Roman" w:hAnsi="Times New Roman" w:eastAsia="新宋体" w:cs="Times New Roman"/>
                <w:color w:val="000000" w:themeColor="text1"/>
                <w:sz w:val="24"/>
                <w:szCs w:val="24"/>
                <w:lang w:val="en-US" w:eastAsia="zh-CN"/>
                <w14:textFill>
                  <w14:solidFill>
                    <w14:schemeClr w14:val="tx1"/>
                  </w14:solidFill>
                </w14:textFill>
              </w:rPr>
              <w:t>再将噪声值进行能量叠加，经计算厂区内各噪声源噪声值叠加后为</w:t>
            </w:r>
            <w:r>
              <w:rPr>
                <w:rFonts w:hint="eastAsia" w:eastAsia="新宋体" w:cs="Times New Roman"/>
                <w:color w:val="000000" w:themeColor="text1"/>
                <w:sz w:val="24"/>
                <w:szCs w:val="24"/>
                <w:lang w:val="en-US" w:eastAsia="zh-CN"/>
                <w14:textFill>
                  <w14:solidFill>
                    <w14:schemeClr w14:val="tx1"/>
                  </w14:solidFill>
                </w14:textFill>
              </w:rPr>
              <w:t>70-85</w:t>
            </w:r>
            <w:r>
              <w:rPr>
                <w:rFonts w:hint="default" w:ascii="Times New Roman" w:hAnsi="Times New Roman" w:eastAsia="新宋体" w:cs="Times New Roman"/>
                <w:color w:val="000000" w:themeColor="text1"/>
                <w:sz w:val="24"/>
                <w:szCs w:val="24"/>
                <w:lang w:val="en-US" w:eastAsia="zh-CN"/>
                <w14:textFill>
                  <w14:solidFill>
                    <w14:schemeClr w14:val="tx1"/>
                  </w14:solidFill>
                </w14:textFill>
              </w:rPr>
              <w:t>dB（A）然后根据噪声衰减公式对叠加后的噪声源在不同距离的衰减量进行计算得出本项目噪声的贡献值，结果见下表。</w:t>
            </w:r>
          </w:p>
          <w:p w14:paraId="4D0E1043">
            <w:pPr>
              <w:bidi w:val="0"/>
              <w:rPr>
                <w:rFonts w:hint="default" w:ascii="Times New Roman" w:hAnsi="Times New Roman" w:eastAsia="新宋体" w:cs="Times New Roman"/>
              </w:rPr>
            </w:pPr>
            <w:r>
              <w:rPr>
                <w:rFonts w:hint="default" w:ascii="Times New Roman" w:hAnsi="Times New Roman" w:eastAsia="新宋体" w:cs="Times New Roman"/>
              </w:rPr>
              <w:t>本次预测评价采用</w:t>
            </w:r>
            <w:r>
              <w:rPr>
                <w:rFonts w:hint="default" w:ascii="Times New Roman" w:hAnsi="Times New Roman" w:eastAsia="新宋体" w:cs="Times New Roman"/>
                <w:lang w:val="en-US" w:eastAsia="zh-CN"/>
              </w:rPr>
              <w:t>环安科技在线平台噪声环境评价OnlineV4</w:t>
            </w:r>
            <w:r>
              <w:rPr>
                <w:rFonts w:hint="default" w:ascii="Times New Roman" w:hAnsi="Times New Roman" w:eastAsia="新宋体" w:cs="Times New Roman"/>
              </w:rPr>
              <w:t>，采取噪声监测数据的最大值。噪声源对</w:t>
            </w:r>
            <w:r>
              <w:rPr>
                <w:rFonts w:hint="default" w:ascii="Times New Roman" w:hAnsi="Times New Roman" w:eastAsia="新宋体" w:cs="Times New Roman"/>
                <w:lang w:val="en-US" w:eastAsia="zh-CN"/>
              </w:rPr>
              <w:t>厂界四周离散点</w:t>
            </w:r>
            <w:r>
              <w:rPr>
                <w:rFonts w:hint="default" w:ascii="Times New Roman" w:hAnsi="Times New Roman" w:eastAsia="新宋体" w:cs="Times New Roman"/>
              </w:rPr>
              <w:t>的影响预测结果见表</w:t>
            </w:r>
            <w:r>
              <w:rPr>
                <w:rFonts w:hint="eastAsia" w:ascii="Times New Roman" w:hAnsi="Times New Roman" w:eastAsia="新宋体" w:cs="Times New Roman"/>
                <w:lang w:val="en-US" w:eastAsia="zh-CN"/>
              </w:rPr>
              <w:t>4-</w:t>
            </w:r>
            <w:r>
              <w:rPr>
                <w:rFonts w:hint="eastAsia" w:eastAsia="新宋体" w:cs="Times New Roman"/>
                <w:lang w:val="en-US" w:eastAsia="zh-CN"/>
              </w:rPr>
              <w:t>12</w:t>
            </w:r>
            <w:r>
              <w:rPr>
                <w:rFonts w:hint="default" w:ascii="Times New Roman" w:hAnsi="Times New Roman" w:eastAsia="新宋体" w:cs="Times New Roman"/>
              </w:rPr>
              <w:t>。</w:t>
            </w:r>
          </w:p>
          <w:p w14:paraId="37AA364F">
            <w:pPr>
              <w:spacing w:before="139" w:line="319" w:lineRule="exact"/>
              <w:ind w:left="0" w:leftChars="0" w:firstLine="0" w:firstLineChars="0"/>
              <w:jc w:val="center"/>
              <w:rPr>
                <w:rFonts w:hint="default" w:ascii="Times New Roman" w:hAnsi="Times New Roman" w:eastAsia="新宋体" w:cs="Times New Roman"/>
                <w:sz w:val="21"/>
                <w:szCs w:val="21"/>
                <w:lang w:eastAsia="zh-CN"/>
              </w:rPr>
            </w:pPr>
            <w:r>
              <w:rPr>
                <w:rFonts w:hint="default" w:ascii="Times New Roman" w:hAnsi="Times New Roman" w:eastAsia="新宋体" w:cs="Times New Roman"/>
                <w:spacing w:val="1"/>
                <w:position w:val="2"/>
                <w:sz w:val="21"/>
                <w:szCs w:val="21"/>
                <w14:textOutline w14:w="4344" w14:cap="flat" w14:cmpd="sng">
                  <w14:solidFill>
                    <w14:srgbClr w14:val="000000"/>
                  </w14:solidFill>
                  <w14:prstDash w14:val="solid"/>
                  <w14:miter w14:val="0"/>
                </w14:textOutline>
              </w:rPr>
              <w:t>表</w:t>
            </w:r>
            <w:r>
              <w:rPr>
                <w:rFonts w:hint="eastAsia" w:ascii="Times New Roman" w:hAnsi="Times New Roman" w:eastAsia="新宋体" w:cs="Times New Roman"/>
                <w:b/>
                <w:bCs/>
                <w:spacing w:val="1"/>
                <w:position w:val="2"/>
                <w:sz w:val="21"/>
                <w:szCs w:val="21"/>
                <w:lang w:val="en-US" w:eastAsia="zh-CN"/>
              </w:rPr>
              <w:t>4-</w:t>
            </w:r>
            <w:r>
              <w:rPr>
                <w:rFonts w:hint="eastAsia" w:eastAsia="新宋体" w:cs="Times New Roman"/>
                <w:b/>
                <w:bCs/>
                <w:spacing w:val="1"/>
                <w:position w:val="2"/>
                <w:sz w:val="21"/>
                <w:szCs w:val="21"/>
                <w:lang w:val="en-US" w:eastAsia="zh-CN"/>
              </w:rPr>
              <w:t>12</w:t>
            </w:r>
            <w:r>
              <w:rPr>
                <w:rFonts w:hint="default" w:ascii="Times New Roman" w:hAnsi="Times New Roman" w:eastAsia="新宋体" w:cs="Times New Roman"/>
                <w:spacing w:val="1"/>
                <w:position w:val="2"/>
                <w:sz w:val="21"/>
                <w:szCs w:val="21"/>
                <w14:textOutline w14:w="4344" w14:cap="flat" w14:cmpd="sng">
                  <w14:solidFill>
                    <w14:srgbClr w14:val="000000"/>
                  </w14:solidFill>
                  <w14:prstDash w14:val="solid"/>
                  <w14:miter w14:val="0"/>
                </w14:textOutline>
              </w:rPr>
              <w:t>厂界噪声预测结果单位：</w:t>
            </w:r>
            <w:r>
              <w:rPr>
                <w:rFonts w:hint="default" w:ascii="Times New Roman" w:hAnsi="Times New Roman" w:eastAsia="新宋体" w:cs="Times New Roman"/>
                <w:b/>
                <w:bCs/>
                <w:position w:val="2"/>
                <w:sz w:val="21"/>
                <w:szCs w:val="21"/>
              </w:rPr>
              <w:t>dB</w:t>
            </w:r>
            <w:r>
              <w:rPr>
                <w:rFonts w:hint="default" w:ascii="Times New Roman" w:hAnsi="Times New Roman" w:eastAsia="新宋体" w:cs="Times New Roman"/>
                <w:b/>
                <w:bCs/>
                <w:position w:val="2"/>
                <w:sz w:val="21"/>
                <w:szCs w:val="21"/>
                <w:lang w:eastAsia="zh-CN"/>
              </w:rPr>
              <w:t>（</w:t>
            </w:r>
            <w:r>
              <w:rPr>
                <w:rFonts w:hint="default" w:ascii="Times New Roman" w:hAnsi="Times New Roman" w:eastAsia="新宋体" w:cs="Times New Roman"/>
                <w:b/>
                <w:bCs/>
                <w:position w:val="2"/>
                <w:sz w:val="21"/>
                <w:szCs w:val="21"/>
              </w:rPr>
              <w:t>A</w:t>
            </w:r>
            <w:r>
              <w:rPr>
                <w:rFonts w:hint="default" w:ascii="Times New Roman" w:hAnsi="Times New Roman" w:eastAsia="新宋体" w:cs="Times New Roman"/>
                <w:b/>
                <w:bCs/>
                <w:position w:val="2"/>
                <w:sz w:val="21"/>
                <w:szCs w:val="21"/>
                <w:lang w:eastAsia="zh-CN"/>
              </w:rPr>
              <w:t>）</w:t>
            </w:r>
          </w:p>
          <w:tbl>
            <w:tblPr>
              <w:tblStyle w:val="83"/>
              <w:tblW w:w="4977"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684"/>
              <w:gridCol w:w="1228"/>
              <w:gridCol w:w="1692"/>
              <w:gridCol w:w="1958"/>
              <w:gridCol w:w="1267"/>
            </w:tblGrid>
            <w:tr w14:paraId="6E8D35F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3" w:hRule="atLeast"/>
                <w:jc w:val="center"/>
              </w:trPr>
              <w:tc>
                <w:tcPr>
                  <w:tcW w:w="1075" w:type="pct"/>
                  <w:tcBorders>
                    <w:tl2br w:val="nil"/>
                    <w:tr2bl w:val="nil"/>
                  </w:tcBorders>
                  <w:vAlign w:val="center"/>
                </w:tcPr>
                <w:p w14:paraId="616F629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预测点位置</w:t>
                  </w:r>
                </w:p>
              </w:tc>
              <w:tc>
                <w:tcPr>
                  <w:tcW w:w="784" w:type="pct"/>
                  <w:tcBorders>
                    <w:tl2br w:val="nil"/>
                    <w:tr2bl w:val="nil"/>
                  </w:tcBorders>
                  <w:vAlign w:val="center"/>
                </w:tcPr>
                <w:p w14:paraId="4072DED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噪声贡献值</w:t>
                  </w:r>
                </w:p>
              </w:tc>
              <w:tc>
                <w:tcPr>
                  <w:tcW w:w="1080" w:type="pct"/>
                  <w:tcBorders>
                    <w:tl2br w:val="nil"/>
                    <w:tr2bl w:val="nil"/>
                  </w:tcBorders>
                  <w:vAlign w:val="center"/>
                </w:tcPr>
                <w:p w14:paraId="3BB87A0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评价标准（昼间）</w:t>
                  </w:r>
                </w:p>
              </w:tc>
              <w:tc>
                <w:tcPr>
                  <w:tcW w:w="1250" w:type="pct"/>
                  <w:tcBorders>
                    <w:tl2br w:val="nil"/>
                    <w:tr2bl w:val="nil"/>
                  </w:tcBorders>
                  <w:vAlign w:val="center"/>
                </w:tcPr>
                <w:p w14:paraId="1A70883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评价标准（夜间）</w:t>
                  </w:r>
                </w:p>
              </w:tc>
              <w:tc>
                <w:tcPr>
                  <w:tcW w:w="809" w:type="pct"/>
                  <w:tcBorders>
                    <w:tl2br w:val="nil"/>
                    <w:tr2bl w:val="nil"/>
                  </w:tcBorders>
                  <w:vAlign w:val="center"/>
                </w:tcPr>
                <w:p w14:paraId="7E62BA6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评价结果</w:t>
                  </w:r>
                </w:p>
              </w:tc>
            </w:tr>
            <w:tr w14:paraId="712C991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2" w:hRule="atLeast"/>
                <w:jc w:val="center"/>
              </w:trPr>
              <w:tc>
                <w:tcPr>
                  <w:tcW w:w="1075" w:type="pct"/>
                  <w:tcBorders>
                    <w:tl2br w:val="nil"/>
                    <w:tr2bl w:val="nil"/>
                  </w:tcBorders>
                  <w:vAlign w:val="center"/>
                </w:tcPr>
                <w:p w14:paraId="2AB7474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厂区东侧</w:t>
                  </w:r>
                </w:p>
              </w:tc>
              <w:tc>
                <w:tcPr>
                  <w:tcW w:w="784" w:type="pct"/>
                  <w:tcBorders>
                    <w:tl2br w:val="nil"/>
                    <w:tr2bl w:val="nil"/>
                  </w:tcBorders>
                  <w:vAlign w:val="center"/>
                </w:tcPr>
                <w:p w14:paraId="6E1F7F9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eastAsia" w:eastAsia="新宋体" w:cs="Times New Roman"/>
                      <w:color w:val="auto"/>
                      <w:sz w:val="21"/>
                      <w:szCs w:val="21"/>
                      <w:u w:val="none"/>
                      <w:lang w:val="en-US" w:eastAsia="zh-CN"/>
                    </w:rPr>
                    <w:t>47.33</w:t>
                  </w:r>
                </w:p>
              </w:tc>
              <w:tc>
                <w:tcPr>
                  <w:tcW w:w="1080" w:type="pct"/>
                  <w:vMerge w:val="restart"/>
                  <w:tcBorders>
                    <w:tl2br w:val="nil"/>
                    <w:tr2bl w:val="nil"/>
                  </w:tcBorders>
                  <w:vAlign w:val="center"/>
                </w:tcPr>
                <w:p w14:paraId="66F16D1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≤6</w:t>
                  </w:r>
                  <w:r>
                    <w:rPr>
                      <w:rFonts w:hint="eastAsia" w:eastAsia="新宋体" w:cs="Times New Roman"/>
                      <w:color w:val="auto"/>
                      <w:sz w:val="21"/>
                      <w:szCs w:val="21"/>
                      <w:u w:val="none"/>
                      <w:lang w:val="en-US" w:eastAsia="zh-CN"/>
                    </w:rPr>
                    <w:t>0</w:t>
                  </w:r>
                </w:p>
              </w:tc>
              <w:tc>
                <w:tcPr>
                  <w:tcW w:w="1250" w:type="pct"/>
                  <w:vMerge w:val="restart"/>
                  <w:tcBorders>
                    <w:tl2br w:val="nil"/>
                    <w:tr2bl w:val="nil"/>
                  </w:tcBorders>
                  <w:vAlign w:val="center"/>
                </w:tcPr>
                <w:p w14:paraId="3BBDD4D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kern w:val="2"/>
                      <w:sz w:val="21"/>
                      <w:szCs w:val="21"/>
                      <w:u w:val="none"/>
                      <w:lang w:val="en-US" w:eastAsia="zh-CN" w:bidi="ar-SA"/>
                    </w:rPr>
                  </w:pPr>
                  <w:r>
                    <w:rPr>
                      <w:rFonts w:hint="eastAsia" w:ascii="Times New Roman" w:hAnsi="Times New Roman" w:eastAsia="新宋体" w:cs="Times New Roman"/>
                      <w:color w:val="auto"/>
                      <w:kern w:val="2"/>
                      <w:sz w:val="21"/>
                      <w:szCs w:val="21"/>
                      <w:u w:val="none"/>
                      <w:lang w:val="en-US" w:eastAsia="zh-CN" w:bidi="ar-SA"/>
                    </w:rPr>
                    <w:t>夜间不生产，不做预测</w:t>
                  </w:r>
                </w:p>
              </w:tc>
              <w:tc>
                <w:tcPr>
                  <w:tcW w:w="809" w:type="pct"/>
                  <w:tcBorders>
                    <w:tl2br w:val="nil"/>
                    <w:tr2bl w:val="nil"/>
                  </w:tcBorders>
                  <w:vAlign w:val="center"/>
                </w:tcPr>
                <w:p w14:paraId="33EFC80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达标</w:t>
                  </w:r>
                </w:p>
              </w:tc>
            </w:tr>
            <w:tr w14:paraId="5E0E039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9" w:hRule="atLeast"/>
                <w:jc w:val="center"/>
              </w:trPr>
              <w:tc>
                <w:tcPr>
                  <w:tcW w:w="1075" w:type="pct"/>
                  <w:tcBorders>
                    <w:tl2br w:val="nil"/>
                    <w:tr2bl w:val="nil"/>
                  </w:tcBorders>
                  <w:vAlign w:val="center"/>
                </w:tcPr>
                <w:p w14:paraId="6128860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厂区北侧</w:t>
                  </w:r>
                </w:p>
              </w:tc>
              <w:tc>
                <w:tcPr>
                  <w:tcW w:w="784" w:type="pct"/>
                  <w:tcBorders>
                    <w:tl2br w:val="nil"/>
                    <w:tr2bl w:val="nil"/>
                  </w:tcBorders>
                  <w:vAlign w:val="center"/>
                </w:tcPr>
                <w:p w14:paraId="07C2264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eastAsia" w:eastAsia="新宋体" w:cs="Times New Roman"/>
                      <w:color w:val="auto"/>
                      <w:sz w:val="21"/>
                      <w:szCs w:val="21"/>
                      <w:u w:val="none"/>
                      <w:lang w:val="en-US" w:eastAsia="zh-CN"/>
                    </w:rPr>
                    <w:t>51.14</w:t>
                  </w:r>
                </w:p>
              </w:tc>
              <w:tc>
                <w:tcPr>
                  <w:tcW w:w="1080" w:type="pct"/>
                  <w:vMerge w:val="continue"/>
                  <w:tcBorders>
                    <w:tl2br w:val="nil"/>
                    <w:tr2bl w:val="nil"/>
                  </w:tcBorders>
                  <w:vAlign w:val="center"/>
                </w:tcPr>
                <w:p w14:paraId="44ECF23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p>
              </w:tc>
              <w:tc>
                <w:tcPr>
                  <w:tcW w:w="1250" w:type="pct"/>
                  <w:vMerge w:val="continue"/>
                  <w:tcBorders>
                    <w:tl2br w:val="nil"/>
                    <w:tr2bl w:val="nil"/>
                  </w:tcBorders>
                  <w:vAlign w:val="center"/>
                </w:tcPr>
                <w:p w14:paraId="3ABB110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p>
              </w:tc>
              <w:tc>
                <w:tcPr>
                  <w:tcW w:w="809" w:type="pct"/>
                  <w:tcBorders>
                    <w:tl2br w:val="nil"/>
                    <w:tr2bl w:val="nil"/>
                  </w:tcBorders>
                  <w:vAlign w:val="center"/>
                </w:tcPr>
                <w:p w14:paraId="0D2D215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达标</w:t>
                  </w:r>
                </w:p>
              </w:tc>
            </w:tr>
            <w:tr w14:paraId="614D5BD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2" w:hRule="atLeast"/>
                <w:jc w:val="center"/>
              </w:trPr>
              <w:tc>
                <w:tcPr>
                  <w:tcW w:w="1075" w:type="pct"/>
                  <w:tcBorders>
                    <w:tl2br w:val="nil"/>
                    <w:tr2bl w:val="nil"/>
                  </w:tcBorders>
                  <w:vAlign w:val="center"/>
                </w:tcPr>
                <w:p w14:paraId="6A53FCD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厂区西侧</w:t>
                  </w:r>
                </w:p>
              </w:tc>
              <w:tc>
                <w:tcPr>
                  <w:tcW w:w="784" w:type="pct"/>
                  <w:tcBorders>
                    <w:tl2br w:val="nil"/>
                    <w:tr2bl w:val="nil"/>
                  </w:tcBorders>
                  <w:vAlign w:val="center"/>
                </w:tcPr>
                <w:p w14:paraId="739965A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eastAsia" w:eastAsia="新宋体" w:cs="Times New Roman"/>
                      <w:color w:val="auto"/>
                      <w:sz w:val="21"/>
                      <w:szCs w:val="21"/>
                      <w:u w:val="none"/>
                      <w:lang w:val="en-US" w:eastAsia="zh-CN"/>
                    </w:rPr>
                    <w:t>42.48</w:t>
                  </w:r>
                </w:p>
              </w:tc>
              <w:tc>
                <w:tcPr>
                  <w:tcW w:w="1080" w:type="pct"/>
                  <w:vMerge w:val="continue"/>
                  <w:tcBorders>
                    <w:tl2br w:val="nil"/>
                    <w:tr2bl w:val="nil"/>
                  </w:tcBorders>
                  <w:vAlign w:val="center"/>
                </w:tcPr>
                <w:p w14:paraId="0D9D4CF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p>
              </w:tc>
              <w:tc>
                <w:tcPr>
                  <w:tcW w:w="1250" w:type="pct"/>
                  <w:vMerge w:val="continue"/>
                  <w:tcBorders>
                    <w:tl2br w:val="nil"/>
                    <w:tr2bl w:val="nil"/>
                  </w:tcBorders>
                  <w:vAlign w:val="center"/>
                </w:tcPr>
                <w:p w14:paraId="0B6A68E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p>
              </w:tc>
              <w:tc>
                <w:tcPr>
                  <w:tcW w:w="809" w:type="pct"/>
                  <w:tcBorders>
                    <w:tl2br w:val="nil"/>
                    <w:tr2bl w:val="nil"/>
                  </w:tcBorders>
                  <w:vAlign w:val="center"/>
                </w:tcPr>
                <w:p w14:paraId="1994EB9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达标</w:t>
                  </w:r>
                </w:p>
              </w:tc>
            </w:tr>
            <w:tr w14:paraId="2965EDE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1" w:hRule="atLeast"/>
                <w:jc w:val="center"/>
              </w:trPr>
              <w:tc>
                <w:tcPr>
                  <w:tcW w:w="1075" w:type="pct"/>
                  <w:tcBorders>
                    <w:tl2br w:val="nil"/>
                    <w:tr2bl w:val="nil"/>
                  </w:tcBorders>
                  <w:vAlign w:val="center"/>
                </w:tcPr>
                <w:p w14:paraId="6B47E59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厂区南侧</w:t>
                  </w:r>
                </w:p>
              </w:tc>
              <w:tc>
                <w:tcPr>
                  <w:tcW w:w="784" w:type="pct"/>
                  <w:tcBorders>
                    <w:tl2br w:val="nil"/>
                    <w:tr2bl w:val="nil"/>
                  </w:tcBorders>
                  <w:vAlign w:val="center"/>
                </w:tcPr>
                <w:p w14:paraId="054A540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eastAsia" w:eastAsia="新宋体" w:cs="Times New Roman"/>
                      <w:color w:val="auto"/>
                      <w:sz w:val="21"/>
                      <w:szCs w:val="21"/>
                      <w:u w:val="none"/>
                      <w:lang w:val="en-US" w:eastAsia="zh-CN"/>
                    </w:rPr>
                    <w:t>38.14</w:t>
                  </w:r>
                </w:p>
              </w:tc>
              <w:tc>
                <w:tcPr>
                  <w:tcW w:w="1080" w:type="pct"/>
                  <w:vMerge w:val="continue"/>
                  <w:tcBorders>
                    <w:tl2br w:val="nil"/>
                    <w:tr2bl w:val="nil"/>
                  </w:tcBorders>
                  <w:vAlign w:val="center"/>
                </w:tcPr>
                <w:p w14:paraId="44A7C98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kern w:val="2"/>
                      <w:sz w:val="21"/>
                      <w:szCs w:val="21"/>
                      <w:u w:val="none"/>
                      <w:lang w:val="en-US" w:eastAsia="zh-CN" w:bidi="ar-SA"/>
                    </w:rPr>
                  </w:pPr>
                </w:p>
              </w:tc>
              <w:tc>
                <w:tcPr>
                  <w:tcW w:w="1250" w:type="pct"/>
                  <w:vMerge w:val="continue"/>
                  <w:tcBorders>
                    <w:tl2br w:val="nil"/>
                    <w:tr2bl w:val="nil"/>
                  </w:tcBorders>
                  <w:vAlign w:val="center"/>
                </w:tcPr>
                <w:p w14:paraId="69E43B2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kern w:val="2"/>
                      <w:sz w:val="21"/>
                      <w:szCs w:val="21"/>
                      <w:u w:val="none"/>
                      <w:lang w:val="en-US" w:eastAsia="zh-CN" w:bidi="ar-SA"/>
                    </w:rPr>
                  </w:pPr>
                </w:p>
              </w:tc>
              <w:tc>
                <w:tcPr>
                  <w:tcW w:w="809" w:type="pct"/>
                  <w:tcBorders>
                    <w:tl2br w:val="nil"/>
                    <w:tr2bl w:val="nil"/>
                  </w:tcBorders>
                  <w:vAlign w:val="center"/>
                </w:tcPr>
                <w:p w14:paraId="5922666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达标</w:t>
                  </w:r>
                </w:p>
              </w:tc>
            </w:tr>
          </w:tbl>
          <w:p w14:paraId="7458E25E">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eastAsia="新宋体" w:cs="Times New Roman"/>
                <w:kern w:val="2"/>
                <w:sz w:val="24"/>
                <w:szCs w:val="24"/>
                <w:lang w:val="en-US" w:eastAsia="zh-CN" w:bidi="ar-SA"/>
              </w:rPr>
            </w:pPr>
            <w:r>
              <w:rPr>
                <w:rFonts w:hint="default" w:ascii="Times New Roman" w:hAnsi="Times New Roman" w:eastAsia="新宋体" w:cs="Times New Roman"/>
                <w:kern w:val="2"/>
                <w:sz w:val="24"/>
                <w:szCs w:val="24"/>
                <w:lang w:val="en-US" w:eastAsia="zh-CN" w:bidi="ar-SA"/>
              </w:rPr>
              <w:t>从表中可见：由于企业对</w:t>
            </w:r>
            <w:r>
              <w:rPr>
                <w:rFonts w:hint="eastAsia" w:eastAsia="新宋体" w:cs="Times New Roman"/>
                <w:kern w:val="2"/>
                <w:sz w:val="24"/>
                <w:szCs w:val="24"/>
                <w:lang w:val="en-US" w:eastAsia="zh-CN" w:bidi="ar-SA"/>
              </w:rPr>
              <w:t>生产车间东侧高噪声</w:t>
            </w:r>
            <w:r>
              <w:rPr>
                <w:rFonts w:hint="default" w:ascii="Times New Roman" w:hAnsi="Times New Roman" w:eastAsia="新宋体" w:cs="Times New Roman"/>
                <w:kern w:val="2"/>
                <w:sz w:val="24"/>
                <w:szCs w:val="24"/>
                <w:lang w:val="en-US" w:eastAsia="zh-CN" w:bidi="ar-SA"/>
              </w:rPr>
              <w:t>设备</w:t>
            </w:r>
            <w:r>
              <w:rPr>
                <w:rFonts w:hint="eastAsia" w:eastAsia="新宋体" w:cs="Times New Roman"/>
                <w:kern w:val="2"/>
                <w:sz w:val="24"/>
                <w:szCs w:val="24"/>
                <w:lang w:val="en-US" w:eastAsia="zh-CN" w:bidi="ar-SA"/>
              </w:rPr>
              <w:t>集中布局，</w:t>
            </w:r>
            <w:r>
              <w:rPr>
                <w:rFonts w:hint="default" w:ascii="Times New Roman" w:hAnsi="Times New Roman" w:eastAsia="新宋体" w:cs="Times New Roman"/>
                <w:kern w:val="2"/>
                <w:sz w:val="24"/>
                <w:szCs w:val="24"/>
                <w:lang w:val="en-US" w:eastAsia="zh-CN" w:bidi="ar-SA"/>
              </w:rPr>
              <w:t>装置采取减振、消声、隔声等降噪措施，将使噪声源的噪声影响大大降低，且</w:t>
            </w:r>
            <w:r>
              <w:rPr>
                <w:rFonts w:hint="eastAsia" w:eastAsia="新宋体" w:cs="Times New Roman"/>
                <w:kern w:val="2"/>
                <w:sz w:val="24"/>
                <w:szCs w:val="24"/>
                <w:lang w:val="en-US" w:eastAsia="zh-CN" w:bidi="ar-SA"/>
              </w:rPr>
              <w:t>噪声源</w:t>
            </w:r>
            <w:r>
              <w:rPr>
                <w:rFonts w:hint="default" w:ascii="Times New Roman" w:hAnsi="Times New Roman" w:eastAsia="新宋体" w:cs="Times New Roman"/>
                <w:kern w:val="2"/>
                <w:sz w:val="24"/>
                <w:szCs w:val="24"/>
                <w:lang w:val="en-US" w:eastAsia="zh-CN" w:bidi="ar-SA"/>
              </w:rPr>
              <w:t>距厂界均有一定距离，能有效降低对厂界的影响，对于运输车辆要加强管理，运输时间尽量安排在昼间，禁止鸣笛，大型加气车辆场内车速控制在5km/h以下，</w:t>
            </w:r>
            <w:r>
              <w:rPr>
                <w:rFonts w:hint="eastAsia" w:eastAsia="新宋体" w:cs="Times New Roman"/>
                <w:kern w:val="2"/>
                <w:sz w:val="24"/>
                <w:szCs w:val="24"/>
                <w:lang w:val="en-US" w:eastAsia="zh-CN" w:bidi="ar-SA"/>
              </w:rPr>
              <w:t>叉车等</w:t>
            </w:r>
            <w:r>
              <w:rPr>
                <w:rFonts w:hint="default" w:ascii="Times New Roman" w:hAnsi="Times New Roman" w:eastAsia="新宋体" w:cs="Times New Roman"/>
                <w:kern w:val="2"/>
                <w:sz w:val="24"/>
                <w:szCs w:val="24"/>
                <w:lang w:val="en-US" w:eastAsia="zh-CN" w:bidi="ar-SA"/>
              </w:rPr>
              <w:t>小型车控制在10km/h以下。采取相应措施后本项目厂界噪声可以达到《工业企业厂界环境噪声排放标准》（GB12348-2008）</w:t>
            </w:r>
            <w:r>
              <w:rPr>
                <w:rFonts w:hint="eastAsia" w:eastAsia="新宋体" w:cs="Times New Roman"/>
                <w:kern w:val="2"/>
                <w:sz w:val="24"/>
                <w:szCs w:val="24"/>
                <w:lang w:val="en-US" w:eastAsia="zh-CN" w:bidi="ar-SA"/>
              </w:rPr>
              <w:t>2</w:t>
            </w:r>
            <w:r>
              <w:rPr>
                <w:rFonts w:hint="default" w:ascii="Times New Roman" w:hAnsi="Times New Roman" w:eastAsia="新宋体" w:cs="Times New Roman"/>
                <w:kern w:val="2"/>
                <w:sz w:val="24"/>
                <w:szCs w:val="24"/>
                <w:lang w:val="en-US" w:eastAsia="zh-CN" w:bidi="ar-SA"/>
              </w:rPr>
              <w:t>类标准限值。</w:t>
            </w:r>
          </w:p>
          <w:p w14:paraId="47790D63">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eastAsia="新宋体" w:cs="Times New Roman"/>
                <w:b/>
                <w:bCs/>
                <w:kern w:val="2"/>
                <w:sz w:val="24"/>
                <w:szCs w:val="24"/>
                <w:lang w:val="en-US" w:eastAsia="zh-CN" w:bidi="ar-SA"/>
              </w:rPr>
            </w:pPr>
            <w:r>
              <w:rPr>
                <w:rFonts w:hint="default" w:ascii="Times New Roman" w:hAnsi="Times New Roman" w:eastAsia="新宋体" w:cs="Times New Roman"/>
                <w:b/>
                <w:bCs/>
                <w:kern w:val="2"/>
                <w:sz w:val="24"/>
                <w:szCs w:val="24"/>
                <w:lang w:val="en-US" w:eastAsia="zh-CN" w:bidi="ar-SA"/>
              </w:rPr>
              <w:t>3.2噪声污染治理措施</w:t>
            </w:r>
          </w:p>
          <w:p w14:paraId="3753B1A1">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为确保厂界噪声达标排放，建设单位需采取必要的隔声、减振等降噪措施，建议项目单位采取以下噪声治理措施：</w:t>
            </w:r>
          </w:p>
          <w:p w14:paraId="2B3223AE">
            <w:pPr>
              <w:pStyle w:val="84"/>
              <w:keepNext w:val="0"/>
              <w:keepLines w:val="0"/>
              <w:pageBreakBefore w:val="0"/>
              <w:kinsoku/>
              <w:wordWrap/>
              <w:overflowPunct/>
              <w:topLinePunct w:val="0"/>
              <w:autoSpaceDE/>
              <w:autoSpaceDN/>
              <w:bidi w:val="0"/>
              <w:adjustRightInd/>
              <w:snapToGrid/>
              <w:spacing w:line="360" w:lineRule="auto"/>
              <w:ind w:left="0"/>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（1）规划防治措施</w:t>
            </w:r>
          </w:p>
          <w:p w14:paraId="1B277379">
            <w:pPr>
              <w:pStyle w:val="84"/>
              <w:keepNext w:val="0"/>
              <w:keepLines w:val="0"/>
              <w:pageBreakBefore w:val="0"/>
              <w:kinsoku/>
              <w:wordWrap/>
              <w:overflowPunct/>
              <w:topLinePunct w:val="0"/>
              <w:autoSpaceDE/>
              <w:autoSpaceDN/>
              <w:bidi w:val="0"/>
              <w:adjustRightInd/>
              <w:snapToGrid/>
              <w:spacing w:line="360" w:lineRule="auto"/>
              <w:ind w:left="0"/>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合理布置噪声源：</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钢筋调直、折弯和切割</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设备尽量布设在厂房内，</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成型机、搅拌机等</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高噪声设备尽量布设在远离厂界的位置</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（本环评建议集中布置在生产车间东侧）</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w:t>
            </w:r>
          </w:p>
          <w:p w14:paraId="2722A914">
            <w:pPr>
              <w:pStyle w:val="84"/>
              <w:keepNext w:val="0"/>
              <w:keepLines w:val="0"/>
              <w:pageBreakBefore w:val="0"/>
              <w:kinsoku/>
              <w:wordWrap/>
              <w:overflowPunct/>
              <w:topLinePunct w:val="0"/>
              <w:autoSpaceDE/>
              <w:autoSpaceDN/>
              <w:bidi w:val="0"/>
              <w:adjustRightInd/>
              <w:snapToGrid/>
              <w:spacing w:line="360" w:lineRule="auto"/>
              <w:ind w:left="0"/>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（2）工程防范措施</w:t>
            </w:r>
          </w:p>
          <w:p w14:paraId="0A051A66">
            <w:pPr>
              <w:pStyle w:val="84"/>
              <w:keepNext w:val="0"/>
              <w:keepLines w:val="0"/>
              <w:pageBreakBefore w:val="0"/>
              <w:kinsoku/>
              <w:wordWrap/>
              <w:overflowPunct/>
              <w:topLinePunct w:val="0"/>
              <w:autoSpaceDE/>
              <w:autoSpaceDN/>
              <w:bidi w:val="0"/>
              <w:adjustRightInd/>
              <w:snapToGrid/>
              <w:spacing w:line="360" w:lineRule="auto"/>
              <w:ind w:left="0"/>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①设备选型：在保证工艺生产的同时注意选用低噪声的生产设备；</w:t>
            </w:r>
          </w:p>
          <w:p w14:paraId="2B45B346">
            <w:pPr>
              <w:pStyle w:val="84"/>
              <w:keepNext w:val="0"/>
              <w:keepLines w:val="0"/>
              <w:pageBreakBefore w:val="0"/>
              <w:kinsoku/>
              <w:wordWrap/>
              <w:overflowPunct/>
              <w:topLinePunct w:val="0"/>
              <w:autoSpaceDE/>
              <w:autoSpaceDN/>
              <w:bidi w:val="0"/>
              <w:adjustRightInd/>
              <w:snapToGrid/>
              <w:spacing w:line="360" w:lineRule="auto"/>
              <w:ind w:left="0"/>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②墙体隔声：将产生噪声的设备尽量安置在室内；</w:t>
            </w:r>
          </w:p>
          <w:p w14:paraId="09978C50">
            <w:pPr>
              <w:pStyle w:val="84"/>
              <w:keepNext w:val="0"/>
              <w:keepLines w:val="0"/>
              <w:pageBreakBefore w:val="0"/>
              <w:kinsoku/>
              <w:wordWrap/>
              <w:overflowPunct/>
              <w:topLinePunct w:val="0"/>
              <w:autoSpaceDE/>
              <w:autoSpaceDN/>
              <w:bidi w:val="0"/>
              <w:adjustRightInd/>
              <w:snapToGrid/>
              <w:spacing w:line="360" w:lineRule="auto"/>
              <w:ind w:left="0"/>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③基础减震：对高噪声设备进行基础减震处理。</w:t>
            </w:r>
          </w:p>
          <w:p w14:paraId="3D1C7E52">
            <w:pPr>
              <w:pStyle w:val="84"/>
              <w:keepNext w:val="0"/>
              <w:keepLines w:val="0"/>
              <w:pageBreakBefore w:val="0"/>
              <w:kinsoku/>
              <w:wordWrap/>
              <w:overflowPunct/>
              <w:topLinePunct w:val="0"/>
              <w:autoSpaceDE/>
              <w:autoSpaceDN/>
              <w:bidi w:val="0"/>
              <w:adjustRightInd/>
              <w:snapToGrid/>
              <w:spacing w:line="360" w:lineRule="auto"/>
              <w:ind w:left="0"/>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（3）管理及其他措施</w:t>
            </w:r>
          </w:p>
          <w:p w14:paraId="3228DD29">
            <w:pPr>
              <w:pStyle w:val="84"/>
              <w:keepNext w:val="0"/>
              <w:keepLines w:val="0"/>
              <w:pageBreakBefore w:val="0"/>
              <w:kinsoku/>
              <w:wordWrap/>
              <w:overflowPunct/>
              <w:topLinePunct w:val="0"/>
              <w:autoSpaceDE/>
              <w:autoSpaceDN/>
              <w:bidi w:val="0"/>
              <w:adjustRightInd/>
              <w:snapToGrid/>
              <w:spacing w:line="360" w:lineRule="auto"/>
              <w:ind w:left="0"/>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①加强对降噪减噪设施的运行使用、维护保养的管理，制定管理方案；</w:t>
            </w:r>
          </w:p>
          <w:p w14:paraId="47F24EC8">
            <w:pPr>
              <w:pStyle w:val="84"/>
              <w:keepNext w:val="0"/>
              <w:keepLines w:val="0"/>
              <w:pageBreakBefore w:val="0"/>
              <w:kinsoku/>
              <w:wordWrap/>
              <w:overflowPunct/>
              <w:topLinePunct w:val="0"/>
              <w:autoSpaceDE/>
              <w:autoSpaceDN/>
              <w:bidi w:val="0"/>
              <w:adjustRightInd/>
              <w:snapToGrid/>
              <w:spacing w:line="360" w:lineRule="auto"/>
              <w:ind w:left="0"/>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②加强噪声防治措施，禁止野蛮装卸、采取先进装卸工艺、车间内运输采用叉车等传输装置，避免运输中高落差翻滚等措施来保证厂界噪声达标。</w:t>
            </w:r>
          </w:p>
          <w:p w14:paraId="44BE1759">
            <w:pPr>
              <w:pStyle w:val="84"/>
              <w:keepNext w:val="0"/>
              <w:keepLines w:val="0"/>
              <w:pageBreakBefore w:val="0"/>
              <w:kinsoku/>
              <w:wordWrap/>
              <w:overflowPunct/>
              <w:topLinePunct w:val="0"/>
              <w:autoSpaceDE/>
              <w:autoSpaceDN/>
              <w:bidi w:val="0"/>
              <w:adjustRightInd/>
              <w:snapToGrid/>
              <w:spacing w:line="360" w:lineRule="auto"/>
              <w:ind w:left="0"/>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③加强管理，对高噪声设备区予以</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标识</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，并规定操作规程，避免操作引起的高噪声污染。</w:t>
            </w:r>
          </w:p>
          <w:p w14:paraId="7AA5C5DF">
            <w:pPr>
              <w:keepNext w:val="0"/>
              <w:keepLines w:val="0"/>
              <w:suppressLineNumbers w:val="0"/>
              <w:spacing w:before="0" w:beforeAutospacing="0" w:after="0" w:afterAutospacing="0" w:line="360" w:lineRule="auto"/>
              <w:ind w:left="0" w:right="0"/>
              <w:rPr>
                <w:rFonts w:hint="default" w:ascii="Times New Roman" w:hAnsi="Times New Roman" w:eastAsia="新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新宋体" w:cs="Times New Roman"/>
                <w:b/>
                <w:bCs/>
                <w:kern w:val="2"/>
                <w:sz w:val="24"/>
                <w:szCs w:val="24"/>
                <w:lang w:val="en-US" w:eastAsia="zh-CN" w:bidi="ar-SA"/>
              </w:rPr>
              <w:t>3.</w:t>
            </w:r>
            <w:r>
              <w:rPr>
                <w:rFonts w:hint="eastAsia" w:ascii="Times New Roman" w:hAnsi="Times New Roman" w:eastAsia="新宋体" w:cs="Times New Roman"/>
                <w:b/>
                <w:bCs/>
                <w:kern w:val="2"/>
                <w:sz w:val="24"/>
                <w:szCs w:val="24"/>
                <w:lang w:val="en-US" w:eastAsia="zh-CN" w:bidi="ar-SA"/>
              </w:rPr>
              <w:t>3</w:t>
            </w:r>
            <w:r>
              <w:rPr>
                <w:rFonts w:hint="default" w:ascii="Times New Roman" w:hAnsi="Times New Roman" w:eastAsia="新宋体" w:cs="Times New Roman"/>
                <w:b/>
                <w:bCs/>
                <w:kern w:val="2"/>
                <w:sz w:val="24"/>
                <w:szCs w:val="24"/>
                <w:lang w:val="en-US" w:eastAsia="zh-CN" w:bidi="ar-SA"/>
              </w:rPr>
              <w:t>噪声</w:t>
            </w:r>
            <w:r>
              <w:rPr>
                <w:rFonts w:hint="eastAsia" w:ascii="Times New Roman" w:hAnsi="Times New Roman" w:eastAsia="新宋体" w:cs="Times New Roman"/>
                <w:b/>
                <w:bCs/>
                <w:kern w:val="2"/>
                <w:sz w:val="24"/>
                <w:szCs w:val="24"/>
                <w:lang w:val="en-US" w:eastAsia="zh-CN" w:bidi="ar-SA"/>
              </w:rPr>
              <w:t>监测计划</w:t>
            </w:r>
          </w:p>
          <w:p w14:paraId="79697610">
            <w:pPr>
              <w:pStyle w:val="84"/>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根据《排污单位自行监测技术指南水泥工业》（HJ848-2017），本项目噪声监测计划详见表。</w:t>
            </w:r>
          </w:p>
          <w:p w14:paraId="24C12973">
            <w:pPr>
              <w:spacing w:before="139" w:line="319" w:lineRule="exact"/>
              <w:ind w:left="0" w:leftChars="0" w:firstLine="0" w:firstLineChars="0"/>
              <w:jc w:val="center"/>
              <w:rPr>
                <w:rFonts w:hint="default" w:ascii="Times New Roman" w:hAnsi="Times New Roman" w:eastAsia="新宋体" w:cs="Times New Roman"/>
                <w:spacing w:val="1"/>
                <w:position w:val="2"/>
                <w:sz w:val="21"/>
                <w:szCs w:val="21"/>
                <w14:textOutline w14:w="4344" w14:cap="flat" w14:cmpd="sng">
                  <w14:solidFill>
                    <w14:srgbClr w14:val="000000"/>
                  </w14:solidFill>
                  <w14:prstDash w14:val="solid"/>
                  <w14:miter w14:val="0"/>
                </w14:textOutline>
              </w:rPr>
            </w:pPr>
            <w:r>
              <w:rPr>
                <w:rFonts w:hint="default" w:ascii="Times New Roman" w:hAnsi="Times New Roman" w:eastAsia="新宋体" w:cs="Times New Roman"/>
                <w:spacing w:val="1"/>
                <w:position w:val="2"/>
                <w:sz w:val="21"/>
                <w:szCs w:val="21"/>
                <w14:textOutline w14:w="4344" w14:cap="flat" w14:cmpd="sng">
                  <w14:solidFill>
                    <w14:srgbClr w14:val="000000"/>
                  </w14:solidFill>
                  <w14:prstDash w14:val="solid"/>
                  <w14:miter w14:val="0"/>
                </w14:textOutline>
              </w:rPr>
              <w:t>表</w:t>
            </w:r>
            <w:r>
              <w:rPr>
                <w:rFonts w:hint="eastAsia" w:ascii="Times New Roman" w:hAnsi="Times New Roman" w:eastAsia="新宋体" w:cs="Times New Roman"/>
                <w:spacing w:val="1"/>
                <w:position w:val="2"/>
                <w:sz w:val="21"/>
                <w:szCs w:val="21"/>
                <w:lang w:val="en-US" w:eastAsia="zh-CN"/>
                <w14:textOutline w14:w="4344" w14:cap="flat" w14:cmpd="sng">
                  <w14:solidFill>
                    <w14:srgbClr w14:val="000000"/>
                  </w14:solidFill>
                  <w14:prstDash w14:val="solid"/>
                  <w14:miter w14:val="0"/>
                </w14:textOutline>
              </w:rPr>
              <w:t>4-13</w:t>
            </w:r>
            <w:r>
              <w:rPr>
                <w:rFonts w:hint="default" w:ascii="Times New Roman" w:hAnsi="Times New Roman" w:eastAsia="新宋体" w:cs="Times New Roman"/>
                <w:spacing w:val="1"/>
                <w:position w:val="2"/>
                <w:sz w:val="21"/>
                <w:szCs w:val="21"/>
                <w14:textOutline w14:w="4344" w14:cap="flat" w14:cmpd="sng">
                  <w14:solidFill>
                    <w14:srgbClr w14:val="000000"/>
                  </w14:solidFill>
                  <w14:prstDash w14:val="solid"/>
                  <w14:miter w14:val="0"/>
                </w14:textOutline>
              </w:rPr>
              <w:t>本项目运营期噪声监测计划</w:t>
            </w:r>
          </w:p>
          <w:p w14:paraId="22472910">
            <w:pPr>
              <w:spacing w:line="128" w:lineRule="exact"/>
            </w:pPr>
          </w:p>
          <w:tbl>
            <w:tblPr>
              <w:tblStyle w:val="83"/>
              <w:tblW w:w="7855"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571"/>
              <w:gridCol w:w="1571"/>
              <w:gridCol w:w="1571"/>
              <w:gridCol w:w="1571"/>
              <w:gridCol w:w="1571"/>
            </w:tblGrid>
            <w:tr w14:paraId="7ACFD4A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2" w:hRule="atLeast"/>
                <w:jc w:val="center"/>
              </w:trPr>
              <w:tc>
                <w:tcPr>
                  <w:tcW w:w="1571" w:type="dxa"/>
                  <w:tcBorders>
                    <w:tl2br w:val="nil"/>
                    <w:tr2bl w:val="nil"/>
                  </w:tcBorders>
                  <w:vAlign w:val="center"/>
                </w:tcPr>
                <w:p w14:paraId="084F055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噪声类别</w:t>
                  </w:r>
                </w:p>
              </w:tc>
              <w:tc>
                <w:tcPr>
                  <w:tcW w:w="1571" w:type="dxa"/>
                  <w:tcBorders>
                    <w:tl2br w:val="nil"/>
                    <w:tr2bl w:val="nil"/>
                  </w:tcBorders>
                  <w:vAlign w:val="center"/>
                </w:tcPr>
                <w:p w14:paraId="20A11E3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监测位置</w:t>
                  </w:r>
                </w:p>
              </w:tc>
              <w:tc>
                <w:tcPr>
                  <w:tcW w:w="1571" w:type="dxa"/>
                  <w:tcBorders>
                    <w:tl2br w:val="nil"/>
                    <w:tr2bl w:val="nil"/>
                  </w:tcBorders>
                  <w:vAlign w:val="center"/>
                </w:tcPr>
                <w:p w14:paraId="05D47B4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监测项目</w:t>
                  </w:r>
                </w:p>
              </w:tc>
              <w:tc>
                <w:tcPr>
                  <w:tcW w:w="1571" w:type="dxa"/>
                  <w:tcBorders>
                    <w:tl2br w:val="nil"/>
                    <w:tr2bl w:val="nil"/>
                  </w:tcBorders>
                  <w:vAlign w:val="center"/>
                </w:tcPr>
                <w:p w14:paraId="1924A10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监测频次</w:t>
                  </w:r>
                </w:p>
              </w:tc>
              <w:tc>
                <w:tcPr>
                  <w:tcW w:w="1571" w:type="dxa"/>
                  <w:tcBorders>
                    <w:tl2br w:val="nil"/>
                    <w:tr2bl w:val="nil"/>
                  </w:tcBorders>
                  <w:vAlign w:val="center"/>
                </w:tcPr>
                <w:p w14:paraId="2813BEC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实施单位</w:t>
                  </w:r>
                </w:p>
              </w:tc>
            </w:tr>
            <w:tr w14:paraId="605ACC1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48" w:hRule="atLeast"/>
                <w:jc w:val="center"/>
              </w:trPr>
              <w:tc>
                <w:tcPr>
                  <w:tcW w:w="1571" w:type="dxa"/>
                  <w:tcBorders>
                    <w:tl2br w:val="nil"/>
                    <w:tr2bl w:val="nil"/>
                  </w:tcBorders>
                  <w:vAlign w:val="center"/>
                </w:tcPr>
                <w:p w14:paraId="2972F2D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厂界噪声</w:t>
                  </w:r>
                </w:p>
              </w:tc>
              <w:tc>
                <w:tcPr>
                  <w:tcW w:w="1571" w:type="dxa"/>
                  <w:tcBorders>
                    <w:tl2br w:val="nil"/>
                    <w:tr2bl w:val="nil"/>
                  </w:tcBorders>
                  <w:vAlign w:val="center"/>
                </w:tcPr>
                <w:p w14:paraId="2050EE3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厂界外四周外1m</w:t>
                  </w:r>
                </w:p>
              </w:tc>
              <w:tc>
                <w:tcPr>
                  <w:tcW w:w="1571" w:type="dxa"/>
                  <w:tcBorders>
                    <w:tl2br w:val="nil"/>
                    <w:tr2bl w:val="nil"/>
                  </w:tcBorders>
                  <w:vAlign w:val="center"/>
                </w:tcPr>
                <w:p w14:paraId="34BBBDE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等效A声级</w:t>
                  </w:r>
                </w:p>
              </w:tc>
              <w:tc>
                <w:tcPr>
                  <w:tcW w:w="1571" w:type="dxa"/>
                  <w:tcBorders>
                    <w:tl2br w:val="nil"/>
                    <w:tr2bl w:val="nil"/>
                  </w:tcBorders>
                  <w:vAlign w:val="center"/>
                </w:tcPr>
                <w:p w14:paraId="110FB67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eastAsia" w:eastAsia="新宋体" w:cs="Times New Roman"/>
                      <w:color w:val="auto"/>
                      <w:sz w:val="21"/>
                      <w:szCs w:val="21"/>
                      <w:u w:val="none"/>
                      <w:lang w:val="en-US" w:eastAsia="zh-CN"/>
                    </w:rPr>
                    <w:t>1次/</w:t>
                  </w:r>
                  <w:r>
                    <w:rPr>
                      <w:rFonts w:hint="default" w:ascii="Times New Roman" w:hAnsi="Times New Roman" w:eastAsia="新宋体" w:cs="Times New Roman"/>
                      <w:color w:val="auto"/>
                      <w:sz w:val="21"/>
                      <w:szCs w:val="21"/>
                      <w:u w:val="none"/>
                      <w:lang w:val="en-US" w:eastAsia="zh-CN"/>
                    </w:rPr>
                    <w:t>季度</w:t>
                  </w:r>
                </w:p>
              </w:tc>
              <w:tc>
                <w:tcPr>
                  <w:tcW w:w="1571" w:type="dxa"/>
                  <w:tcBorders>
                    <w:tl2br w:val="nil"/>
                    <w:tr2bl w:val="nil"/>
                  </w:tcBorders>
                  <w:vAlign w:val="center"/>
                </w:tcPr>
                <w:p w14:paraId="401F23A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委托第三方监测机构</w:t>
                  </w:r>
                </w:p>
              </w:tc>
            </w:tr>
          </w:tbl>
          <w:p w14:paraId="6F4CB7CE">
            <w:pPr>
              <w:keepNext w:val="0"/>
              <w:keepLines w:val="0"/>
              <w:suppressLineNumbers w:val="0"/>
              <w:spacing w:before="0" w:beforeAutospacing="0" w:after="0" w:afterAutospacing="0" w:line="360" w:lineRule="auto"/>
              <w:ind w:left="0" w:right="0"/>
              <w:rPr>
                <w:rFonts w:hint="default" w:ascii="Times New Roman" w:hAnsi="Times New Roman" w:eastAsia="新宋体" w:cs="Times New Roman"/>
                <w:b/>
                <w:bCs/>
                <w:color w:val="000000" w:themeColor="text1"/>
                <w:sz w:val="24"/>
                <w:szCs w:val="24"/>
                <w14:textFill>
                  <w14:solidFill>
                    <w14:schemeClr w14:val="tx1"/>
                  </w14:solidFill>
                </w14:textFill>
              </w:rPr>
            </w:pPr>
            <w:r>
              <w:rPr>
                <w:rFonts w:hint="default" w:ascii="Times New Roman" w:hAnsi="Times New Roman" w:eastAsia="新宋体" w:cs="Times New Roman"/>
                <w:b/>
                <w:bCs/>
                <w:color w:val="000000" w:themeColor="text1"/>
                <w:sz w:val="24"/>
                <w:szCs w:val="24"/>
                <w:lang w:val="en-US" w:eastAsia="zh-CN"/>
                <w14:textFill>
                  <w14:solidFill>
                    <w14:schemeClr w14:val="tx1"/>
                  </w14:solidFill>
                </w14:textFill>
              </w:rPr>
              <w:t>4、</w:t>
            </w:r>
            <w:r>
              <w:rPr>
                <w:rFonts w:hint="default" w:ascii="Times New Roman" w:hAnsi="Times New Roman" w:eastAsia="新宋体" w:cs="Times New Roman"/>
                <w:b/>
                <w:bCs/>
                <w:color w:val="000000" w:themeColor="text1"/>
                <w:sz w:val="24"/>
                <w:szCs w:val="24"/>
                <w14:textFill>
                  <w14:solidFill>
                    <w14:schemeClr w14:val="tx1"/>
                  </w14:solidFill>
                </w14:textFill>
              </w:rPr>
              <w:t>固体废物</w:t>
            </w:r>
          </w:p>
          <w:p w14:paraId="1D79869E">
            <w:pPr>
              <w:keepNext w:val="0"/>
              <w:keepLines w:val="0"/>
              <w:suppressLineNumbers w:val="0"/>
              <w:autoSpaceDE w:val="0"/>
              <w:autoSpaceDN w:val="0"/>
              <w:spacing w:before="0" w:beforeAutospacing="0" w:after="0" w:afterAutospacing="0" w:line="360" w:lineRule="auto"/>
              <w:ind w:left="0" w:right="0"/>
              <w:rPr>
                <w:rFonts w:hint="default" w:ascii="Times New Roman" w:hAnsi="Times New Roman" w:eastAsia="新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新宋体" w:cs="Times New Roman"/>
                <w:b/>
                <w:bCs/>
                <w:color w:val="000000" w:themeColor="text1"/>
                <w:sz w:val="24"/>
                <w:szCs w:val="24"/>
                <w:lang w:val="en-US" w:eastAsia="zh-CN"/>
                <w14:textFill>
                  <w14:solidFill>
                    <w14:schemeClr w14:val="tx1"/>
                  </w14:solidFill>
                </w14:textFill>
              </w:rPr>
              <w:t>4.1固体废物产生情况分析</w:t>
            </w:r>
          </w:p>
          <w:p w14:paraId="67592638">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本项目营运期产生的固体废弃物主要为：员工/流动客户生活垃圾、机械设备维护保养产生的废润滑油及废油桶。</w:t>
            </w:r>
          </w:p>
          <w:p w14:paraId="09420BCA">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（1）生活垃圾</w:t>
            </w:r>
          </w:p>
          <w:p w14:paraId="3DF448CD">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本项目总计有员工1</w:t>
            </w:r>
            <w:r>
              <w:rPr>
                <w:rFonts w:hint="eastAsia" w:eastAsia="新宋体" w:cs="Times New Roman"/>
                <w:color w:val="000000" w:themeColor="text1"/>
                <w:kern w:val="0"/>
                <w:sz w:val="24"/>
                <w:szCs w:val="24"/>
                <w:lang w:val="en-US" w:eastAsia="zh-CN" w:bidi="ar"/>
                <w14:textFill>
                  <w14:solidFill>
                    <w14:schemeClr w14:val="tx1"/>
                  </w14:solidFill>
                </w14:textFill>
              </w:rPr>
              <w:t>5</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人，均不在站区住宿。根据《城镇生活源产排污系数手册》，</w:t>
            </w:r>
            <w:r>
              <w:rPr>
                <w:rFonts w:hint="eastAsia" w:eastAsia="新宋体" w:cs="Times New Roman"/>
                <w:color w:val="000000" w:themeColor="text1"/>
                <w:kern w:val="0"/>
                <w:sz w:val="24"/>
                <w:szCs w:val="24"/>
                <w:lang w:val="en-US" w:eastAsia="zh-CN" w:bidi="ar"/>
                <w14:textFill>
                  <w14:solidFill>
                    <w14:schemeClr w14:val="tx1"/>
                  </w14:solidFill>
                </w14:textFill>
              </w:rPr>
              <w:t>营运生产</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生活垃圾产生系数按0.</w:t>
            </w:r>
            <w:r>
              <w:rPr>
                <w:rFonts w:hint="eastAsia" w:eastAsia="新宋体" w:cs="Times New Roman"/>
                <w:color w:val="000000" w:themeColor="text1"/>
                <w:kern w:val="0"/>
                <w:sz w:val="24"/>
                <w:szCs w:val="24"/>
                <w:lang w:val="en-US" w:eastAsia="zh-CN" w:bidi="ar"/>
                <w14:textFill>
                  <w14:solidFill>
                    <w14:schemeClr w14:val="tx1"/>
                  </w14:solidFill>
                </w14:textFill>
              </w:rPr>
              <w:t>8</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kg/人•d计，年工作</w:t>
            </w:r>
            <w:r>
              <w:rPr>
                <w:rFonts w:hint="eastAsia" w:eastAsia="新宋体" w:cs="Times New Roman"/>
                <w:color w:val="000000" w:themeColor="text1"/>
                <w:kern w:val="0"/>
                <w:sz w:val="24"/>
                <w:szCs w:val="24"/>
                <w:lang w:val="en-US" w:eastAsia="zh-CN" w:bidi="ar"/>
                <w14:textFill>
                  <w14:solidFill>
                    <w14:schemeClr w14:val="tx1"/>
                  </w14:solidFill>
                </w14:textFill>
              </w:rPr>
              <w:t>210</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天，生活垃圾产生量为</w:t>
            </w:r>
            <w:r>
              <w:rPr>
                <w:rFonts w:hint="eastAsia" w:eastAsia="新宋体" w:cs="Times New Roman"/>
                <w:color w:val="000000" w:themeColor="text1"/>
                <w:kern w:val="0"/>
                <w:sz w:val="24"/>
                <w:szCs w:val="24"/>
                <w:lang w:val="en-US" w:eastAsia="zh-CN" w:bidi="ar"/>
                <w14:textFill>
                  <w14:solidFill>
                    <w14:schemeClr w14:val="tx1"/>
                  </w14:solidFill>
                </w14:textFill>
              </w:rPr>
              <w:t>0.012</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t/d（</w:t>
            </w:r>
            <w:r>
              <w:rPr>
                <w:rFonts w:hint="eastAsia" w:eastAsia="新宋体" w:cs="Times New Roman"/>
                <w:color w:val="000000" w:themeColor="text1"/>
                <w:kern w:val="0"/>
                <w:sz w:val="24"/>
                <w:szCs w:val="24"/>
                <w:lang w:val="en-US" w:eastAsia="zh-CN" w:bidi="ar"/>
                <w14:textFill>
                  <w14:solidFill>
                    <w14:schemeClr w14:val="tx1"/>
                  </w14:solidFill>
                </w14:textFill>
              </w:rPr>
              <w:t>2.52</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t/a），生活垃圾场内定点收集后</w:t>
            </w:r>
            <w:r>
              <w:rPr>
                <w:rFonts w:hint="eastAsia" w:eastAsia="新宋体" w:cs="Times New Roman"/>
                <w:color w:val="000000" w:themeColor="text1"/>
                <w:kern w:val="0"/>
                <w:sz w:val="24"/>
                <w:szCs w:val="24"/>
                <w:lang w:val="en-US" w:eastAsia="zh-CN" w:bidi="ar"/>
                <w14:textFill>
                  <w14:solidFill>
                    <w14:schemeClr w14:val="tx1"/>
                  </w14:solidFill>
                </w14:textFill>
              </w:rPr>
              <w:t>依托清水河社区环卫统一清运</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w:t>
            </w:r>
          </w:p>
          <w:p w14:paraId="0D8EEA47">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（1）除尘器收集粉尘</w:t>
            </w:r>
          </w:p>
          <w:p w14:paraId="228E76BD">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本项目砼结构构件生产线投料、搅拌工序粉尘经布袋除尘器收集，粉尘收集量为</w:t>
            </w:r>
            <w:r>
              <w:rPr>
                <w:rFonts w:hint="eastAsia" w:eastAsia="新宋体" w:cs="Times New Roman"/>
                <w:color w:val="000000" w:themeColor="text1"/>
                <w:kern w:val="0"/>
                <w:sz w:val="24"/>
                <w:szCs w:val="24"/>
                <w:lang w:val="en-US" w:eastAsia="zh-CN" w:bidi="ar"/>
                <w14:textFill>
                  <w14:solidFill>
                    <w14:schemeClr w14:val="tx1"/>
                  </w14:solidFill>
                </w14:textFill>
              </w:rPr>
              <w:t>7.2</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t/a，属于一般工业固体废物，回用于生产线。</w:t>
            </w:r>
          </w:p>
          <w:p w14:paraId="48E69AD8">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（2）不合格产品</w:t>
            </w:r>
          </w:p>
          <w:p w14:paraId="4F474C22">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本项目砼结构构件生产线</w:t>
            </w:r>
            <w:r>
              <w:rPr>
                <w:rFonts w:hint="eastAsia" w:eastAsia="新宋体" w:cs="Times New Roman"/>
                <w:color w:val="000000" w:themeColor="text1"/>
                <w:kern w:val="0"/>
                <w:sz w:val="24"/>
                <w:szCs w:val="24"/>
                <w:lang w:val="en-US" w:eastAsia="zh-CN" w:bidi="ar"/>
                <w14:textFill>
                  <w14:solidFill>
                    <w14:schemeClr w14:val="tx1"/>
                  </w14:solidFill>
                </w14:textFill>
              </w:rPr>
              <w:t>成型、养护</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不合格产品</w:t>
            </w:r>
            <w:r>
              <w:rPr>
                <w:rFonts w:hint="eastAsia" w:eastAsia="新宋体" w:cs="Times New Roman"/>
                <w:color w:val="000000" w:themeColor="text1"/>
                <w:kern w:val="0"/>
                <w:sz w:val="24"/>
                <w:szCs w:val="24"/>
                <w:lang w:val="en-US" w:eastAsia="zh-CN" w:bidi="ar"/>
                <w14:textFill>
                  <w14:solidFill>
                    <w14:schemeClr w14:val="tx1"/>
                  </w14:solidFill>
                </w14:textFill>
              </w:rPr>
              <w:t>（预制件强度达不到要求）</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产量按0.</w:t>
            </w:r>
            <w:r>
              <w:rPr>
                <w:rFonts w:hint="eastAsia" w:eastAsia="新宋体" w:cs="Times New Roman"/>
                <w:color w:val="000000" w:themeColor="text1"/>
                <w:kern w:val="0"/>
                <w:sz w:val="24"/>
                <w:szCs w:val="24"/>
                <w:lang w:val="en-US" w:eastAsia="zh-CN" w:bidi="ar"/>
                <w14:textFill>
                  <w14:solidFill>
                    <w14:schemeClr w14:val="tx1"/>
                  </w14:solidFill>
                </w14:textFill>
              </w:rPr>
              <w:t>0</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5%计，则不合格产品约为</w:t>
            </w:r>
            <w:r>
              <w:rPr>
                <w:rFonts w:hint="eastAsia" w:eastAsia="新宋体" w:cs="Times New Roman"/>
                <w:color w:val="000000" w:themeColor="text1"/>
                <w:kern w:val="0"/>
                <w:sz w:val="24"/>
                <w:szCs w:val="24"/>
                <w:lang w:val="en-US" w:eastAsia="zh-CN" w:bidi="ar"/>
                <w14:textFill>
                  <w14:solidFill>
                    <w14:schemeClr w14:val="tx1"/>
                  </w14:solidFill>
                </w14:textFill>
              </w:rPr>
              <w:t>7.5t</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/a，回用于生产线。</w:t>
            </w:r>
          </w:p>
          <w:p w14:paraId="21E749AF">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（3）废包装袋</w:t>
            </w:r>
          </w:p>
          <w:p w14:paraId="04C82B68">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本项目水泥、氧化铁颜料等固体材料采用包装袋包装，使用过程中废包装袋，废包装袋产生量为</w:t>
            </w:r>
            <w:r>
              <w:rPr>
                <w:rFonts w:hint="eastAsia" w:eastAsia="新宋体" w:cs="Times New Roman"/>
                <w:color w:val="000000" w:themeColor="text1"/>
                <w:kern w:val="0"/>
                <w:sz w:val="24"/>
                <w:szCs w:val="24"/>
                <w:lang w:val="en-US" w:eastAsia="zh-CN" w:bidi="ar"/>
                <w14:textFill>
                  <w14:solidFill>
                    <w14:schemeClr w14:val="tx1"/>
                  </w14:solidFill>
                </w14:textFill>
              </w:rPr>
              <w:t>12000</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个/a，为一般工业固体废物，经集中收集后出售给资源回收利用公司处置。</w:t>
            </w:r>
          </w:p>
          <w:p w14:paraId="3B268E08">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（4）废包装桶</w:t>
            </w:r>
          </w:p>
          <w:p w14:paraId="274CC809">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本项目脱模剂采用棉籽油，使用过程中废包装桶，废包装桶产生量为</w:t>
            </w:r>
            <w:r>
              <w:rPr>
                <w:rFonts w:hint="eastAsia" w:eastAsia="新宋体" w:cs="Times New Roman"/>
                <w:color w:val="000000" w:themeColor="text1"/>
                <w:kern w:val="0"/>
                <w:sz w:val="24"/>
                <w:szCs w:val="24"/>
                <w:lang w:val="en-US" w:eastAsia="zh-CN" w:bidi="ar"/>
                <w14:textFill>
                  <w14:solidFill>
                    <w14:schemeClr w14:val="tx1"/>
                  </w14:solidFill>
                </w14:textFill>
              </w:rPr>
              <w:t>800</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个/a，为一般工业固体废物，经集中收集后出售给资源回收利用公司处置。</w:t>
            </w:r>
          </w:p>
          <w:p w14:paraId="3AA22575">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eastAsia" w:eastAsia="新宋体" w:cs="Times New Roman"/>
                <w:color w:val="000000" w:themeColor="text1"/>
                <w:kern w:val="0"/>
                <w:sz w:val="24"/>
                <w:szCs w:val="24"/>
                <w:lang w:val="en-US" w:eastAsia="zh-CN" w:bidi="ar"/>
                <w14:textFill>
                  <w14:solidFill>
                    <w14:schemeClr w14:val="tx1"/>
                  </w14:solidFill>
                </w14:textFill>
              </w:rPr>
              <w:t>（5）废模具</w:t>
            </w:r>
          </w:p>
          <w:p w14:paraId="42638EA4">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本项目</w:t>
            </w:r>
            <w:r>
              <w:rPr>
                <w:rFonts w:hint="eastAsia" w:eastAsia="新宋体" w:cs="Times New Roman"/>
                <w:color w:val="000000" w:themeColor="text1"/>
                <w:kern w:val="0"/>
                <w:sz w:val="24"/>
                <w:szCs w:val="24"/>
                <w:lang w:val="en-US" w:eastAsia="zh-CN" w:bidi="ar"/>
                <w14:textFill>
                  <w14:solidFill>
                    <w14:schemeClr w14:val="tx1"/>
                  </w14:solidFill>
                </w14:textFill>
              </w:rPr>
              <w:t>混凝土充装模具</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过程中会产生少量因过度损而废弃的模具，根据企业提供资料，项目每年使用约</w:t>
            </w:r>
            <w:r>
              <w:rPr>
                <w:rFonts w:hint="eastAsia" w:eastAsia="新宋体" w:cs="Times New Roman"/>
                <w:color w:val="000000" w:themeColor="text1"/>
                <w:kern w:val="0"/>
                <w:sz w:val="24"/>
                <w:szCs w:val="24"/>
                <w:lang w:val="en-US" w:eastAsia="zh-CN" w:bidi="ar"/>
                <w14:textFill>
                  <w14:solidFill>
                    <w14:schemeClr w14:val="tx1"/>
                  </w14:solidFill>
                </w14:textFill>
              </w:rPr>
              <w:t>12</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套模具，根据同行业生产经验，每年产生的废模具约占使用量的10%，即本项目每年产生约</w:t>
            </w:r>
            <w:r>
              <w:rPr>
                <w:rFonts w:hint="eastAsia" w:eastAsia="新宋体" w:cs="Times New Roman"/>
                <w:color w:val="000000" w:themeColor="text1"/>
                <w:kern w:val="0"/>
                <w:sz w:val="24"/>
                <w:szCs w:val="24"/>
                <w:lang w:val="en-US" w:eastAsia="zh-CN" w:bidi="ar"/>
                <w14:textFill>
                  <w14:solidFill>
                    <w14:schemeClr w14:val="tx1"/>
                  </w14:solidFill>
                </w14:textFill>
              </w:rPr>
              <w:t>2</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套废模具，每套</w:t>
            </w:r>
            <w:r>
              <w:rPr>
                <w:rFonts w:hint="eastAsia" w:eastAsia="新宋体" w:cs="Times New Roman"/>
                <w:color w:val="000000" w:themeColor="text1"/>
                <w:kern w:val="0"/>
                <w:sz w:val="24"/>
                <w:szCs w:val="24"/>
                <w:lang w:val="en-US" w:eastAsia="zh-CN" w:bidi="ar"/>
                <w14:textFill>
                  <w14:solidFill>
                    <w14:schemeClr w14:val="tx1"/>
                  </w14:solidFill>
                </w14:textFill>
              </w:rPr>
              <w:t>钢铁制</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模具重约20kg，</w:t>
            </w:r>
            <w:r>
              <w:rPr>
                <w:rFonts w:hint="eastAsia" w:eastAsia="新宋体" w:cs="Times New Roman"/>
                <w:color w:val="000000" w:themeColor="text1"/>
                <w:kern w:val="0"/>
                <w:sz w:val="24"/>
                <w:szCs w:val="24"/>
                <w:lang w:val="en-US" w:eastAsia="zh-CN" w:bidi="ar"/>
                <w14:textFill>
                  <w14:solidFill>
                    <w14:schemeClr w14:val="tx1"/>
                  </w14:solidFill>
                </w14:textFill>
              </w:rPr>
              <w:t>废旧模具年产约0.04t</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，废模具交由</w:t>
            </w:r>
            <w:r>
              <w:rPr>
                <w:rFonts w:hint="eastAsia" w:eastAsia="新宋体" w:cs="Times New Roman"/>
                <w:color w:val="000000" w:themeColor="text1"/>
                <w:kern w:val="0"/>
                <w:sz w:val="24"/>
                <w:szCs w:val="24"/>
                <w:lang w:val="en-US" w:eastAsia="zh-CN" w:bidi="ar"/>
                <w14:textFill>
                  <w14:solidFill>
                    <w14:schemeClr w14:val="tx1"/>
                  </w14:solidFill>
                </w14:textFill>
              </w:rPr>
              <w:t>第三方钢铁回收单位处置</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w:t>
            </w:r>
          </w:p>
          <w:p w14:paraId="43F9CE7D">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w:t>
            </w:r>
            <w:r>
              <w:rPr>
                <w:rFonts w:hint="eastAsia" w:eastAsia="新宋体" w:cs="Times New Roman"/>
                <w:color w:val="000000" w:themeColor="text1"/>
                <w:kern w:val="0"/>
                <w:sz w:val="24"/>
                <w:szCs w:val="24"/>
                <w:lang w:val="en-US" w:eastAsia="zh-CN" w:bidi="ar"/>
                <w14:textFill>
                  <w14:solidFill>
                    <w14:schemeClr w14:val="tx1"/>
                  </w14:solidFill>
                </w14:textFill>
              </w:rPr>
              <w:t>6</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）废机油</w:t>
            </w:r>
            <w:r>
              <w:rPr>
                <w:rFonts w:hint="eastAsia" w:eastAsia="新宋体" w:cs="Times New Roman"/>
                <w:color w:val="000000" w:themeColor="text1"/>
                <w:kern w:val="0"/>
                <w:sz w:val="24"/>
                <w:szCs w:val="24"/>
                <w:lang w:val="en-US" w:eastAsia="zh-CN" w:bidi="ar"/>
                <w14:textFill>
                  <w14:solidFill>
                    <w14:schemeClr w14:val="tx1"/>
                  </w14:solidFill>
                </w14:textFill>
              </w:rPr>
              <w:t>/废油桶</w:t>
            </w:r>
          </w:p>
          <w:p w14:paraId="7F5F4CE0">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本项目产生的废机油来源为定期更换机械设备机械用油产生，</w:t>
            </w:r>
            <w:r>
              <w:rPr>
                <w:rFonts w:hint="eastAsia" w:eastAsia="新宋体" w:cs="Times New Roman"/>
                <w:color w:val="000000" w:themeColor="text1"/>
                <w:kern w:val="0"/>
                <w:sz w:val="24"/>
                <w:szCs w:val="24"/>
                <w:lang w:val="en-US" w:eastAsia="zh-CN" w:bidi="ar"/>
                <w14:textFill>
                  <w14:solidFill>
                    <w14:schemeClr w14:val="tx1"/>
                  </w14:solidFill>
                </w14:textFill>
              </w:rPr>
              <w:t>根据设备情况表</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产生量为0.08t/a，</w:t>
            </w:r>
            <w:r>
              <w:rPr>
                <w:rFonts w:hint="eastAsia" w:eastAsia="新宋体" w:cs="Times New Roman"/>
                <w:color w:val="000000" w:themeColor="text1"/>
                <w:kern w:val="0"/>
                <w:sz w:val="24"/>
                <w:szCs w:val="24"/>
                <w:lang w:val="en-US" w:eastAsia="zh-CN" w:bidi="ar"/>
                <w14:textFill>
                  <w14:solidFill>
                    <w14:schemeClr w14:val="tx1"/>
                  </w14:solidFill>
                </w14:textFill>
              </w:rPr>
              <w:t>废油桶产生量约0.004</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t/a</w:t>
            </w:r>
            <w:r>
              <w:rPr>
                <w:rFonts w:hint="eastAsia" w:eastAsia="新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产生的废机油</w:t>
            </w:r>
            <w:r>
              <w:rPr>
                <w:rFonts w:hint="eastAsia" w:eastAsia="新宋体" w:cs="Times New Roman"/>
                <w:color w:val="000000" w:themeColor="text1"/>
                <w:kern w:val="0"/>
                <w:sz w:val="24"/>
                <w:szCs w:val="24"/>
                <w:lang w:val="en-US" w:eastAsia="zh-CN" w:bidi="ar"/>
                <w14:textFill>
                  <w14:solidFill>
                    <w14:schemeClr w14:val="tx1"/>
                  </w14:solidFill>
                </w14:textFill>
              </w:rPr>
              <w:t>、废油桶分区暂存至厂区西侧一8m2危废暂存间，不定期委托有危废处置资质单位安全处置</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w:t>
            </w:r>
          </w:p>
          <w:p w14:paraId="516E4537">
            <w:pPr>
              <w:keepNext w:val="0"/>
              <w:keepLines w:val="0"/>
              <w:widowControl/>
              <w:suppressLineNumbers w:val="0"/>
              <w:jc w:val="left"/>
              <w:rPr>
                <w:rFonts w:hint="default" w:eastAsia="新宋体" w:cs="Times New Roman"/>
                <w:b/>
                <w:bCs/>
                <w:color w:val="000000" w:themeColor="text1"/>
                <w:kern w:val="0"/>
                <w:sz w:val="24"/>
                <w:szCs w:val="24"/>
                <w:lang w:val="en-US" w:eastAsia="zh-CN" w:bidi="ar"/>
                <w14:textFill>
                  <w14:solidFill>
                    <w14:schemeClr w14:val="tx1"/>
                  </w14:solidFill>
                </w14:textFill>
              </w:rPr>
            </w:pPr>
            <w:r>
              <w:rPr>
                <w:rFonts w:hint="eastAsia" w:eastAsia="新宋体" w:cs="Times New Roman"/>
                <w:b/>
                <w:bCs/>
                <w:color w:val="000000" w:themeColor="text1"/>
                <w:kern w:val="0"/>
                <w:sz w:val="24"/>
                <w:szCs w:val="24"/>
                <w:lang w:val="en-US" w:eastAsia="zh-CN" w:bidi="ar"/>
                <w14:textFill>
                  <w14:solidFill>
                    <w14:schemeClr w14:val="tx1"/>
                  </w14:solidFill>
                </w14:textFill>
              </w:rPr>
              <w:t>4.2固体废物分析统计</w:t>
            </w:r>
          </w:p>
          <w:p w14:paraId="29087DAC">
            <w:pPr>
              <w:keepNext w:val="0"/>
              <w:keepLines w:val="0"/>
              <w:widowControl/>
              <w:suppressLineNumbers w:val="0"/>
              <w:jc w:val="left"/>
              <w:rPr>
                <w:rFonts w:hint="eastAsia" w:eastAsia="新宋体" w:cs="Times New Roman"/>
                <w:b w:val="0"/>
                <w:bCs w:val="0"/>
                <w:color w:val="000000" w:themeColor="text1"/>
                <w:kern w:val="0"/>
                <w:sz w:val="24"/>
                <w:szCs w:val="24"/>
                <w:lang w:val="en-US" w:eastAsia="zh-CN" w:bidi="ar"/>
                <w14:textFill>
                  <w14:solidFill>
                    <w14:schemeClr w14:val="tx1"/>
                  </w14:solidFill>
                </w14:textFill>
              </w:rPr>
            </w:pPr>
            <w:r>
              <w:rPr>
                <w:rFonts w:hint="eastAsia" w:eastAsia="新宋体" w:cs="Times New Roman"/>
                <w:b w:val="0"/>
                <w:bCs w:val="0"/>
                <w:color w:val="000000" w:themeColor="text1"/>
                <w:kern w:val="0"/>
                <w:sz w:val="24"/>
                <w:szCs w:val="24"/>
                <w:lang w:val="en-US" w:eastAsia="zh-CN" w:bidi="ar"/>
                <w14:textFill>
                  <w14:solidFill>
                    <w14:schemeClr w14:val="tx1"/>
                  </w14:solidFill>
                </w14:textFill>
              </w:rPr>
              <w:t>根据固体废物源强计算，本项目固体废物产排情况见下表：</w:t>
            </w:r>
          </w:p>
          <w:p w14:paraId="5150D0AF">
            <w:pPr>
              <w:keepNext w:val="0"/>
              <w:keepLines w:val="0"/>
              <w:widowControl/>
              <w:suppressLineNumbers w:val="0"/>
              <w:ind w:left="0" w:leftChars="0" w:firstLine="0" w:firstLineChars="0"/>
              <w:jc w:val="center"/>
              <w:rPr>
                <w:rFonts w:hint="default" w:eastAsia="新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spacing w:val="1"/>
                <w:position w:val="2"/>
                <w:sz w:val="21"/>
                <w:szCs w:val="21"/>
                <w14:textOutline w14:w="4344" w14:cap="flat" w14:cmpd="sng">
                  <w14:solidFill>
                    <w14:srgbClr w14:val="000000"/>
                  </w14:solidFill>
                  <w14:prstDash w14:val="solid"/>
                  <w14:miter w14:val="0"/>
                </w14:textOutline>
              </w:rPr>
              <w:t>表</w:t>
            </w:r>
            <w:r>
              <w:rPr>
                <w:rFonts w:hint="eastAsia" w:ascii="Times New Roman" w:hAnsi="Times New Roman" w:eastAsia="新宋体" w:cs="Times New Roman"/>
                <w:spacing w:val="1"/>
                <w:position w:val="2"/>
                <w:sz w:val="21"/>
                <w:szCs w:val="21"/>
                <w:lang w:val="en-US" w:eastAsia="zh-CN"/>
                <w14:textOutline w14:w="4344" w14:cap="flat" w14:cmpd="sng">
                  <w14:solidFill>
                    <w14:srgbClr w14:val="000000"/>
                  </w14:solidFill>
                  <w14:prstDash w14:val="solid"/>
                  <w14:miter w14:val="0"/>
                </w14:textOutline>
              </w:rPr>
              <w:t>4-1</w:t>
            </w:r>
            <w:r>
              <w:rPr>
                <w:rFonts w:hint="eastAsia" w:eastAsia="新宋体" w:cs="Times New Roman"/>
                <w:spacing w:val="1"/>
                <w:position w:val="2"/>
                <w:sz w:val="21"/>
                <w:szCs w:val="21"/>
                <w:lang w:val="en-US" w:eastAsia="zh-CN"/>
                <w14:textOutline w14:w="4344" w14:cap="flat" w14:cmpd="sng">
                  <w14:solidFill>
                    <w14:srgbClr w14:val="000000"/>
                  </w14:solidFill>
                  <w14:prstDash w14:val="solid"/>
                  <w14:miter w14:val="0"/>
                </w14:textOutline>
              </w:rPr>
              <w:t>4固体废物产排情况一览表</w:t>
            </w:r>
          </w:p>
          <w:tbl>
            <w:tblPr>
              <w:tblStyle w:val="29"/>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892"/>
              <w:gridCol w:w="1143"/>
              <w:gridCol w:w="1313"/>
              <w:gridCol w:w="794"/>
              <w:gridCol w:w="729"/>
              <w:gridCol w:w="1745"/>
            </w:tblGrid>
            <w:tr w14:paraId="615A65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2" w:type="pct"/>
                  <w:tcBorders>
                    <w:tl2br w:val="nil"/>
                    <w:tr2bl w:val="nil"/>
                  </w:tcBorders>
                  <w:vAlign w:val="center"/>
                </w:tcPr>
                <w:p w14:paraId="28273DF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产生环节</w:t>
                  </w:r>
                </w:p>
              </w:tc>
              <w:tc>
                <w:tcPr>
                  <w:tcW w:w="589" w:type="pct"/>
                  <w:tcBorders>
                    <w:tl2br w:val="nil"/>
                    <w:tr2bl w:val="nil"/>
                  </w:tcBorders>
                  <w:vAlign w:val="center"/>
                </w:tcPr>
                <w:p w14:paraId="0EAF705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污染物名称</w:t>
                  </w:r>
                </w:p>
              </w:tc>
              <w:tc>
                <w:tcPr>
                  <w:tcW w:w="748" w:type="pct"/>
                  <w:tcBorders>
                    <w:tl2br w:val="nil"/>
                    <w:tr2bl w:val="nil"/>
                  </w:tcBorders>
                  <w:vAlign w:val="center"/>
                </w:tcPr>
                <w:p w14:paraId="06E98C9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污染物属性</w:t>
                  </w:r>
                </w:p>
              </w:tc>
              <w:tc>
                <w:tcPr>
                  <w:tcW w:w="760" w:type="pct"/>
                  <w:tcBorders>
                    <w:tl2br w:val="nil"/>
                    <w:tr2bl w:val="nil"/>
                  </w:tcBorders>
                  <w:vAlign w:val="center"/>
                </w:tcPr>
                <w:p w14:paraId="41AE7D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代码</w:t>
                  </w:r>
                </w:p>
              </w:tc>
              <w:tc>
                <w:tcPr>
                  <w:tcW w:w="471" w:type="pct"/>
                  <w:tcBorders>
                    <w:tl2br w:val="nil"/>
                    <w:tr2bl w:val="nil"/>
                  </w:tcBorders>
                  <w:vAlign w:val="center"/>
                </w:tcPr>
                <w:p w14:paraId="07206A2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年产生量</w:t>
                  </w:r>
                </w:p>
              </w:tc>
              <w:tc>
                <w:tcPr>
                  <w:tcW w:w="485" w:type="pct"/>
                  <w:tcBorders>
                    <w:tl2br w:val="nil"/>
                    <w:tr2bl w:val="nil"/>
                  </w:tcBorders>
                  <w:vAlign w:val="center"/>
                </w:tcPr>
                <w:p w14:paraId="029E2E3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贮存方式</w:t>
                  </w:r>
                </w:p>
              </w:tc>
              <w:tc>
                <w:tcPr>
                  <w:tcW w:w="1131" w:type="pct"/>
                  <w:tcBorders>
                    <w:tl2br w:val="nil"/>
                    <w:tr2bl w:val="nil"/>
                  </w:tcBorders>
                  <w:vAlign w:val="center"/>
                </w:tcPr>
                <w:p w14:paraId="5CD1233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最终排放去向</w:t>
                  </w:r>
                </w:p>
              </w:tc>
            </w:tr>
            <w:tr w14:paraId="3BC99A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812" w:type="pct"/>
                  <w:tcBorders>
                    <w:tl2br w:val="nil"/>
                    <w:tr2bl w:val="nil"/>
                  </w:tcBorders>
                  <w:vAlign w:val="center"/>
                </w:tcPr>
                <w:p w14:paraId="6D31B15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投料</w:t>
                  </w:r>
                  <w:r>
                    <w:rPr>
                      <w:rFonts w:hint="eastAsia" w:eastAsia="新宋体" w:cs="Times New Roman"/>
                      <w:color w:val="auto"/>
                      <w:sz w:val="21"/>
                      <w:szCs w:val="21"/>
                      <w:u w:val="none"/>
                      <w:lang w:val="en-US" w:eastAsia="zh-CN"/>
                    </w:rPr>
                    <w:t>、</w:t>
                  </w:r>
                  <w:r>
                    <w:rPr>
                      <w:rFonts w:hint="default" w:ascii="Times New Roman" w:hAnsi="Times New Roman" w:eastAsia="新宋体" w:cs="Times New Roman"/>
                      <w:color w:val="auto"/>
                      <w:sz w:val="21"/>
                      <w:szCs w:val="21"/>
                      <w:u w:val="none"/>
                      <w:lang w:val="en-US" w:eastAsia="zh-CN"/>
                    </w:rPr>
                    <w:t>搅拌工序</w:t>
                  </w:r>
                  <w:r>
                    <w:rPr>
                      <w:rFonts w:hint="eastAsia" w:eastAsia="新宋体" w:cs="Times New Roman"/>
                      <w:color w:val="auto"/>
                      <w:sz w:val="21"/>
                      <w:szCs w:val="21"/>
                      <w:u w:val="none"/>
                      <w:lang w:val="en-US" w:eastAsia="zh-CN"/>
                    </w:rPr>
                    <w:t>，密闭厂房生产沉降收集灰尘</w:t>
                  </w:r>
                </w:p>
              </w:tc>
              <w:tc>
                <w:tcPr>
                  <w:tcW w:w="589" w:type="pct"/>
                  <w:tcBorders>
                    <w:tl2br w:val="nil"/>
                    <w:tr2bl w:val="nil"/>
                  </w:tcBorders>
                  <w:vAlign w:val="center"/>
                </w:tcPr>
                <w:p w14:paraId="191C4C9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布袋除尘</w:t>
                  </w:r>
                  <w:r>
                    <w:rPr>
                      <w:rFonts w:hint="eastAsia" w:eastAsia="新宋体" w:cs="Times New Roman"/>
                      <w:color w:val="auto"/>
                      <w:sz w:val="21"/>
                      <w:szCs w:val="21"/>
                      <w:u w:val="none"/>
                      <w:lang w:val="en-US" w:eastAsia="zh-CN"/>
                    </w:rPr>
                    <w:t>灰</w:t>
                  </w:r>
                </w:p>
              </w:tc>
              <w:tc>
                <w:tcPr>
                  <w:tcW w:w="748" w:type="pct"/>
                  <w:tcBorders>
                    <w:tl2br w:val="nil"/>
                    <w:tr2bl w:val="nil"/>
                  </w:tcBorders>
                  <w:vAlign w:val="center"/>
                </w:tcPr>
                <w:p w14:paraId="3E6BBF5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一般工业固体废物</w:t>
                  </w:r>
                </w:p>
              </w:tc>
              <w:tc>
                <w:tcPr>
                  <w:tcW w:w="760" w:type="pct"/>
                  <w:tcBorders>
                    <w:tl2br w:val="nil"/>
                    <w:tr2bl w:val="nil"/>
                  </w:tcBorders>
                  <w:vAlign w:val="center"/>
                </w:tcPr>
                <w:p w14:paraId="22CE66A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900-099-S59</w:t>
                  </w:r>
                </w:p>
              </w:tc>
              <w:tc>
                <w:tcPr>
                  <w:tcW w:w="471" w:type="pct"/>
                  <w:tcBorders>
                    <w:tl2br w:val="nil"/>
                    <w:tr2bl w:val="nil"/>
                  </w:tcBorders>
                  <w:vAlign w:val="center"/>
                </w:tcPr>
                <w:p w14:paraId="74D76B8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7.2t/a</w:t>
                  </w:r>
                </w:p>
              </w:tc>
              <w:tc>
                <w:tcPr>
                  <w:tcW w:w="485" w:type="pct"/>
                  <w:vMerge w:val="restart"/>
                  <w:tcBorders>
                    <w:tl2br w:val="nil"/>
                    <w:tr2bl w:val="nil"/>
                  </w:tcBorders>
                  <w:vAlign w:val="center"/>
                </w:tcPr>
                <w:p w14:paraId="72F9FAA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eastAsia" w:eastAsia="新宋体" w:cs="Times New Roman"/>
                      <w:color w:val="auto"/>
                      <w:sz w:val="21"/>
                      <w:szCs w:val="21"/>
                      <w:u w:val="none"/>
                      <w:lang w:val="en-US" w:eastAsia="zh-CN"/>
                    </w:rPr>
                    <w:t>一般固体废物堆场</w:t>
                  </w:r>
                </w:p>
              </w:tc>
              <w:tc>
                <w:tcPr>
                  <w:tcW w:w="1131" w:type="pct"/>
                  <w:tcBorders>
                    <w:tl2br w:val="nil"/>
                    <w:tr2bl w:val="nil"/>
                  </w:tcBorders>
                  <w:vAlign w:val="center"/>
                </w:tcPr>
                <w:p w14:paraId="195BE25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回用于生产线</w:t>
                  </w:r>
                </w:p>
              </w:tc>
            </w:tr>
            <w:tr w14:paraId="428CED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2" w:type="pct"/>
                  <w:tcBorders>
                    <w:tl2br w:val="nil"/>
                    <w:tr2bl w:val="nil"/>
                  </w:tcBorders>
                  <w:vAlign w:val="center"/>
                </w:tcPr>
                <w:p w14:paraId="3672CA7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生产线</w:t>
                  </w:r>
                  <w:r>
                    <w:rPr>
                      <w:rFonts w:hint="eastAsia" w:eastAsia="新宋体" w:cs="Times New Roman"/>
                      <w:color w:val="auto"/>
                      <w:sz w:val="21"/>
                      <w:szCs w:val="21"/>
                      <w:u w:val="none"/>
                      <w:lang w:val="en-US" w:eastAsia="zh-CN"/>
                    </w:rPr>
                    <w:t>-打入模具</w:t>
                  </w:r>
                </w:p>
              </w:tc>
              <w:tc>
                <w:tcPr>
                  <w:tcW w:w="589" w:type="pct"/>
                  <w:tcBorders>
                    <w:tl2br w:val="nil"/>
                    <w:tr2bl w:val="nil"/>
                  </w:tcBorders>
                  <w:vAlign w:val="center"/>
                </w:tcPr>
                <w:p w14:paraId="3D6BCBA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不合格产品</w:t>
                  </w:r>
                </w:p>
              </w:tc>
              <w:tc>
                <w:tcPr>
                  <w:tcW w:w="748" w:type="pct"/>
                  <w:tcBorders>
                    <w:tl2br w:val="nil"/>
                    <w:tr2bl w:val="nil"/>
                  </w:tcBorders>
                  <w:vAlign w:val="center"/>
                </w:tcPr>
                <w:p w14:paraId="4410147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一般工业固体废物</w:t>
                  </w:r>
                </w:p>
              </w:tc>
              <w:tc>
                <w:tcPr>
                  <w:tcW w:w="760" w:type="pct"/>
                  <w:tcBorders>
                    <w:tl2br w:val="nil"/>
                    <w:tr2bl w:val="nil"/>
                  </w:tcBorders>
                  <w:vAlign w:val="center"/>
                </w:tcPr>
                <w:p w14:paraId="551554F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kern w:val="2"/>
                      <w:sz w:val="21"/>
                      <w:szCs w:val="21"/>
                      <w:u w:val="none"/>
                      <w:lang w:val="en-US" w:eastAsia="zh-CN" w:bidi="ar-SA"/>
                    </w:rPr>
                    <w:t>900-099-S17</w:t>
                  </w:r>
                </w:p>
              </w:tc>
              <w:tc>
                <w:tcPr>
                  <w:tcW w:w="471" w:type="pct"/>
                  <w:tcBorders>
                    <w:tl2br w:val="nil"/>
                    <w:tr2bl w:val="nil"/>
                  </w:tcBorders>
                  <w:vAlign w:val="center"/>
                </w:tcPr>
                <w:p w14:paraId="7557892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7.5t/a</w:t>
                  </w:r>
                </w:p>
              </w:tc>
              <w:tc>
                <w:tcPr>
                  <w:tcW w:w="485" w:type="pct"/>
                  <w:vMerge w:val="continue"/>
                  <w:tcBorders>
                    <w:tl2br w:val="nil"/>
                    <w:tr2bl w:val="nil"/>
                  </w:tcBorders>
                  <w:vAlign w:val="center"/>
                </w:tcPr>
                <w:p w14:paraId="38063F4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p>
              </w:tc>
              <w:tc>
                <w:tcPr>
                  <w:tcW w:w="1131" w:type="pct"/>
                  <w:tcBorders>
                    <w:tl2br w:val="nil"/>
                    <w:tr2bl w:val="nil"/>
                  </w:tcBorders>
                  <w:vAlign w:val="center"/>
                </w:tcPr>
                <w:p w14:paraId="6263AD6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回用于生产线</w:t>
                  </w:r>
                </w:p>
              </w:tc>
            </w:tr>
            <w:tr w14:paraId="48C022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2" w:type="pct"/>
                  <w:tcBorders>
                    <w:tl2br w:val="nil"/>
                    <w:tr2bl w:val="nil"/>
                  </w:tcBorders>
                  <w:vAlign w:val="center"/>
                </w:tcPr>
                <w:p w14:paraId="594B15D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投料工序</w:t>
                  </w:r>
                </w:p>
              </w:tc>
              <w:tc>
                <w:tcPr>
                  <w:tcW w:w="589" w:type="pct"/>
                  <w:tcBorders>
                    <w:tl2br w:val="nil"/>
                    <w:tr2bl w:val="nil"/>
                  </w:tcBorders>
                  <w:vAlign w:val="center"/>
                </w:tcPr>
                <w:p w14:paraId="6D89D3D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废包装袋</w:t>
                  </w:r>
                </w:p>
              </w:tc>
              <w:tc>
                <w:tcPr>
                  <w:tcW w:w="748" w:type="pct"/>
                  <w:tcBorders>
                    <w:tl2br w:val="nil"/>
                    <w:tr2bl w:val="nil"/>
                  </w:tcBorders>
                  <w:vAlign w:val="center"/>
                </w:tcPr>
                <w:p w14:paraId="3EF5C1F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一般工业固体废物</w:t>
                  </w:r>
                </w:p>
              </w:tc>
              <w:tc>
                <w:tcPr>
                  <w:tcW w:w="760" w:type="pct"/>
                  <w:tcBorders>
                    <w:tl2br w:val="nil"/>
                    <w:tr2bl w:val="nil"/>
                  </w:tcBorders>
                  <w:vAlign w:val="center"/>
                </w:tcPr>
                <w:p w14:paraId="6962747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900-007-S17</w:t>
                  </w:r>
                </w:p>
              </w:tc>
              <w:tc>
                <w:tcPr>
                  <w:tcW w:w="471" w:type="pct"/>
                  <w:tcBorders>
                    <w:tl2br w:val="nil"/>
                    <w:tr2bl w:val="nil"/>
                  </w:tcBorders>
                  <w:vAlign w:val="center"/>
                </w:tcPr>
                <w:p w14:paraId="2080D2F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eastAsia" w:eastAsia="新宋体" w:cs="Times New Roman"/>
                      <w:color w:val="auto"/>
                      <w:sz w:val="21"/>
                      <w:szCs w:val="21"/>
                      <w:u w:val="none"/>
                      <w:lang w:val="en-US" w:eastAsia="zh-CN"/>
                    </w:rPr>
                    <w:t>12000个/a</w:t>
                  </w:r>
                </w:p>
              </w:tc>
              <w:tc>
                <w:tcPr>
                  <w:tcW w:w="485" w:type="pct"/>
                  <w:vMerge w:val="continue"/>
                  <w:tcBorders>
                    <w:tl2br w:val="nil"/>
                    <w:tr2bl w:val="nil"/>
                  </w:tcBorders>
                  <w:vAlign w:val="center"/>
                </w:tcPr>
                <w:p w14:paraId="11FADCF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p>
              </w:tc>
              <w:tc>
                <w:tcPr>
                  <w:tcW w:w="1131" w:type="pct"/>
                  <w:tcBorders>
                    <w:tl2br w:val="nil"/>
                    <w:tr2bl w:val="nil"/>
                  </w:tcBorders>
                  <w:vAlign w:val="center"/>
                </w:tcPr>
                <w:p w14:paraId="7B718D4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出售给资源回收利用公司处置</w:t>
                  </w:r>
                </w:p>
              </w:tc>
            </w:tr>
            <w:tr w14:paraId="45A33C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2" w:type="pct"/>
                  <w:vMerge w:val="restart"/>
                  <w:tcBorders>
                    <w:tl2br w:val="nil"/>
                    <w:tr2bl w:val="nil"/>
                  </w:tcBorders>
                  <w:vAlign w:val="center"/>
                </w:tcPr>
                <w:p w14:paraId="6F3037B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脱模工序</w:t>
                  </w:r>
                </w:p>
              </w:tc>
              <w:tc>
                <w:tcPr>
                  <w:tcW w:w="589" w:type="pct"/>
                  <w:tcBorders>
                    <w:tl2br w:val="nil"/>
                    <w:tr2bl w:val="nil"/>
                  </w:tcBorders>
                  <w:vAlign w:val="center"/>
                </w:tcPr>
                <w:p w14:paraId="5E4639C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eastAsia" w:eastAsia="新宋体" w:cs="Times New Roman"/>
                      <w:color w:val="auto"/>
                      <w:sz w:val="21"/>
                      <w:szCs w:val="21"/>
                      <w:u w:val="none"/>
                      <w:lang w:val="en-US" w:eastAsia="zh-CN"/>
                    </w:rPr>
                    <w:t>废模具</w:t>
                  </w:r>
                </w:p>
              </w:tc>
              <w:tc>
                <w:tcPr>
                  <w:tcW w:w="748" w:type="pct"/>
                  <w:tcBorders>
                    <w:tl2br w:val="nil"/>
                    <w:tr2bl w:val="nil"/>
                  </w:tcBorders>
                  <w:vAlign w:val="center"/>
                </w:tcPr>
                <w:p w14:paraId="3BC65EA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一般工业固体废物</w:t>
                  </w:r>
                </w:p>
              </w:tc>
              <w:tc>
                <w:tcPr>
                  <w:tcW w:w="760" w:type="pct"/>
                  <w:tcBorders>
                    <w:tl2br w:val="nil"/>
                    <w:tr2bl w:val="nil"/>
                  </w:tcBorders>
                  <w:vAlign w:val="center"/>
                </w:tcPr>
                <w:p w14:paraId="4F95E04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eastAsia" w:eastAsia="新宋体" w:cs="Times New Roman"/>
                      <w:color w:val="auto"/>
                      <w:sz w:val="21"/>
                      <w:szCs w:val="21"/>
                      <w:u w:val="none"/>
                      <w:lang w:val="en-US" w:eastAsia="zh-CN"/>
                    </w:rPr>
                    <w:t>900-001-S17</w:t>
                  </w:r>
                </w:p>
              </w:tc>
              <w:tc>
                <w:tcPr>
                  <w:tcW w:w="471" w:type="pct"/>
                  <w:tcBorders>
                    <w:tl2br w:val="nil"/>
                    <w:tr2bl w:val="nil"/>
                  </w:tcBorders>
                  <w:vAlign w:val="center"/>
                </w:tcPr>
                <w:p w14:paraId="7561C40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新宋体" w:cs="Times New Roman"/>
                      <w:color w:val="auto"/>
                      <w:sz w:val="21"/>
                      <w:szCs w:val="21"/>
                      <w:u w:val="none"/>
                      <w:lang w:val="en-US" w:eastAsia="zh-CN"/>
                    </w:rPr>
                  </w:pPr>
                  <w:r>
                    <w:rPr>
                      <w:rFonts w:hint="eastAsia" w:eastAsia="新宋体" w:cs="Times New Roman"/>
                      <w:color w:val="auto"/>
                      <w:sz w:val="21"/>
                      <w:szCs w:val="21"/>
                      <w:u w:val="none"/>
                      <w:lang w:val="en-US" w:eastAsia="zh-CN"/>
                    </w:rPr>
                    <w:t>0.04t/a</w:t>
                  </w:r>
                </w:p>
              </w:tc>
              <w:tc>
                <w:tcPr>
                  <w:tcW w:w="485" w:type="pct"/>
                  <w:vMerge w:val="continue"/>
                  <w:tcBorders>
                    <w:tl2br w:val="nil"/>
                    <w:tr2bl w:val="nil"/>
                  </w:tcBorders>
                  <w:vAlign w:val="center"/>
                </w:tcPr>
                <w:p w14:paraId="7D38EF8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p>
              </w:tc>
              <w:tc>
                <w:tcPr>
                  <w:tcW w:w="1131" w:type="pct"/>
                  <w:tcBorders>
                    <w:tl2br w:val="nil"/>
                    <w:tr2bl w:val="nil"/>
                  </w:tcBorders>
                  <w:vAlign w:val="center"/>
                </w:tcPr>
                <w:p w14:paraId="1D0A4A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交由第三方钢铁回收单位处置</w:t>
                  </w:r>
                </w:p>
              </w:tc>
            </w:tr>
            <w:tr w14:paraId="5DB428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2" w:type="pct"/>
                  <w:vMerge w:val="continue"/>
                  <w:tcBorders>
                    <w:tl2br w:val="nil"/>
                    <w:tr2bl w:val="nil"/>
                  </w:tcBorders>
                  <w:vAlign w:val="center"/>
                </w:tcPr>
                <w:p w14:paraId="3D7ACDD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p>
              </w:tc>
              <w:tc>
                <w:tcPr>
                  <w:tcW w:w="589" w:type="pct"/>
                  <w:tcBorders>
                    <w:tl2br w:val="nil"/>
                    <w:tr2bl w:val="nil"/>
                  </w:tcBorders>
                  <w:vAlign w:val="center"/>
                </w:tcPr>
                <w:p w14:paraId="349EB10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废包装桶</w:t>
                  </w:r>
                </w:p>
              </w:tc>
              <w:tc>
                <w:tcPr>
                  <w:tcW w:w="748" w:type="pct"/>
                  <w:tcBorders>
                    <w:tl2br w:val="nil"/>
                    <w:tr2bl w:val="nil"/>
                  </w:tcBorders>
                  <w:vAlign w:val="center"/>
                </w:tcPr>
                <w:p w14:paraId="6BAA8E2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一般工业固体废物</w:t>
                  </w:r>
                </w:p>
              </w:tc>
              <w:tc>
                <w:tcPr>
                  <w:tcW w:w="760" w:type="pct"/>
                  <w:tcBorders>
                    <w:tl2br w:val="nil"/>
                    <w:tr2bl w:val="nil"/>
                  </w:tcBorders>
                  <w:vAlign w:val="center"/>
                </w:tcPr>
                <w:p w14:paraId="34E25DC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900-003-S17</w:t>
                  </w:r>
                </w:p>
              </w:tc>
              <w:tc>
                <w:tcPr>
                  <w:tcW w:w="471" w:type="pct"/>
                  <w:tcBorders>
                    <w:tl2br w:val="nil"/>
                    <w:tr2bl w:val="nil"/>
                  </w:tcBorders>
                  <w:vAlign w:val="center"/>
                </w:tcPr>
                <w:p w14:paraId="748D875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eastAsia" w:eastAsia="新宋体" w:cs="Times New Roman"/>
                      <w:color w:val="auto"/>
                      <w:sz w:val="21"/>
                      <w:szCs w:val="21"/>
                      <w:u w:val="none"/>
                      <w:lang w:val="en-US" w:eastAsia="zh-CN"/>
                    </w:rPr>
                    <w:t>800个/a</w:t>
                  </w:r>
                </w:p>
              </w:tc>
              <w:tc>
                <w:tcPr>
                  <w:tcW w:w="485" w:type="pct"/>
                  <w:vMerge w:val="continue"/>
                  <w:tcBorders>
                    <w:tl2br w:val="nil"/>
                    <w:tr2bl w:val="nil"/>
                  </w:tcBorders>
                  <w:vAlign w:val="center"/>
                </w:tcPr>
                <w:p w14:paraId="2192DD5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p>
              </w:tc>
              <w:tc>
                <w:tcPr>
                  <w:tcW w:w="1131" w:type="pct"/>
                  <w:tcBorders>
                    <w:tl2br w:val="nil"/>
                    <w:tr2bl w:val="nil"/>
                  </w:tcBorders>
                  <w:vAlign w:val="center"/>
                </w:tcPr>
                <w:p w14:paraId="1E2F792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出售给资源回收利用公司置</w:t>
                  </w:r>
                </w:p>
              </w:tc>
            </w:tr>
            <w:tr w14:paraId="7C128C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2" w:type="pct"/>
                  <w:tcBorders>
                    <w:tl2br w:val="nil"/>
                    <w:tr2bl w:val="nil"/>
                  </w:tcBorders>
                  <w:vAlign w:val="center"/>
                </w:tcPr>
                <w:p w14:paraId="25AB61E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劳动定员</w:t>
                  </w:r>
                </w:p>
              </w:tc>
              <w:tc>
                <w:tcPr>
                  <w:tcW w:w="589" w:type="pct"/>
                  <w:tcBorders>
                    <w:tl2br w:val="nil"/>
                    <w:tr2bl w:val="nil"/>
                  </w:tcBorders>
                  <w:vAlign w:val="center"/>
                </w:tcPr>
                <w:p w14:paraId="3A86964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生活垃圾</w:t>
                  </w:r>
                </w:p>
              </w:tc>
              <w:tc>
                <w:tcPr>
                  <w:tcW w:w="748" w:type="pct"/>
                  <w:tcBorders>
                    <w:tl2br w:val="nil"/>
                    <w:tr2bl w:val="nil"/>
                  </w:tcBorders>
                  <w:vAlign w:val="center"/>
                </w:tcPr>
                <w:p w14:paraId="68EF989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w:t>
                  </w:r>
                </w:p>
              </w:tc>
              <w:tc>
                <w:tcPr>
                  <w:tcW w:w="760" w:type="pct"/>
                  <w:tcBorders>
                    <w:tl2br w:val="nil"/>
                    <w:tr2bl w:val="nil"/>
                  </w:tcBorders>
                  <w:vAlign w:val="center"/>
                </w:tcPr>
                <w:p w14:paraId="4129680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900-099-S64</w:t>
                  </w:r>
                </w:p>
              </w:tc>
              <w:tc>
                <w:tcPr>
                  <w:tcW w:w="471" w:type="pct"/>
                  <w:tcBorders>
                    <w:tl2br w:val="nil"/>
                    <w:tr2bl w:val="nil"/>
                  </w:tcBorders>
                  <w:vAlign w:val="center"/>
                </w:tcPr>
                <w:p w14:paraId="7849A23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eastAsia" w:eastAsia="新宋体" w:cs="Times New Roman"/>
                      <w:color w:val="auto"/>
                      <w:sz w:val="21"/>
                      <w:szCs w:val="21"/>
                      <w:u w:val="none"/>
                      <w:lang w:val="en-US" w:eastAsia="zh-CN"/>
                    </w:rPr>
                    <w:t>2.52</w:t>
                  </w:r>
                </w:p>
              </w:tc>
              <w:tc>
                <w:tcPr>
                  <w:tcW w:w="485" w:type="pct"/>
                  <w:tcBorders>
                    <w:tl2br w:val="nil"/>
                    <w:tr2bl w:val="nil"/>
                  </w:tcBorders>
                  <w:vAlign w:val="center"/>
                </w:tcPr>
                <w:p w14:paraId="4D0BD9D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eastAsia" w:eastAsia="新宋体" w:cs="Times New Roman"/>
                      <w:color w:val="auto"/>
                      <w:sz w:val="21"/>
                      <w:szCs w:val="21"/>
                      <w:u w:val="none"/>
                      <w:lang w:val="en-US" w:eastAsia="zh-CN"/>
                    </w:rPr>
                    <w:t>南侧垃圾船</w:t>
                  </w:r>
                </w:p>
              </w:tc>
              <w:tc>
                <w:tcPr>
                  <w:tcW w:w="1131" w:type="pct"/>
                  <w:tcBorders>
                    <w:tl2br w:val="nil"/>
                    <w:tr2bl w:val="nil"/>
                  </w:tcBorders>
                  <w:vAlign w:val="center"/>
                </w:tcPr>
                <w:p w14:paraId="646112D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交由环卫部门统一清运</w:t>
                  </w:r>
                </w:p>
              </w:tc>
            </w:tr>
            <w:tr w14:paraId="183131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2" w:type="pct"/>
                  <w:vMerge w:val="restart"/>
                  <w:tcBorders>
                    <w:tl2br w:val="nil"/>
                    <w:tr2bl w:val="nil"/>
                  </w:tcBorders>
                  <w:vAlign w:val="center"/>
                </w:tcPr>
                <w:p w14:paraId="101A947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设备保养</w:t>
                  </w:r>
                </w:p>
              </w:tc>
              <w:tc>
                <w:tcPr>
                  <w:tcW w:w="589" w:type="pct"/>
                  <w:tcBorders>
                    <w:tl2br w:val="nil"/>
                    <w:tr2bl w:val="nil"/>
                  </w:tcBorders>
                  <w:vAlign w:val="center"/>
                </w:tcPr>
                <w:p w14:paraId="2DE6C74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废机油</w:t>
                  </w:r>
                </w:p>
              </w:tc>
              <w:tc>
                <w:tcPr>
                  <w:tcW w:w="748" w:type="pct"/>
                  <w:tcBorders>
                    <w:tl2br w:val="nil"/>
                    <w:tr2bl w:val="nil"/>
                  </w:tcBorders>
                  <w:vAlign w:val="center"/>
                </w:tcPr>
                <w:p w14:paraId="42CA880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危险废物</w:t>
                  </w:r>
                </w:p>
              </w:tc>
              <w:tc>
                <w:tcPr>
                  <w:tcW w:w="760" w:type="pct"/>
                  <w:tcBorders>
                    <w:tl2br w:val="nil"/>
                    <w:tr2bl w:val="nil"/>
                  </w:tcBorders>
                  <w:vAlign w:val="top"/>
                </w:tcPr>
                <w:p w14:paraId="51DA7E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900-214-08</w:t>
                  </w:r>
                </w:p>
              </w:tc>
              <w:tc>
                <w:tcPr>
                  <w:tcW w:w="471" w:type="pct"/>
                  <w:tcBorders>
                    <w:tl2br w:val="nil"/>
                    <w:tr2bl w:val="nil"/>
                  </w:tcBorders>
                  <w:vAlign w:val="center"/>
                </w:tcPr>
                <w:p w14:paraId="39AA96A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eastAsia" w:ascii="Times New Roman" w:hAnsi="Times New Roman" w:eastAsia="新宋体" w:cs="Times New Roman"/>
                      <w:color w:val="auto"/>
                      <w:sz w:val="21"/>
                      <w:szCs w:val="21"/>
                      <w:u w:val="none"/>
                      <w:lang w:val="en-US" w:eastAsia="zh-CN"/>
                    </w:rPr>
                    <w:t>0.08</w:t>
                  </w:r>
                </w:p>
              </w:tc>
              <w:tc>
                <w:tcPr>
                  <w:tcW w:w="485" w:type="pct"/>
                  <w:vMerge w:val="restart"/>
                  <w:tcBorders>
                    <w:tl2br w:val="nil"/>
                    <w:tr2bl w:val="nil"/>
                  </w:tcBorders>
                  <w:vAlign w:val="center"/>
                </w:tcPr>
                <w:p w14:paraId="734163F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eastAsia" w:eastAsia="新宋体" w:cs="Times New Roman"/>
                      <w:color w:val="auto"/>
                      <w:sz w:val="21"/>
                      <w:szCs w:val="21"/>
                      <w:u w:val="none"/>
                      <w:lang w:val="en-US" w:eastAsia="zh-CN"/>
                    </w:rPr>
                    <w:t>危废暂存间</w:t>
                  </w:r>
                </w:p>
              </w:tc>
              <w:tc>
                <w:tcPr>
                  <w:tcW w:w="1131" w:type="pct"/>
                  <w:vMerge w:val="restart"/>
                  <w:tcBorders>
                    <w:tl2br w:val="nil"/>
                    <w:tr2bl w:val="nil"/>
                  </w:tcBorders>
                  <w:vAlign w:val="center"/>
                </w:tcPr>
                <w:p w14:paraId="5DC01E5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eastAsia" w:eastAsia="新宋体" w:cs="Times New Roman"/>
                      <w:color w:val="auto"/>
                      <w:sz w:val="21"/>
                      <w:szCs w:val="21"/>
                      <w:u w:val="none"/>
                      <w:lang w:val="en-US" w:eastAsia="zh-CN"/>
                    </w:rPr>
                    <w:t>拟交由巴州联合环境治理有限公司不定期安全处置</w:t>
                  </w:r>
                </w:p>
              </w:tc>
            </w:tr>
            <w:tr w14:paraId="27F003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2" w:type="pct"/>
                  <w:vMerge w:val="continue"/>
                  <w:tcBorders>
                    <w:tl2br w:val="nil"/>
                    <w:tr2bl w:val="nil"/>
                  </w:tcBorders>
                  <w:vAlign w:val="center"/>
                </w:tcPr>
                <w:p w14:paraId="263239E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p>
              </w:tc>
              <w:tc>
                <w:tcPr>
                  <w:tcW w:w="589" w:type="pct"/>
                  <w:tcBorders>
                    <w:tl2br w:val="nil"/>
                    <w:tr2bl w:val="nil"/>
                  </w:tcBorders>
                  <w:vAlign w:val="center"/>
                </w:tcPr>
                <w:p w14:paraId="7C8D24C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eastAsia" w:eastAsia="新宋体" w:cs="Times New Roman"/>
                      <w:color w:val="auto"/>
                      <w:sz w:val="21"/>
                      <w:szCs w:val="21"/>
                      <w:u w:val="none"/>
                      <w:lang w:val="en-US" w:eastAsia="zh-CN"/>
                    </w:rPr>
                    <w:t>废油桶</w:t>
                  </w:r>
                </w:p>
              </w:tc>
              <w:tc>
                <w:tcPr>
                  <w:tcW w:w="748" w:type="pct"/>
                  <w:tcBorders>
                    <w:tl2br w:val="nil"/>
                    <w:tr2bl w:val="nil"/>
                  </w:tcBorders>
                  <w:vAlign w:val="center"/>
                </w:tcPr>
                <w:p w14:paraId="2A194C5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危险废物</w:t>
                  </w:r>
                </w:p>
              </w:tc>
              <w:tc>
                <w:tcPr>
                  <w:tcW w:w="760" w:type="pct"/>
                  <w:tcBorders>
                    <w:tl2br w:val="nil"/>
                    <w:tr2bl w:val="nil"/>
                  </w:tcBorders>
                  <w:vAlign w:val="center"/>
                </w:tcPr>
                <w:p w14:paraId="23D6F52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default" w:ascii="Times New Roman" w:hAnsi="Times New Roman" w:eastAsia="新宋体" w:cs="Times New Roman"/>
                      <w:color w:val="auto"/>
                      <w:sz w:val="21"/>
                      <w:szCs w:val="21"/>
                      <w:u w:val="none"/>
                      <w:lang w:val="en-US" w:eastAsia="zh-CN"/>
                    </w:rPr>
                    <w:t>900-249-08</w:t>
                  </w:r>
                </w:p>
              </w:tc>
              <w:tc>
                <w:tcPr>
                  <w:tcW w:w="471" w:type="pct"/>
                  <w:tcBorders>
                    <w:tl2br w:val="nil"/>
                    <w:tr2bl w:val="nil"/>
                  </w:tcBorders>
                  <w:vAlign w:val="center"/>
                </w:tcPr>
                <w:p w14:paraId="491A032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r>
                    <w:rPr>
                      <w:rFonts w:hint="eastAsia" w:ascii="Times New Roman" w:hAnsi="Times New Roman" w:eastAsia="新宋体" w:cs="Times New Roman"/>
                      <w:color w:val="auto"/>
                      <w:sz w:val="21"/>
                      <w:szCs w:val="21"/>
                      <w:u w:val="none"/>
                      <w:lang w:val="en-US" w:eastAsia="zh-CN"/>
                    </w:rPr>
                    <w:t>0.004</w:t>
                  </w:r>
                </w:p>
              </w:tc>
              <w:tc>
                <w:tcPr>
                  <w:tcW w:w="485" w:type="pct"/>
                  <w:vMerge w:val="continue"/>
                  <w:tcBorders>
                    <w:tl2br w:val="nil"/>
                    <w:tr2bl w:val="nil"/>
                  </w:tcBorders>
                  <w:vAlign w:val="center"/>
                </w:tcPr>
                <w:p w14:paraId="6F2F122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p>
              </w:tc>
              <w:tc>
                <w:tcPr>
                  <w:tcW w:w="1131" w:type="pct"/>
                  <w:vMerge w:val="continue"/>
                  <w:tcBorders>
                    <w:tl2br w:val="nil"/>
                    <w:tr2bl w:val="nil"/>
                  </w:tcBorders>
                  <w:vAlign w:val="center"/>
                </w:tcPr>
                <w:p w14:paraId="05729A8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auto"/>
                      <w:sz w:val="21"/>
                      <w:szCs w:val="21"/>
                      <w:u w:val="none"/>
                      <w:lang w:val="en-US" w:eastAsia="zh-CN"/>
                    </w:rPr>
                  </w:pPr>
                </w:p>
              </w:tc>
            </w:tr>
          </w:tbl>
          <w:p w14:paraId="74BC4EE9">
            <w:pPr>
              <w:keepNext w:val="0"/>
              <w:keepLines w:val="0"/>
              <w:widowControl/>
              <w:suppressLineNumbers w:val="0"/>
              <w:jc w:val="left"/>
              <w:rPr>
                <w:rFonts w:hint="default" w:ascii="Times New Roman" w:hAnsi="Times New Roman" w:eastAsia="新宋体" w:cs="Times New Roman"/>
                <w:b/>
                <w:bCs/>
                <w:color w:val="000000" w:themeColor="text1"/>
                <w:kern w:val="0"/>
                <w:sz w:val="24"/>
                <w:szCs w:val="24"/>
                <w:lang w:val="en-US" w:eastAsia="zh-CN" w:bidi="ar"/>
                <w14:textFill>
                  <w14:solidFill>
                    <w14:schemeClr w14:val="tx1"/>
                  </w14:solidFill>
                </w14:textFill>
              </w:rPr>
            </w:pPr>
            <w:r>
              <w:rPr>
                <w:rFonts w:hint="eastAsia" w:eastAsia="新宋体" w:cs="Times New Roman"/>
                <w:b/>
                <w:bCs/>
                <w:color w:val="000000" w:themeColor="text1"/>
                <w:kern w:val="0"/>
                <w:sz w:val="24"/>
                <w:szCs w:val="24"/>
                <w:lang w:val="en-US" w:eastAsia="zh-CN" w:bidi="ar"/>
                <w14:textFill>
                  <w14:solidFill>
                    <w14:schemeClr w14:val="tx1"/>
                  </w14:solidFill>
                </w14:textFill>
              </w:rPr>
              <w:t>4.3固体废物管理要求</w:t>
            </w:r>
          </w:p>
          <w:p w14:paraId="54E693EF">
            <w:pPr>
              <w:pStyle w:val="84"/>
              <w:keepNext w:val="0"/>
              <w:keepLines w:val="0"/>
              <w:pageBreakBefore w:val="0"/>
              <w:kinsoku/>
              <w:wordWrap/>
              <w:overflowPunct/>
              <w:topLinePunct w:val="0"/>
              <w:autoSpaceDE/>
              <w:autoSpaceDN/>
              <w:bidi w:val="0"/>
              <w:adjustRightInd/>
              <w:snapToGrid/>
              <w:spacing w:line="360" w:lineRule="auto"/>
              <w:ind w:left="0" w:right="0"/>
              <w:textAlignment w:val="auto"/>
              <w:rPr>
                <w:rFonts w:hint="default" w:ascii="Times New Roman" w:hAnsi="Times New Roman" w:eastAsia="新宋体" w:cs="Times New Roman"/>
                <w:b/>
                <w:bCs/>
                <w:color w:val="000000" w:themeColor="text1"/>
                <w:kern w:val="0"/>
                <w:sz w:val="24"/>
                <w:szCs w:val="24"/>
                <w:lang w:val="en-US" w:eastAsia="zh-CN" w:bidi="ar"/>
                <w14:textFill>
                  <w14:solidFill>
                    <w14:schemeClr w14:val="tx1"/>
                  </w14:solidFill>
                </w14:textFill>
              </w:rPr>
            </w:pPr>
            <w:r>
              <w:rPr>
                <w:rFonts w:hint="eastAsia" w:ascii="Times New Roman" w:hAnsi="Times New Roman" w:eastAsia="新宋体" w:cs="Times New Roman"/>
                <w:b/>
                <w:bCs/>
                <w:color w:val="000000" w:themeColor="text1"/>
                <w:kern w:val="0"/>
                <w:sz w:val="24"/>
                <w:szCs w:val="24"/>
                <w:lang w:val="en-US" w:eastAsia="zh-CN" w:bidi="ar"/>
                <w14:textFill>
                  <w14:solidFill>
                    <w14:schemeClr w14:val="tx1"/>
                  </w14:solidFill>
                </w14:textFill>
              </w:rPr>
              <w:t>4.3.1</w:t>
            </w:r>
            <w:r>
              <w:rPr>
                <w:rFonts w:hint="default" w:ascii="Times New Roman" w:hAnsi="Times New Roman" w:eastAsia="新宋体" w:cs="Times New Roman"/>
                <w:b/>
                <w:bCs/>
                <w:color w:val="000000" w:themeColor="text1"/>
                <w:kern w:val="0"/>
                <w:sz w:val="24"/>
                <w:szCs w:val="24"/>
                <w:lang w:val="en-US" w:eastAsia="zh-CN" w:bidi="ar"/>
                <w14:textFill>
                  <w14:solidFill>
                    <w14:schemeClr w14:val="tx1"/>
                  </w14:solidFill>
                </w14:textFill>
              </w:rPr>
              <w:t>一般工业固体废物处置要求</w:t>
            </w:r>
          </w:p>
          <w:p w14:paraId="0A0FE230">
            <w:pPr>
              <w:pStyle w:val="8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bCs w:val="0"/>
                <w:color w:val="000000" w:themeColor="text1"/>
                <w:spacing w:val="10"/>
                <w:kern w:val="0"/>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本项目将严格按照</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《中华人民共和国固体废物污染环境防治法》（2020年9月1日</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修订</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“防扬散、防流失、防渗漏或者其他防止污染环境的措施，不得擅自倾倒、堆放、丢弃、遗撒固体废物”的要求做好“三防”，</w:t>
            </w:r>
            <w:r>
              <w:rPr>
                <w:rFonts w:hint="default" w:ascii="Times New Roman" w:hAnsi="Times New Roman" w:eastAsia="宋体" w:cs="Times New Roman"/>
                <w:color w:val="000000" w:themeColor="text1"/>
                <w:kern w:val="0"/>
                <w:sz w:val="24"/>
                <w:szCs w:val="20"/>
                <w:highlight w:val="none"/>
                <w:lang w:val="en-US" w:eastAsia="zh-CN"/>
                <w14:textFill>
                  <w14:solidFill>
                    <w14:schemeClr w14:val="tx1"/>
                  </w14:solidFill>
                </w14:textFill>
              </w:rPr>
              <w:t>各类固体废物妥善处置，不得形成二次污染</w:t>
            </w:r>
            <w:r>
              <w:rPr>
                <w:rFonts w:hint="default" w:ascii="Times New Roman" w:hAnsi="Times New Roman" w:cs="Times New Roman"/>
                <w:color w:val="000000" w:themeColor="text1"/>
                <w:kern w:val="0"/>
                <w:sz w:val="24"/>
                <w:szCs w:val="20"/>
                <w:highlight w:val="none"/>
                <w:lang w:val="en-US" w:eastAsia="zh-CN"/>
                <w14:textFill>
                  <w14:solidFill>
                    <w14:schemeClr w14:val="tx1"/>
                  </w14:solidFill>
                </w14:textFill>
              </w:rPr>
              <w:t>，</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同时禁止向生活垃圾收集设施中投放工业固体废物。</w:t>
            </w:r>
            <w:r>
              <w:rPr>
                <w:rFonts w:hint="default" w:ascii="Times New Roman" w:hAnsi="Times New Roman" w:eastAsia="宋体" w:cs="Times New Roman"/>
                <w:color w:val="000000" w:themeColor="text1"/>
                <w:kern w:val="0"/>
                <w:sz w:val="24"/>
                <w:szCs w:val="20"/>
                <w:highlight w:val="none"/>
                <w:lang w:val="en-US" w:eastAsia="zh-CN"/>
                <w14:textFill>
                  <w14:solidFill>
                    <w14:schemeClr w14:val="tx1"/>
                  </w14:solidFill>
                </w14:textFill>
              </w:rPr>
              <w:t>一般工业固废厂区内暂存参照执行《一般工业固体废物贮存和填埋污染控制标准》</w:t>
            </w:r>
            <w:r>
              <w:rPr>
                <w:rFonts w:hint="eastAsia" w:ascii="Times New Roman" w:hAnsi="Times New Roman" w:cs="Times New Roman"/>
                <w:color w:val="000000" w:themeColor="text1"/>
                <w:kern w:val="0"/>
                <w:sz w:val="24"/>
                <w:szCs w:val="20"/>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0"/>
                <w:highlight w:val="none"/>
                <w:lang w:val="en-US" w:eastAsia="zh-CN"/>
                <w14:textFill>
                  <w14:solidFill>
                    <w14:schemeClr w14:val="tx1"/>
                  </w14:solidFill>
                </w14:textFill>
              </w:rPr>
              <w:t>GB18599-2020</w:t>
            </w:r>
            <w:r>
              <w:rPr>
                <w:rFonts w:hint="eastAsia" w:ascii="Times New Roman" w:hAnsi="Times New Roman" w:cs="Times New Roman"/>
                <w:color w:val="000000" w:themeColor="text1"/>
                <w:kern w:val="0"/>
                <w:sz w:val="24"/>
                <w:szCs w:val="20"/>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0"/>
                <w:highlight w:val="none"/>
                <w:lang w:val="en-US" w:eastAsia="zh-CN"/>
                <w14:textFill>
                  <w14:solidFill>
                    <w14:schemeClr w14:val="tx1"/>
                  </w14:solidFill>
                </w14:textFill>
              </w:rPr>
              <w:t>中的“其贮存过程应满足相应防渗漏、防雨淋、防扬尘等环境保护要求”。</w:t>
            </w:r>
          </w:p>
          <w:p w14:paraId="0E2299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建设单位应根据《一般工业固体废物规范化环境管理指南（征求意见稿）》（环办便函〔2024〕256号）管理台账制度及贮存管理要求落实以下要求：</w:t>
            </w:r>
          </w:p>
          <w:p w14:paraId="65E1C4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w:t>
            </w:r>
            <w:r>
              <w:rPr>
                <w:rFonts w:hint="eastAsia" w:cs="Times New Roman"/>
                <w:color w:val="000000" w:themeColor="text1"/>
                <w:kern w:val="2"/>
                <w:sz w:val="24"/>
                <w:szCs w:val="24"/>
                <w:highlight w:val="none"/>
                <w:lang w:val="en-US" w:eastAsia="zh-CN" w:bidi="ar-SA"/>
                <w14:textFill>
                  <w14:solidFill>
                    <w14:schemeClr w14:val="tx1"/>
                  </w14:solidFill>
                </w14:textFill>
              </w:rPr>
              <w:t>产废</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单位应当按照《一般工业固体废物管理台账制定指南（试行）》要求，建立管理台账，全面、准确地记录一般工业固体废物种类、数量、流向、贮存、利用、处置等信息。鼓励优先使用信息系统建立电子台账，建立电子台账的产生单位，无需再记录纸质台账。无法建立或者不适于使用电子台账的，建立纸质台账。</w:t>
            </w:r>
          </w:p>
          <w:p w14:paraId="53BD1E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采用库房、包装工具（罐、桶、包装袋等）贮存一般工业固体废物，其贮存过程应当设置一般工业固体废物贮存库。贮存库设有雨棚、围堰或围墙，仓库内部地面干净平整无损，地面应当做硬化或其他防渗措施处理，满足防扬散、防流失、防渗漏、防雨淋等环境保护要求，不应露天堆放一般工业固体废物。应在贮存设施显著位置张贴符合《环境保护图形标志-固体废物贮存（处置）场》（GB15562.2）规定的环境保护图形标志，并注明相应固废类别。</w:t>
            </w:r>
          </w:p>
          <w:p w14:paraId="506A535D">
            <w:pPr>
              <w:pStyle w:val="84"/>
              <w:keepNext w:val="0"/>
              <w:keepLines w:val="0"/>
              <w:pageBreakBefore w:val="0"/>
              <w:kinsoku/>
              <w:wordWrap/>
              <w:overflowPunct/>
              <w:topLinePunct w:val="0"/>
              <w:autoSpaceDE/>
              <w:autoSpaceDN/>
              <w:bidi w:val="0"/>
              <w:adjustRightInd/>
              <w:snapToGrid/>
              <w:spacing w:line="360" w:lineRule="auto"/>
              <w:ind w:left="0" w:right="0" w:firstLine="457"/>
              <w:jc w:val="both"/>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（3）对照《固体废物分类与代码目录》，将一般工业固体废物分类分区贮存。一般工业固体废物不得混入生活垃圾和危险废物，不得向生活垃圾收集设施中投放工业固体废物。</w:t>
            </w:r>
          </w:p>
          <w:p w14:paraId="474D5BE1">
            <w:pPr>
              <w:keepNext w:val="0"/>
              <w:keepLines w:val="0"/>
              <w:pageBreakBefore w:val="0"/>
              <w:widowControl/>
              <w:suppressLineNumbers w:val="0"/>
              <w:kinsoku/>
              <w:wordWrap/>
              <w:overflowPunct/>
              <w:topLinePunct w:val="0"/>
              <w:autoSpaceDE/>
              <w:autoSpaceDN/>
              <w:bidi w:val="0"/>
              <w:adjustRightInd/>
              <w:snapToGrid/>
              <w:spacing w:line="360" w:lineRule="auto"/>
              <w:ind w:left="0" w:right="0"/>
              <w:jc w:val="left"/>
              <w:textAlignment w:val="auto"/>
              <w:rPr>
                <w:rFonts w:hint="default" w:ascii="Times New Roman" w:hAnsi="Times New Roman" w:eastAsia="新宋体" w:cs="Times New Roman"/>
                <w:b/>
                <w:bCs/>
                <w:color w:val="000000" w:themeColor="text1"/>
                <w:kern w:val="0"/>
                <w:sz w:val="24"/>
                <w:szCs w:val="24"/>
                <w:lang w:val="en-US" w:eastAsia="zh-CN" w:bidi="ar"/>
                <w14:textFill>
                  <w14:solidFill>
                    <w14:schemeClr w14:val="tx1"/>
                  </w14:solidFill>
                </w14:textFill>
              </w:rPr>
            </w:pPr>
            <w:r>
              <w:rPr>
                <w:rFonts w:hint="eastAsia" w:eastAsia="新宋体" w:cs="Times New Roman"/>
                <w:b/>
                <w:bCs/>
                <w:color w:val="000000" w:themeColor="text1"/>
                <w:kern w:val="0"/>
                <w:sz w:val="24"/>
                <w:szCs w:val="24"/>
                <w:lang w:val="en-US" w:eastAsia="zh-CN" w:bidi="ar"/>
                <w14:textFill>
                  <w14:solidFill>
                    <w14:schemeClr w14:val="tx1"/>
                  </w14:solidFill>
                </w14:textFill>
              </w:rPr>
              <w:t>4.3.2危险废物处置要求</w:t>
            </w:r>
          </w:p>
          <w:p w14:paraId="632BEBB5">
            <w:pPr>
              <w:keepNext w:val="0"/>
              <w:keepLines w:val="0"/>
              <w:widowControl/>
              <w:suppressLineNumbers w:val="0"/>
              <w:jc w:val="left"/>
              <w:rPr>
                <w:rFonts w:hint="default" w:ascii="Times New Roman" w:hAnsi="Times New Roman" w:eastAsia="新宋体" w:cs="Times New Roman"/>
                <w:color w:val="000000" w:themeColor="text1"/>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公司定期将危废外送处置，一般最长暂存时间为6个月，最大贮存量为0.</w:t>
            </w:r>
            <w:r>
              <w:rPr>
                <w:rFonts w:hint="eastAsia" w:eastAsia="新宋体" w:cs="Times New Roman"/>
                <w:color w:val="000000" w:themeColor="text1"/>
                <w:kern w:val="0"/>
                <w:sz w:val="24"/>
                <w:szCs w:val="24"/>
                <w:lang w:val="en-US" w:eastAsia="zh-CN" w:bidi="ar"/>
                <w14:textFill>
                  <w14:solidFill>
                    <w14:schemeClr w14:val="tx1"/>
                  </w14:solidFill>
                </w14:textFill>
              </w:rPr>
              <w:t>1</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t，在围堰最大容量范围内。因此本项目建成后危废暂存间场所面积能够满足</w:t>
            </w:r>
            <w:r>
              <w:rPr>
                <w:rFonts w:hint="eastAsia" w:eastAsia="新宋体" w:cs="Times New Roman"/>
                <w:color w:val="000000" w:themeColor="text1"/>
                <w:kern w:val="0"/>
                <w:sz w:val="24"/>
                <w:szCs w:val="24"/>
                <w:lang w:val="en-US" w:eastAsia="zh-CN" w:bidi="ar"/>
                <w14:textFill>
                  <w14:solidFill>
                    <w14:schemeClr w14:val="tx1"/>
                  </w14:solidFill>
                </w14:textFill>
              </w:rPr>
              <w:t>本预制厂</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危废贮存需求。危废均存放于危废暂存间内，废</w:t>
            </w:r>
            <w:r>
              <w:rPr>
                <w:rFonts w:hint="eastAsia" w:eastAsia="新宋体" w:cs="Times New Roman"/>
                <w:color w:val="000000" w:themeColor="text1"/>
                <w:kern w:val="0"/>
                <w:sz w:val="24"/>
                <w:szCs w:val="24"/>
                <w:lang w:val="en-US" w:eastAsia="zh-CN" w:bidi="ar"/>
                <w14:textFill>
                  <w14:solidFill>
                    <w14:schemeClr w14:val="tx1"/>
                  </w14:solidFill>
                </w14:textFill>
              </w:rPr>
              <w:t>机</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油铁桶密闭收集置于托盘上，不易发生泄漏或流动；危废暂存间铺设防渗材料做重点防渗，危废不会进入地下水和土壤中，不会对项目周围地下水和土壤产生影响。建设项目周边无敏感目标较远，影响较小。</w:t>
            </w:r>
          </w:p>
          <w:p w14:paraId="44B5E375">
            <w:pPr>
              <w:keepNext w:val="0"/>
              <w:keepLines w:val="0"/>
              <w:widowControl/>
              <w:suppressLineNumbers w:val="0"/>
              <w:jc w:val="left"/>
              <w:rPr>
                <w:rFonts w:hint="default" w:ascii="Times New Roman" w:hAnsi="Times New Roman" w:eastAsia="新宋体" w:cs="Times New Roman"/>
                <w:color w:val="000000" w:themeColor="text1"/>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综上所述，本项目实施后对固体废物的处置本着减量化、无害化的原则进行妥善处理，避免对环境造成二次污染，不会对环境造成不利影响。</w:t>
            </w:r>
          </w:p>
          <w:p w14:paraId="6E2BF8ED">
            <w:pPr>
              <w:pStyle w:val="4"/>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新宋体" w:cs="Times New Roman"/>
                <w:b w:val="0"/>
                <w:bCs w:val="0"/>
                <w:kern w:val="0"/>
                <w:sz w:val="24"/>
                <w:szCs w:val="24"/>
                <w:lang w:val="en-US" w:eastAsia="zh-CN" w:bidi="ar"/>
              </w:rPr>
            </w:pPr>
            <w:r>
              <w:rPr>
                <w:rFonts w:hint="default" w:ascii="Times New Roman" w:hAnsi="Times New Roman" w:eastAsia="新宋体" w:cs="Times New Roman"/>
                <w:b/>
                <w:bCs/>
                <w:kern w:val="0"/>
                <w:sz w:val="24"/>
                <w:szCs w:val="24"/>
                <w:lang w:val="en-US" w:eastAsia="zh-CN" w:bidi="ar"/>
              </w:rPr>
              <w:t>4.</w:t>
            </w:r>
            <w:r>
              <w:rPr>
                <w:rFonts w:hint="eastAsia" w:ascii="Times New Roman" w:hAnsi="Times New Roman" w:eastAsia="新宋体" w:cs="Times New Roman"/>
                <w:b/>
                <w:bCs/>
                <w:kern w:val="0"/>
                <w:sz w:val="24"/>
                <w:szCs w:val="24"/>
                <w:lang w:val="en-US" w:eastAsia="zh-CN" w:bidi="ar"/>
              </w:rPr>
              <w:t>3.3</w:t>
            </w:r>
            <w:r>
              <w:rPr>
                <w:rFonts w:hint="default" w:ascii="Times New Roman" w:hAnsi="Times New Roman" w:eastAsia="新宋体" w:cs="Times New Roman"/>
                <w:b/>
                <w:bCs/>
                <w:kern w:val="0"/>
                <w:sz w:val="24"/>
                <w:szCs w:val="24"/>
                <w:lang w:val="en-US" w:eastAsia="zh-CN" w:bidi="ar"/>
              </w:rPr>
              <w:t>危废收集、运输、贮存、转移等过程中环境管理措施及要求</w:t>
            </w:r>
          </w:p>
          <w:p w14:paraId="68E314FF">
            <w:pPr>
              <w:pStyle w:val="4"/>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新宋体" w:cs="Times New Roman"/>
                <w:b/>
                <w:bCs/>
                <w:kern w:val="0"/>
                <w:sz w:val="24"/>
                <w:szCs w:val="24"/>
                <w:lang w:val="en-US" w:eastAsia="zh-CN" w:bidi="ar"/>
              </w:rPr>
            </w:pPr>
            <w:r>
              <w:rPr>
                <w:rFonts w:hint="default" w:ascii="Times New Roman" w:hAnsi="Times New Roman" w:eastAsia="新宋体" w:cs="Times New Roman"/>
                <w:b/>
                <w:bCs/>
                <w:kern w:val="0"/>
                <w:sz w:val="24"/>
                <w:szCs w:val="24"/>
                <w:lang w:val="en-US" w:eastAsia="zh-CN" w:bidi="ar"/>
              </w:rPr>
              <w:t>4.</w:t>
            </w:r>
            <w:r>
              <w:rPr>
                <w:rFonts w:hint="eastAsia" w:ascii="Times New Roman" w:hAnsi="Times New Roman" w:eastAsia="新宋体" w:cs="Times New Roman"/>
                <w:b/>
                <w:bCs/>
                <w:kern w:val="0"/>
                <w:sz w:val="24"/>
                <w:szCs w:val="24"/>
                <w:lang w:val="en-US" w:eastAsia="zh-CN" w:bidi="ar"/>
              </w:rPr>
              <w:t>3.3.1</w:t>
            </w:r>
            <w:r>
              <w:rPr>
                <w:rFonts w:hint="default" w:ascii="Times New Roman" w:hAnsi="Times New Roman" w:eastAsia="新宋体" w:cs="Times New Roman"/>
                <w:b/>
                <w:bCs/>
                <w:kern w:val="0"/>
                <w:sz w:val="24"/>
                <w:szCs w:val="24"/>
                <w:lang w:val="en-US" w:eastAsia="zh-CN" w:bidi="ar"/>
              </w:rPr>
              <w:t>总体要求</w:t>
            </w:r>
          </w:p>
          <w:p w14:paraId="7CF6592F">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根据《危险废物收集、贮存、运输技术规范》（HJ2025-2012）相关规定，危废不得用其他办法进行处置，其收集、运输环节必须纳入危险废物管理：</w:t>
            </w:r>
          </w:p>
          <w:p w14:paraId="2576C54C">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（1）从事废危险废物收集、贮存的单位应按照《危险废物经营许可证管理办法》的规定获得经营许可证。</w:t>
            </w:r>
          </w:p>
          <w:p w14:paraId="42529F60">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（2）收集、运输、贮存废危的仓库应根据废危特性而设计，不易破损、变形，其所用材料能有效地防止渗漏、扩散，并耐酸腐蚀。</w:t>
            </w:r>
          </w:p>
          <w:p w14:paraId="50F7AA6B">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（3）转移</w:t>
            </w:r>
            <w:r>
              <w:rPr>
                <w:rFonts w:hint="eastAsia" w:eastAsia="新宋体" w:cs="Times New Roman"/>
                <w:color w:val="000000" w:themeColor="text1"/>
                <w:kern w:val="0"/>
                <w:sz w:val="24"/>
                <w:szCs w:val="24"/>
                <w:lang w:val="en-US" w:eastAsia="zh-CN" w:bidi="ar"/>
                <w14:textFill>
                  <w14:solidFill>
                    <w14:schemeClr w14:val="tx1"/>
                  </w14:solidFill>
                </w14:textFill>
              </w:rPr>
              <w:t>危险废物</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应执行《危险废物转移管理办法》（第32号令）有关规定，禁止在转移过程中擅自拆解、破碎、丢弃危险废物。</w:t>
            </w:r>
          </w:p>
          <w:p w14:paraId="47CED18B">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（4）贮存设施应根据危险废物的形态、物理化学性质、包装形式和污染物迁移途径，采取必要的防风、防晒、防雨、防漏、防渗、防腐以及其他环境污染防治措施，不应露天堆放危险废物。</w:t>
            </w:r>
          </w:p>
          <w:p w14:paraId="4BF82C8F">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（5）贮存设施应根据危险废物的类别、数量、形态、物理化学性质和污染防治等要求设置必要的贮存分区，避免不相容的危险废物接触、混合。</w:t>
            </w:r>
          </w:p>
          <w:p w14:paraId="50B0DBEA">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（6）贮存设施或贮存分区内地面、墙面裙脚、堵截泄漏的围堰、接触危险废物的隔板和墙体等应采用坚固的材料建造，表面无裂缝。</w:t>
            </w:r>
          </w:p>
          <w:p w14:paraId="6AA4863E">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7）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eastAsia="新宋体" w:cs="Times New Roman"/>
                <w:color w:val="000000" w:themeColor="text1"/>
                <w:kern w:val="0"/>
                <w:sz w:val="24"/>
                <w:szCs w:val="24"/>
                <w:vertAlign w:val="superscript"/>
                <w:lang w:val="en-US" w:eastAsia="zh-CN" w:bidi="ar"/>
                <w14:textFill>
                  <w14:solidFill>
                    <w14:schemeClr w14:val="tx1"/>
                  </w14:solidFill>
                </w14:textFill>
              </w:rPr>
              <w:t>-7</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cm/s），或至少2mm厚高密度聚乙烯膜等人工防渗材料（渗透系数不大于10</w:t>
            </w:r>
            <w:r>
              <w:rPr>
                <w:rFonts w:hint="default" w:ascii="Times New Roman" w:hAnsi="Times New Roman" w:eastAsia="新宋体" w:cs="Times New Roman"/>
                <w:color w:val="000000" w:themeColor="text1"/>
                <w:kern w:val="0"/>
                <w:sz w:val="24"/>
                <w:szCs w:val="24"/>
                <w:vertAlign w:val="superscript"/>
                <w:lang w:val="en-US" w:eastAsia="zh-CN" w:bidi="ar"/>
                <w14:textFill>
                  <w14:solidFill>
                    <w14:schemeClr w14:val="tx1"/>
                  </w14:solidFill>
                </w14:textFill>
              </w:rPr>
              <w:t>-10</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cm/s），或其他防渗性能等效的材料。</w:t>
            </w:r>
          </w:p>
          <w:p w14:paraId="56276CA5">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8）同一贮存设施宜采用相同的防渗、防腐工艺（包括防渗、防腐结构或材料），防渗、防腐材料应覆盖所有可能与废物及其渗滤液、渗漏液等接触的构筑物表面；采用不同防渗、防腐工艺应分别建设贮存分区。</w:t>
            </w:r>
          </w:p>
          <w:p w14:paraId="00C3CB48">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（9）贮存设施应采取技术和管理措施防止无关人员进入。</w:t>
            </w:r>
          </w:p>
          <w:p w14:paraId="1E409191">
            <w:pPr>
              <w:keepNext w:val="0"/>
              <w:keepLines w:val="0"/>
              <w:widowControl/>
              <w:suppressLineNumbers w:val="0"/>
              <w:jc w:val="left"/>
              <w:rPr>
                <w:rFonts w:hint="default" w:ascii="Times New Roman" w:hAnsi="Times New Roman" w:eastAsia="新宋体" w:cs="Times New Roman"/>
                <w:b/>
                <w:bCs/>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b/>
                <w:bCs/>
                <w:color w:val="000000" w:themeColor="text1"/>
                <w:kern w:val="0"/>
                <w:sz w:val="24"/>
                <w:szCs w:val="24"/>
                <w:lang w:val="en-US" w:eastAsia="zh-CN" w:bidi="ar"/>
                <w14:textFill>
                  <w14:solidFill>
                    <w14:schemeClr w14:val="tx1"/>
                  </w14:solidFill>
                </w14:textFill>
              </w:rPr>
              <w:t>4.</w:t>
            </w:r>
            <w:r>
              <w:rPr>
                <w:rFonts w:hint="eastAsia" w:eastAsia="新宋体" w:cs="Times New Roman"/>
                <w:b/>
                <w:bCs/>
                <w:color w:val="000000" w:themeColor="text1"/>
                <w:kern w:val="0"/>
                <w:sz w:val="24"/>
                <w:szCs w:val="24"/>
                <w:lang w:val="en-US" w:eastAsia="zh-CN" w:bidi="ar"/>
                <w14:textFill>
                  <w14:solidFill>
                    <w14:schemeClr w14:val="tx1"/>
                  </w14:solidFill>
                </w14:textFill>
              </w:rPr>
              <w:t>3.3.2</w:t>
            </w:r>
            <w:r>
              <w:rPr>
                <w:rFonts w:hint="default" w:ascii="Times New Roman" w:hAnsi="Times New Roman" w:eastAsia="新宋体" w:cs="Times New Roman"/>
                <w:b/>
                <w:bCs/>
                <w:color w:val="000000" w:themeColor="text1"/>
                <w:kern w:val="0"/>
                <w:sz w:val="24"/>
                <w:szCs w:val="24"/>
                <w:lang w:val="en-US" w:eastAsia="zh-CN" w:bidi="ar"/>
                <w14:textFill>
                  <w14:solidFill>
                    <w14:schemeClr w14:val="tx1"/>
                  </w14:solidFill>
                </w14:textFill>
              </w:rPr>
              <w:t>收集要求</w:t>
            </w:r>
          </w:p>
          <w:p w14:paraId="2964F28E">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（1）转移</w:t>
            </w:r>
            <w:r>
              <w:rPr>
                <w:rFonts w:hint="eastAsia" w:eastAsia="新宋体" w:cs="Times New Roman"/>
                <w:color w:val="000000" w:themeColor="text1"/>
                <w:kern w:val="0"/>
                <w:sz w:val="24"/>
                <w:szCs w:val="24"/>
                <w:lang w:val="en-US" w:eastAsia="zh-CN" w:bidi="ar"/>
                <w14:textFill>
                  <w14:solidFill>
                    <w14:schemeClr w14:val="tx1"/>
                  </w14:solidFill>
                </w14:textFill>
              </w:rPr>
              <w:t>危废</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危的，应执行《危险废物转移管理办法》有关规定，禁止在转移过程中擅自拆解、破碎、丢弃</w:t>
            </w:r>
            <w:r>
              <w:rPr>
                <w:rFonts w:hint="eastAsia" w:eastAsia="新宋体" w:cs="Times New Roman"/>
                <w:color w:val="000000" w:themeColor="text1"/>
                <w:kern w:val="0"/>
                <w:sz w:val="24"/>
                <w:szCs w:val="24"/>
                <w:lang w:val="en-US" w:eastAsia="zh-CN" w:bidi="ar"/>
                <w14:textFill>
                  <w14:solidFill>
                    <w14:schemeClr w14:val="tx1"/>
                  </w14:solidFill>
                </w14:textFill>
              </w:rPr>
              <w:t>危废</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w:t>
            </w:r>
          </w:p>
          <w:p w14:paraId="6BA51FE8">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（2）废危的收集和运输人员应配备必要的个人防护装备等，防止收集和运输过程中对人体健康可能产生的潜在影响。</w:t>
            </w:r>
          </w:p>
          <w:p w14:paraId="5640B226">
            <w:pPr>
              <w:keepNext w:val="0"/>
              <w:keepLines w:val="0"/>
              <w:widowControl/>
              <w:suppressLineNumbers w:val="0"/>
              <w:jc w:val="left"/>
              <w:rPr>
                <w:rFonts w:hint="default" w:ascii="Times New Roman" w:hAnsi="Times New Roman" w:eastAsia="新宋体" w:cs="Times New Roman"/>
                <w:b/>
                <w:bCs/>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b/>
                <w:bCs/>
                <w:color w:val="000000" w:themeColor="text1"/>
                <w:kern w:val="0"/>
                <w:sz w:val="24"/>
                <w:szCs w:val="24"/>
                <w:lang w:val="en-US" w:eastAsia="zh-CN" w:bidi="ar"/>
                <w14:textFill>
                  <w14:solidFill>
                    <w14:schemeClr w14:val="tx1"/>
                  </w14:solidFill>
                </w14:textFill>
              </w:rPr>
              <w:t>4.</w:t>
            </w:r>
            <w:r>
              <w:rPr>
                <w:rFonts w:hint="eastAsia" w:eastAsia="新宋体" w:cs="Times New Roman"/>
                <w:b/>
                <w:bCs/>
                <w:color w:val="000000" w:themeColor="text1"/>
                <w:kern w:val="0"/>
                <w:sz w:val="24"/>
                <w:szCs w:val="24"/>
                <w:lang w:val="en-US" w:eastAsia="zh-CN" w:bidi="ar"/>
                <w14:textFill>
                  <w14:solidFill>
                    <w14:schemeClr w14:val="tx1"/>
                  </w14:solidFill>
                </w14:textFill>
              </w:rPr>
              <w:t>3</w:t>
            </w:r>
            <w:r>
              <w:rPr>
                <w:rFonts w:hint="default" w:ascii="Times New Roman" w:hAnsi="Times New Roman" w:eastAsia="新宋体" w:cs="Times New Roman"/>
                <w:b/>
                <w:bCs/>
                <w:color w:val="000000" w:themeColor="text1"/>
                <w:kern w:val="0"/>
                <w:sz w:val="24"/>
                <w:szCs w:val="24"/>
                <w:lang w:val="en-US" w:eastAsia="zh-CN" w:bidi="ar"/>
                <w14:textFill>
                  <w14:solidFill>
                    <w14:schemeClr w14:val="tx1"/>
                  </w14:solidFill>
                </w14:textFill>
              </w:rPr>
              <w:t>.3</w:t>
            </w:r>
            <w:r>
              <w:rPr>
                <w:rFonts w:hint="eastAsia" w:eastAsia="新宋体" w:cs="Times New Roman"/>
                <w:b/>
                <w:bCs/>
                <w:color w:val="000000" w:themeColor="text1"/>
                <w:kern w:val="0"/>
                <w:sz w:val="24"/>
                <w:szCs w:val="24"/>
                <w:lang w:val="en-US" w:eastAsia="zh-CN" w:bidi="ar"/>
                <w14:textFill>
                  <w14:solidFill>
                    <w14:schemeClr w14:val="tx1"/>
                  </w14:solidFill>
                </w14:textFill>
              </w:rPr>
              <w:t>.3</w:t>
            </w:r>
            <w:r>
              <w:rPr>
                <w:rFonts w:hint="default" w:ascii="Times New Roman" w:hAnsi="Times New Roman" w:eastAsia="新宋体" w:cs="Times New Roman"/>
                <w:b/>
                <w:bCs/>
                <w:color w:val="000000" w:themeColor="text1"/>
                <w:kern w:val="0"/>
                <w:sz w:val="24"/>
                <w:szCs w:val="24"/>
                <w:lang w:val="en-US" w:eastAsia="zh-CN" w:bidi="ar"/>
                <w14:textFill>
                  <w14:solidFill>
                    <w14:schemeClr w14:val="tx1"/>
                  </w14:solidFill>
                </w14:textFill>
              </w:rPr>
              <w:t>运输要求</w:t>
            </w:r>
          </w:p>
          <w:p w14:paraId="0E22E466">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（1）废危运输前，产生者应当自行或者委托有关单位进行合理包装，防止运输过程出现泄漏。</w:t>
            </w:r>
          </w:p>
          <w:p w14:paraId="05C4EEC6">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（2）废危公路运输车辆应按GB13392的规定悬挂相应标志。铁路运输和水路运输危险废物时，均应在集装箱外按GB1902的规定悬挂相应的危险货物标志。</w:t>
            </w:r>
          </w:p>
          <w:p w14:paraId="580277BB">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（3）运输单位应具有危险货物运输资质和对危险废物包装发生破裂、泄漏或其他事故进行处理的能力。</w:t>
            </w:r>
          </w:p>
          <w:p w14:paraId="0CEE6843">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（4）运输车辆在公路上行驶应持有通行证。其上应</w:t>
            </w:r>
            <w:r>
              <w:rPr>
                <w:rFonts w:hint="eastAsia" w:eastAsia="新宋体" w:cs="Times New Roman"/>
                <w:color w:val="000000" w:themeColor="text1"/>
                <w:kern w:val="0"/>
                <w:sz w:val="24"/>
                <w:szCs w:val="24"/>
                <w:lang w:val="en-US" w:eastAsia="zh-CN" w:bidi="ar"/>
                <w14:textFill>
                  <w14:solidFill>
                    <w14:schemeClr w14:val="tx1"/>
                  </w14:solidFill>
                </w14:textFill>
              </w:rPr>
              <w:t>注明</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废物的来源、性质、运往地点，必要时须有单位人员负责押运工作。</w:t>
            </w:r>
          </w:p>
          <w:p w14:paraId="62E462F1">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（5）废危运输单位应制定详细的运输方案及路线，并制定事故应急预案，配备事故应急及个人防护设备，以保证在收集、运输过程中发生事故时能有效地减少</w:t>
            </w:r>
            <w:r>
              <w:rPr>
                <w:rFonts w:hint="eastAsia" w:eastAsia="新宋体" w:cs="Times New Roman"/>
                <w:color w:val="000000" w:themeColor="text1"/>
                <w:kern w:val="0"/>
                <w:sz w:val="24"/>
                <w:szCs w:val="24"/>
                <w:lang w:val="en-US" w:eastAsia="zh-CN" w:bidi="ar"/>
                <w14:textFill>
                  <w14:solidFill>
                    <w14:schemeClr w14:val="tx1"/>
                  </w14:solidFill>
                </w14:textFill>
              </w:rPr>
              <w:t>以</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防止对环境的污染。</w:t>
            </w:r>
          </w:p>
          <w:p w14:paraId="0B4FCB78">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（6）废危运输时应采取有效的包装措施，以防止危险废物中有害成分的泄漏污染，不得继续将废危破碎、粉碎，以防止其中有害成分的泄漏污染。</w:t>
            </w:r>
          </w:p>
          <w:p w14:paraId="7DF6C9AD">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（7）废危运输车辆驾驶员和押运人员等必须经过危险废物和应急救援方面的培训，包括防火、防泄漏以及</w:t>
            </w:r>
            <w:r>
              <w:rPr>
                <w:rFonts w:hint="eastAsia" w:eastAsia="新宋体" w:cs="Times New Roman"/>
                <w:color w:val="000000" w:themeColor="text1"/>
                <w:kern w:val="0"/>
                <w:sz w:val="24"/>
                <w:szCs w:val="24"/>
                <w:lang w:val="en-US" w:eastAsia="zh-CN" w:bidi="ar"/>
                <w14:textFill>
                  <w14:solidFill>
                    <w14:schemeClr w14:val="tx1"/>
                  </w14:solidFill>
                </w14:textFill>
              </w:rPr>
              <w:t>应急联动</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等。</w:t>
            </w:r>
          </w:p>
          <w:p w14:paraId="6E10DCF7">
            <w:pPr>
              <w:keepNext w:val="0"/>
              <w:keepLines w:val="0"/>
              <w:widowControl/>
              <w:suppressLineNumbers w:val="0"/>
              <w:jc w:val="left"/>
              <w:rPr>
                <w:rFonts w:hint="default" w:ascii="Times New Roman" w:hAnsi="Times New Roman" w:eastAsia="新宋体" w:cs="Times New Roman"/>
                <w:b/>
                <w:bCs/>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b/>
                <w:bCs/>
                <w:color w:val="000000" w:themeColor="text1"/>
                <w:kern w:val="0"/>
                <w:sz w:val="24"/>
                <w:szCs w:val="24"/>
                <w:lang w:val="en-US" w:eastAsia="zh-CN" w:bidi="ar"/>
                <w14:textFill>
                  <w14:solidFill>
                    <w14:schemeClr w14:val="tx1"/>
                  </w14:solidFill>
                </w14:textFill>
              </w:rPr>
              <w:t>4.</w:t>
            </w:r>
            <w:r>
              <w:rPr>
                <w:rFonts w:hint="eastAsia" w:eastAsia="新宋体" w:cs="Times New Roman"/>
                <w:b/>
                <w:bCs/>
                <w:color w:val="000000" w:themeColor="text1"/>
                <w:kern w:val="0"/>
                <w:sz w:val="24"/>
                <w:szCs w:val="24"/>
                <w:lang w:val="en-US" w:eastAsia="zh-CN" w:bidi="ar"/>
                <w14:textFill>
                  <w14:solidFill>
                    <w14:schemeClr w14:val="tx1"/>
                  </w14:solidFill>
                </w14:textFill>
              </w:rPr>
              <w:t>3</w:t>
            </w:r>
            <w:r>
              <w:rPr>
                <w:rFonts w:hint="default" w:ascii="Times New Roman" w:hAnsi="Times New Roman" w:eastAsia="新宋体" w:cs="Times New Roman"/>
                <w:b/>
                <w:bCs/>
                <w:color w:val="000000" w:themeColor="text1"/>
                <w:kern w:val="0"/>
                <w:sz w:val="24"/>
                <w:szCs w:val="24"/>
                <w:lang w:val="en-US" w:eastAsia="zh-CN" w:bidi="ar"/>
                <w14:textFill>
                  <w14:solidFill>
                    <w14:schemeClr w14:val="tx1"/>
                  </w14:solidFill>
                </w14:textFill>
              </w:rPr>
              <w:t>.</w:t>
            </w:r>
            <w:r>
              <w:rPr>
                <w:rFonts w:hint="eastAsia" w:eastAsia="新宋体" w:cs="Times New Roman"/>
                <w:b/>
                <w:bCs/>
                <w:color w:val="000000" w:themeColor="text1"/>
                <w:kern w:val="0"/>
                <w:sz w:val="24"/>
                <w:szCs w:val="24"/>
                <w:lang w:val="en-US" w:eastAsia="zh-CN" w:bidi="ar"/>
                <w14:textFill>
                  <w14:solidFill>
                    <w14:schemeClr w14:val="tx1"/>
                  </w14:solidFill>
                </w14:textFill>
              </w:rPr>
              <w:t>3.4</w:t>
            </w:r>
            <w:r>
              <w:rPr>
                <w:rFonts w:hint="default" w:ascii="Times New Roman" w:hAnsi="Times New Roman" w:eastAsia="新宋体" w:cs="Times New Roman"/>
                <w:b/>
                <w:bCs/>
                <w:color w:val="000000" w:themeColor="text1"/>
                <w:kern w:val="0"/>
                <w:sz w:val="24"/>
                <w:szCs w:val="24"/>
                <w:lang w:val="en-US" w:eastAsia="zh-CN" w:bidi="ar"/>
                <w14:textFill>
                  <w14:solidFill>
                    <w14:schemeClr w14:val="tx1"/>
                  </w14:solidFill>
                </w14:textFill>
              </w:rPr>
              <w:t>贮存要求</w:t>
            </w:r>
          </w:p>
          <w:p w14:paraId="7679449F">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本项目为暂时储存方式，废危的储存必须严格按照《危险废物贮存污染控制标准》（GB18597-2023）《危险废物收集、贮存、运输技术规范》（HJ2025-2012）的相关要求进行：</w:t>
            </w:r>
          </w:p>
          <w:p w14:paraId="7E990887">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（1）贮存库内不同贮存分区之间应采取隔离措施。隔离措施可根据危险废物特性采用过道、隔板或隔墙等方式。</w:t>
            </w:r>
          </w:p>
          <w:p w14:paraId="4D159886">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2）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p w14:paraId="4F181782">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（3）贮存易产生粉尘、VOCs、酸雾、有毒有害大气污染物和刺激性气味气体的危险废物贮存库，应设置气体收集装置和气体净化设施；气体净化设施的排气筒高度应符合GB16297要求。</w:t>
            </w:r>
          </w:p>
          <w:p w14:paraId="72BE7D97">
            <w:pPr>
              <w:keepNext w:val="0"/>
              <w:keepLines w:val="0"/>
              <w:widowControl/>
              <w:suppressLineNumbers w:val="0"/>
              <w:jc w:val="left"/>
              <w:rPr>
                <w:rFonts w:hint="default" w:ascii="Times New Roman" w:hAnsi="Times New Roman" w:eastAsia="新宋体" w:cs="Times New Roman"/>
                <w:b/>
                <w:bCs/>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b/>
                <w:bCs/>
                <w:color w:val="000000" w:themeColor="text1"/>
                <w:kern w:val="0"/>
                <w:sz w:val="24"/>
                <w:szCs w:val="24"/>
                <w:lang w:val="en-US" w:eastAsia="zh-CN" w:bidi="ar"/>
                <w14:textFill>
                  <w14:solidFill>
                    <w14:schemeClr w14:val="tx1"/>
                  </w14:solidFill>
                </w14:textFill>
              </w:rPr>
              <w:t>4.</w:t>
            </w:r>
            <w:r>
              <w:rPr>
                <w:rFonts w:hint="eastAsia" w:eastAsia="新宋体" w:cs="Times New Roman"/>
                <w:b/>
                <w:bCs/>
                <w:color w:val="000000" w:themeColor="text1"/>
                <w:kern w:val="0"/>
                <w:sz w:val="24"/>
                <w:szCs w:val="24"/>
                <w:lang w:val="en-US" w:eastAsia="zh-CN" w:bidi="ar"/>
                <w14:textFill>
                  <w14:solidFill>
                    <w14:schemeClr w14:val="tx1"/>
                  </w14:solidFill>
                </w14:textFill>
              </w:rPr>
              <w:t>3</w:t>
            </w:r>
            <w:r>
              <w:rPr>
                <w:rFonts w:hint="default" w:ascii="Times New Roman" w:hAnsi="Times New Roman" w:eastAsia="新宋体" w:cs="Times New Roman"/>
                <w:b/>
                <w:bCs/>
                <w:color w:val="000000" w:themeColor="text1"/>
                <w:kern w:val="0"/>
                <w:sz w:val="24"/>
                <w:szCs w:val="24"/>
                <w:lang w:val="en-US" w:eastAsia="zh-CN" w:bidi="ar"/>
                <w14:textFill>
                  <w14:solidFill>
                    <w14:schemeClr w14:val="tx1"/>
                  </w14:solidFill>
                </w14:textFill>
              </w:rPr>
              <w:t>.</w:t>
            </w:r>
            <w:r>
              <w:rPr>
                <w:rFonts w:hint="eastAsia" w:eastAsia="新宋体" w:cs="Times New Roman"/>
                <w:b/>
                <w:bCs/>
                <w:color w:val="000000" w:themeColor="text1"/>
                <w:kern w:val="0"/>
                <w:sz w:val="24"/>
                <w:szCs w:val="24"/>
                <w:lang w:val="en-US" w:eastAsia="zh-CN" w:bidi="ar"/>
                <w14:textFill>
                  <w14:solidFill>
                    <w14:schemeClr w14:val="tx1"/>
                  </w14:solidFill>
                </w14:textFill>
              </w:rPr>
              <w:t>3.5</w:t>
            </w:r>
            <w:r>
              <w:rPr>
                <w:rFonts w:hint="default" w:ascii="Times New Roman" w:hAnsi="Times New Roman" w:eastAsia="新宋体" w:cs="Times New Roman"/>
                <w:b/>
                <w:bCs/>
                <w:color w:val="000000" w:themeColor="text1"/>
                <w:kern w:val="0"/>
                <w:sz w:val="24"/>
                <w:szCs w:val="24"/>
                <w:lang w:val="en-US" w:eastAsia="zh-CN" w:bidi="ar"/>
                <w14:textFill>
                  <w14:solidFill>
                    <w14:schemeClr w14:val="tx1"/>
                  </w14:solidFill>
                </w14:textFill>
              </w:rPr>
              <w:t>转移、接收要求</w:t>
            </w:r>
          </w:p>
          <w:p w14:paraId="133B2C6D">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（1）废危接收应严格执行《危险废物转移管理办法》（第32号令）。</w:t>
            </w:r>
          </w:p>
          <w:p w14:paraId="20F6DBA1">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（2）协助运输单位对废危包装发生破裂、泄漏或其他事故进行处理。</w:t>
            </w:r>
          </w:p>
          <w:p w14:paraId="456B0B6F">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（3）现场交接时应认真核对废危的数量、种类等，并确认与危险废物转移联单是否相符。</w:t>
            </w:r>
          </w:p>
          <w:p w14:paraId="7BA60E6A">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（4）对接收的废危及时登记。</w:t>
            </w:r>
          </w:p>
          <w:p w14:paraId="14D40ECB">
            <w:pPr>
              <w:keepNext w:val="0"/>
              <w:keepLines w:val="0"/>
              <w:widowControl/>
              <w:suppressLineNumbers w:val="0"/>
              <w:jc w:val="left"/>
              <w:rPr>
                <w:rFonts w:hint="default" w:ascii="Times New Roman" w:hAnsi="Times New Roman" w:eastAsia="新宋体" w:cs="Times New Roman"/>
                <w:b/>
                <w:bCs/>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b/>
                <w:bCs/>
                <w:color w:val="000000" w:themeColor="text1"/>
                <w:kern w:val="0"/>
                <w:sz w:val="24"/>
                <w:szCs w:val="24"/>
                <w:lang w:val="en-US" w:eastAsia="zh-CN" w:bidi="ar"/>
                <w14:textFill>
                  <w14:solidFill>
                    <w14:schemeClr w14:val="tx1"/>
                  </w14:solidFill>
                </w14:textFill>
              </w:rPr>
              <w:t>4</w:t>
            </w:r>
            <w:r>
              <w:rPr>
                <w:rFonts w:hint="eastAsia" w:eastAsia="新宋体" w:cs="Times New Roman"/>
                <w:b/>
                <w:bCs/>
                <w:color w:val="000000" w:themeColor="text1"/>
                <w:kern w:val="0"/>
                <w:sz w:val="24"/>
                <w:szCs w:val="24"/>
                <w:lang w:val="en-US" w:eastAsia="zh-CN" w:bidi="ar"/>
                <w14:textFill>
                  <w14:solidFill>
                    <w14:schemeClr w14:val="tx1"/>
                  </w14:solidFill>
                </w14:textFill>
              </w:rPr>
              <w:t>.3.3.6</w:t>
            </w:r>
            <w:r>
              <w:rPr>
                <w:rFonts w:hint="default" w:ascii="Times New Roman" w:hAnsi="Times New Roman" w:eastAsia="新宋体" w:cs="Times New Roman"/>
                <w:b/>
                <w:bCs/>
                <w:color w:val="000000" w:themeColor="text1"/>
                <w:kern w:val="0"/>
                <w:sz w:val="24"/>
                <w:szCs w:val="24"/>
                <w:lang w:val="en-US" w:eastAsia="zh-CN" w:bidi="ar"/>
                <w14:textFill>
                  <w14:solidFill>
                    <w14:schemeClr w14:val="tx1"/>
                  </w14:solidFill>
                </w14:textFill>
              </w:rPr>
              <w:t>危险废物贮存设施的安全防护</w:t>
            </w:r>
          </w:p>
          <w:p w14:paraId="24BD6DC1">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（1）危险废物贮存设施必须按GB15562.2的规定设置警示标志；</w:t>
            </w:r>
          </w:p>
          <w:p w14:paraId="64DC5484">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（2）危险废物贮存设施周围应设置0.5m高防护栏；</w:t>
            </w:r>
          </w:p>
          <w:p w14:paraId="4CC0E4FC">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（3）危险废物贮存设施应配备通讯设备、照明设施、安全防护服装及工具，并设有应急防护设施；</w:t>
            </w:r>
          </w:p>
          <w:p w14:paraId="04DFEAE7">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（4）按国家污染源要求对危险废物贮存设施进行监测。</w:t>
            </w:r>
          </w:p>
          <w:p w14:paraId="2CB80AFF">
            <w:pPr>
              <w:keepNext w:val="0"/>
              <w:keepLines w:val="0"/>
              <w:widowControl/>
              <w:suppressLineNumbers w:val="0"/>
              <w:jc w:val="left"/>
              <w:rPr>
                <w:rFonts w:hint="default" w:ascii="Times New Roman" w:hAnsi="Times New Roman" w:eastAsia="新宋体" w:cs="Times New Roman"/>
                <w:b/>
                <w:bCs/>
                <w:color w:val="000000" w:themeColor="text1"/>
                <w:kern w:val="0"/>
                <w:sz w:val="24"/>
                <w:szCs w:val="24"/>
                <w:lang w:val="en-US" w:eastAsia="zh-CN" w:bidi="ar"/>
                <w14:textFill>
                  <w14:solidFill>
                    <w14:schemeClr w14:val="tx1"/>
                  </w14:solidFill>
                </w14:textFill>
              </w:rPr>
            </w:pPr>
            <w:r>
              <w:rPr>
                <w:rFonts w:hint="eastAsia" w:eastAsia="新宋体" w:cs="Times New Roman"/>
                <w:b/>
                <w:bCs/>
                <w:color w:val="000000" w:themeColor="text1"/>
                <w:kern w:val="0"/>
                <w:sz w:val="24"/>
                <w:szCs w:val="24"/>
                <w:lang w:val="en-US" w:eastAsia="zh-CN" w:bidi="ar"/>
                <w14:textFill>
                  <w14:solidFill>
                    <w14:schemeClr w14:val="tx1"/>
                  </w14:solidFill>
                </w14:textFill>
              </w:rPr>
              <w:t>4.4危废处置合理性分析</w:t>
            </w:r>
          </w:p>
          <w:p w14:paraId="0F577B08">
            <w:pPr>
              <w:keepNext w:val="0"/>
              <w:keepLines w:val="0"/>
              <w:pageBreakBefore w:val="0"/>
              <w:suppressLineNumbers w:val="0"/>
              <w:kinsoku/>
              <w:wordWrap/>
              <w:overflowPunct/>
              <w:topLinePunct w:val="0"/>
              <w:bidi w:val="0"/>
              <w:spacing w:before="0" w:beforeAutospacing="0" w:after="0" w:afterAutospacing="0" w:line="360" w:lineRule="auto"/>
              <w:ind w:left="0" w:right="0" w:firstLine="480"/>
              <w:rPr>
                <w:rFonts w:hint="default" w:ascii="Times New Roman" w:hAnsi="Times New Roman" w:eastAsia="宋体" w:cs="Times New Roman"/>
                <w:color w:val="000000" w:themeColor="text1"/>
                <w:spacing w:val="-6"/>
                <w:sz w:val="24"/>
                <w:highlight w:val="none"/>
                <w:lang w:eastAsia="zh-CN"/>
                <w14:textFill>
                  <w14:solidFill>
                    <w14:schemeClr w14:val="tx1"/>
                  </w14:solidFill>
                </w14:textFill>
              </w:rPr>
            </w:pPr>
            <w:r>
              <w:rPr>
                <w:rFonts w:hint="default" w:ascii="Times New Roman" w:hAnsi="Times New Roman" w:cs="Times New Roman"/>
                <w:color w:val="000000" w:themeColor="text1"/>
                <w:spacing w:val="-6"/>
                <w:sz w:val="24"/>
                <w:highlight w:val="none"/>
                <w:lang w:val="en-US" w:eastAsia="zh-CN"/>
                <w14:textFill>
                  <w14:solidFill>
                    <w14:schemeClr w14:val="tx1"/>
                  </w14:solidFill>
                </w14:textFill>
              </w:rPr>
              <w:t>本环评拟在</w:t>
            </w:r>
            <w:r>
              <w:rPr>
                <w:rFonts w:hint="eastAsia" w:cs="Times New Roman"/>
                <w:color w:val="000000" w:themeColor="text1"/>
                <w:spacing w:val="-6"/>
                <w:sz w:val="24"/>
                <w:highlight w:val="none"/>
                <w:lang w:val="en-US" w:eastAsia="zh-CN"/>
                <w14:textFill>
                  <w14:solidFill>
                    <w14:schemeClr w14:val="tx1"/>
                  </w14:solidFill>
                </w14:textFill>
              </w:rPr>
              <w:t>原料库房</w:t>
            </w:r>
            <w:r>
              <w:rPr>
                <w:rFonts w:hint="default" w:ascii="Times New Roman" w:hAnsi="Times New Roman" w:cs="Times New Roman"/>
                <w:color w:val="000000" w:themeColor="text1"/>
                <w:spacing w:val="-6"/>
                <w:sz w:val="24"/>
                <w:highlight w:val="none"/>
                <w:lang w:val="en-US" w:eastAsia="zh-CN"/>
                <w14:textFill>
                  <w14:solidFill>
                    <w14:schemeClr w14:val="tx1"/>
                  </w14:solidFill>
                </w14:textFill>
              </w:rPr>
              <w:t>西侧设置</w:t>
            </w:r>
            <w:r>
              <w:rPr>
                <w:rFonts w:hint="eastAsia" w:cs="Times New Roman"/>
                <w:color w:val="000000" w:themeColor="text1"/>
                <w:spacing w:val="-6"/>
                <w:sz w:val="24"/>
                <w:highlight w:val="none"/>
                <w:lang w:val="en-US" w:eastAsia="zh-CN"/>
                <w14:textFill>
                  <w14:solidFill>
                    <w14:schemeClr w14:val="tx1"/>
                  </w14:solidFill>
                </w14:textFill>
              </w:rPr>
              <w:t>一处</w:t>
            </w:r>
            <w:r>
              <w:rPr>
                <w:rFonts w:hint="default" w:ascii="Times New Roman" w:hAnsi="Times New Roman" w:cs="Times New Roman"/>
                <w:color w:val="000000" w:themeColor="text1"/>
                <w:spacing w:val="-6"/>
                <w:sz w:val="24"/>
                <w:highlight w:val="none"/>
                <w:lang w:val="en-US" w:eastAsia="zh-CN"/>
                <w14:textFill>
                  <w14:solidFill>
                    <w14:schemeClr w14:val="tx1"/>
                  </w14:solidFill>
                </w14:textFill>
              </w:rPr>
              <w:t>建筑面积</w:t>
            </w:r>
            <w:r>
              <w:rPr>
                <w:rFonts w:hint="default" w:ascii="Times New Roman" w:hAnsi="Times New Roman" w:cs="Times New Roman"/>
                <w:color w:val="000000" w:themeColor="text1"/>
                <w:spacing w:val="-6"/>
                <w:sz w:val="24"/>
                <w:highlight w:val="none"/>
                <w:lang w:eastAsia="zh-CN"/>
                <w14:textFill>
                  <w14:solidFill>
                    <w14:schemeClr w14:val="tx1"/>
                  </w14:solidFill>
                </w14:textFill>
              </w:rPr>
              <w:t>约</w:t>
            </w:r>
            <w:r>
              <w:rPr>
                <w:rFonts w:hint="eastAsia" w:cs="Times New Roman"/>
                <w:color w:val="000000" w:themeColor="text1"/>
                <w:spacing w:val="-6"/>
                <w:sz w:val="24"/>
                <w:highlight w:val="none"/>
                <w:lang w:val="en-US" w:eastAsia="zh-CN"/>
                <w14:textFill>
                  <w14:solidFill>
                    <w14:schemeClr w14:val="tx1"/>
                  </w14:solidFill>
                </w14:textFill>
              </w:rPr>
              <w:t>8</w:t>
            </w:r>
            <w:r>
              <w:rPr>
                <w:rFonts w:hint="default" w:ascii="Times New Roman" w:hAnsi="Times New Roman" w:cs="Times New Roman"/>
                <w:color w:val="000000" w:themeColor="text1"/>
                <w:spacing w:val="-6"/>
                <w:sz w:val="24"/>
                <w:highlight w:val="none"/>
                <w:lang w:val="en-US" w:eastAsia="zh-CN"/>
                <w14:textFill>
                  <w14:solidFill>
                    <w14:schemeClr w14:val="tx1"/>
                  </w14:solidFill>
                </w14:textFill>
              </w:rPr>
              <w:t>m</w:t>
            </w:r>
            <w:r>
              <w:rPr>
                <w:rFonts w:hint="default" w:ascii="Times New Roman" w:hAnsi="Times New Roman" w:cs="Times New Roman"/>
                <w:color w:val="000000" w:themeColor="text1"/>
                <w:spacing w:val="-6"/>
                <w:sz w:val="24"/>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spacing w:val="-6"/>
                <w:sz w:val="24"/>
                <w:highlight w:val="none"/>
                <w:vertAlign w:val="baseline"/>
                <w:lang w:val="en-US" w:eastAsia="zh-CN"/>
                <w14:textFill>
                  <w14:solidFill>
                    <w14:schemeClr w14:val="tx1"/>
                  </w14:solidFill>
                </w14:textFill>
              </w:rPr>
              <w:t>危废暂存</w:t>
            </w:r>
            <w:r>
              <w:rPr>
                <w:rFonts w:hint="eastAsia" w:cs="Times New Roman"/>
                <w:color w:val="000000" w:themeColor="text1"/>
                <w:spacing w:val="-6"/>
                <w:sz w:val="24"/>
                <w:highlight w:val="none"/>
                <w:vertAlign w:val="baseline"/>
                <w:lang w:val="en-US" w:eastAsia="zh-CN"/>
                <w14:textFill>
                  <w14:solidFill>
                    <w14:schemeClr w14:val="tx1"/>
                  </w14:solidFill>
                </w14:textFill>
              </w:rPr>
              <w:t>间</w:t>
            </w:r>
            <w:r>
              <w:rPr>
                <w:rFonts w:hint="default" w:ascii="Times New Roman" w:hAnsi="Times New Roman" w:cs="Times New Roman"/>
                <w:color w:val="000000" w:themeColor="text1"/>
                <w:spacing w:val="-6"/>
                <w:sz w:val="24"/>
                <w:highlight w:val="none"/>
                <w:lang w:eastAsia="zh-CN"/>
                <w14:textFill>
                  <w14:solidFill>
                    <w14:schemeClr w14:val="tx1"/>
                  </w14:solidFill>
                </w14:textFill>
              </w:rPr>
              <w:t>，</w:t>
            </w:r>
            <w:r>
              <w:rPr>
                <w:rFonts w:hint="eastAsia" w:cs="Times New Roman"/>
                <w:color w:val="000000" w:themeColor="text1"/>
                <w:spacing w:val="-6"/>
                <w:sz w:val="24"/>
                <w:highlight w:val="none"/>
                <w:lang w:val="en-US" w:eastAsia="zh-CN"/>
                <w14:textFill>
                  <w14:solidFill>
                    <w14:schemeClr w14:val="tx1"/>
                  </w14:solidFill>
                </w14:textFill>
              </w:rPr>
              <w:t>废机油/油桶最大产生量0.084t</w:t>
            </w:r>
            <w:r>
              <w:rPr>
                <w:rFonts w:hint="default" w:ascii="Times New Roman" w:hAnsi="Times New Roman" w:cs="Times New Roman"/>
                <w:color w:val="000000" w:themeColor="text1"/>
                <w:spacing w:val="-6"/>
                <w:sz w:val="24"/>
                <w:highlight w:val="none"/>
                <w:lang w:val="en-US" w:eastAsia="zh-CN"/>
                <w14:textFill>
                  <w14:solidFill>
                    <w14:schemeClr w14:val="tx1"/>
                  </w14:solidFill>
                </w14:textFill>
              </w:rPr>
              <w:t>。每年转运2次</w:t>
            </w:r>
            <w:r>
              <w:rPr>
                <w:rFonts w:hint="eastAsia" w:cs="Times New Roman"/>
                <w:color w:val="000000" w:themeColor="text1"/>
                <w:spacing w:val="-6"/>
                <w:sz w:val="24"/>
                <w:highlight w:val="none"/>
                <w:lang w:val="en-US" w:eastAsia="zh-CN"/>
                <w14:textFill>
                  <w14:solidFill>
                    <w14:schemeClr w14:val="tx1"/>
                  </w14:solidFill>
                </w14:textFill>
              </w:rPr>
              <w:t>（100</w:t>
            </w:r>
            <w:r>
              <w:rPr>
                <w:rFonts w:hint="default" w:ascii="Times New Roman" w:hAnsi="Times New Roman" w:cs="Times New Roman"/>
                <w:color w:val="000000" w:themeColor="text1"/>
                <w:spacing w:val="-6"/>
                <w:sz w:val="24"/>
                <w:highlight w:val="none"/>
                <w:lang w:val="en-US" w:eastAsia="zh-CN"/>
                <w14:textFill>
                  <w14:solidFill>
                    <w14:schemeClr w14:val="tx1"/>
                  </w14:solidFill>
                </w14:textFill>
              </w:rPr>
              <w:t>天1次</w:t>
            </w:r>
            <w:r>
              <w:rPr>
                <w:rFonts w:hint="eastAsia" w:cs="Times New Roman"/>
                <w:color w:val="000000" w:themeColor="text1"/>
                <w:spacing w:val="-6"/>
                <w:sz w:val="24"/>
                <w:highlight w:val="none"/>
                <w:lang w:val="en-US" w:eastAsia="zh-CN"/>
                <w14:textFill>
                  <w14:solidFill>
                    <w14:schemeClr w14:val="tx1"/>
                  </w14:solidFill>
                </w14:textFill>
              </w:rPr>
              <w:t>）危废暂存间建筑面积满足最大产生量要求</w:t>
            </w:r>
            <w:r>
              <w:rPr>
                <w:rFonts w:hint="default" w:ascii="Times New Roman" w:hAnsi="Times New Roman" w:cs="Times New Roman"/>
                <w:color w:val="000000" w:themeColor="text1"/>
                <w:spacing w:val="-6"/>
                <w:sz w:val="24"/>
                <w:highlight w:val="none"/>
                <w:lang w:eastAsia="zh-CN"/>
                <w14:textFill>
                  <w14:solidFill>
                    <w14:schemeClr w14:val="tx1"/>
                  </w14:solidFill>
                </w14:textFill>
              </w:rPr>
              <w:t>。</w:t>
            </w:r>
            <w:r>
              <w:rPr>
                <w:rFonts w:hint="eastAsia" w:cs="Times New Roman"/>
                <w:color w:val="000000" w:themeColor="text1"/>
                <w:spacing w:val="-6"/>
                <w:sz w:val="24"/>
                <w:highlight w:val="none"/>
                <w:lang w:val="en-US" w:eastAsia="zh-CN"/>
                <w14:textFill>
                  <w14:solidFill>
                    <w14:schemeClr w14:val="tx1"/>
                  </w14:solidFill>
                </w14:textFill>
              </w:rPr>
              <w:t>拟交由</w:t>
            </w:r>
            <w:r>
              <w:rPr>
                <w:rFonts w:hint="default" w:ascii="Times New Roman" w:hAnsi="Times New Roman" w:cs="Times New Roman"/>
                <w:color w:val="000000" w:themeColor="text1"/>
                <w:spacing w:val="-6"/>
                <w:sz w:val="24"/>
                <w:highlight w:val="none"/>
                <w:lang w:val="en-US" w:eastAsia="zh-CN"/>
                <w14:textFill>
                  <w14:solidFill>
                    <w14:schemeClr w14:val="tx1"/>
                  </w14:solidFill>
                </w14:textFill>
              </w:rPr>
              <w:t>巴州联合环境治理有限公司（危废处理资质编号：6528010110）</w:t>
            </w:r>
            <w:r>
              <w:rPr>
                <w:rFonts w:hint="eastAsia" w:cs="Times New Roman"/>
                <w:color w:val="000000" w:themeColor="text1"/>
                <w:spacing w:val="-6"/>
                <w:sz w:val="24"/>
                <w:highlight w:val="none"/>
                <w:lang w:val="en-US" w:eastAsia="zh-CN"/>
                <w14:textFill>
                  <w14:solidFill>
                    <w14:schemeClr w14:val="tx1"/>
                  </w14:solidFill>
                </w14:textFill>
              </w:rPr>
              <w:t>处置，</w:t>
            </w:r>
            <w:r>
              <w:rPr>
                <w:rFonts w:hint="default" w:ascii="Times New Roman" w:hAnsi="Times New Roman" w:cs="Times New Roman"/>
                <w:color w:val="000000" w:themeColor="text1"/>
                <w:spacing w:val="-6"/>
                <w:sz w:val="24"/>
                <w:highlight w:val="none"/>
                <w:lang w:eastAsia="zh-CN"/>
                <w14:textFill>
                  <w14:solidFill>
                    <w14:schemeClr w14:val="tx1"/>
                  </w14:solidFill>
                </w14:textFill>
              </w:rPr>
              <w:t>危废暂存间用于废机油</w:t>
            </w:r>
            <w:r>
              <w:rPr>
                <w:rFonts w:hint="eastAsia" w:cs="Times New Roman"/>
                <w:color w:val="000000" w:themeColor="text1"/>
                <w:spacing w:val="-6"/>
                <w:sz w:val="24"/>
                <w:highlight w:val="none"/>
                <w:lang w:val="en-US" w:eastAsia="zh-CN"/>
                <w14:textFill>
                  <w14:solidFill>
                    <w14:schemeClr w14:val="tx1"/>
                  </w14:solidFill>
                </w14:textFill>
              </w:rPr>
              <w:t>、</w:t>
            </w:r>
            <w:r>
              <w:rPr>
                <w:rFonts w:hint="default" w:ascii="Times New Roman" w:hAnsi="Times New Roman" w:cs="Times New Roman"/>
                <w:color w:val="000000" w:themeColor="text1"/>
                <w:spacing w:val="-6"/>
                <w:sz w:val="24"/>
                <w:highlight w:val="none"/>
                <w:lang w:val="en-US" w:eastAsia="zh-CN"/>
                <w14:textFill>
                  <w14:solidFill>
                    <w14:schemeClr w14:val="tx1"/>
                  </w14:solidFill>
                </w14:textFill>
              </w:rPr>
              <w:t>废油桶</w:t>
            </w:r>
            <w:r>
              <w:rPr>
                <w:rFonts w:hint="default" w:ascii="Times New Roman" w:hAnsi="Times New Roman" w:cs="Times New Roman"/>
                <w:color w:val="000000" w:themeColor="text1"/>
                <w:spacing w:val="-6"/>
                <w:sz w:val="24"/>
                <w:highlight w:val="none"/>
                <w:lang w:eastAsia="zh-CN"/>
                <w14:textFill>
                  <w14:solidFill>
                    <w14:schemeClr w14:val="tx1"/>
                  </w14:solidFill>
                </w14:textFill>
              </w:rPr>
              <w:t>暂存可行，</w:t>
            </w:r>
            <w:r>
              <w:rPr>
                <w:rFonts w:hint="default" w:ascii="Times New Roman" w:hAnsi="Times New Roman" w:cs="Times New Roman"/>
                <w:color w:val="000000" w:themeColor="text1"/>
                <w:spacing w:val="-6"/>
                <w:sz w:val="24"/>
                <w:highlight w:val="none"/>
                <w:lang w:val="en-US" w:eastAsia="zh-CN"/>
                <w14:textFill>
                  <w14:solidFill>
                    <w14:schemeClr w14:val="tx1"/>
                  </w14:solidFill>
                </w14:textFill>
              </w:rPr>
              <w:t>去向合理</w:t>
            </w:r>
            <w:r>
              <w:rPr>
                <w:rFonts w:hint="default" w:ascii="Times New Roman" w:hAnsi="Times New Roman" w:cs="Times New Roman"/>
                <w:color w:val="000000" w:themeColor="text1"/>
                <w:spacing w:val="-6"/>
                <w:sz w:val="24"/>
                <w:highlight w:val="none"/>
                <w:lang w:eastAsia="zh-CN"/>
                <w14:textFill>
                  <w14:solidFill>
                    <w14:schemeClr w14:val="tx1"/>
                  </w14:solidFill>
                </w14:textFill>
              </w:rPr>
              <w:t>。</w:t>
            </w:r>
          </w:p>
          <w:p w14:paraId="76C662F0">
            <w:pPr>
              <w:pStyle w:val="11"/>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2" w:firstLineChars="200"/>
              <w:jc w:val="left"/>
              <w:textAlignment w:val="auto"/>
              <w:rPr>
                <w:rFonts w:hint="default" w:ascii="Times New Roman" w:hAnsi="Times New Roman" w:eastAsia="新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新宋体" w:cs="Times New Roman"/>
                <w:b/>
                <w:bCs/>
                <w:color w:val="000000" w:themeColor="text1"/>
                <w:sz w:val="24"/>
                <w:szCs w:val="24"/>
                <w:highlight w:val="none"/>
                <w:lang w:val="en-US" w:eastAsia="zh-CN"/>
                <w14:textFill>
                  <w14:solidFill>
                    <w14:schemeClr w14:val="tx1"/>
                  </w14:solidFill>
                </w14:textFill>
              </w:rPr>
              <w:t>5、地下水、土壤</w:t>
            </w:r>
          </w:p>
          <w:p w14:paraId="4CF316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新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新宋体" w:cs="Times New Roman"/>
                <w:b/>
                <w:bCs/>
                <w:color w:val="000000" w:themeColor="text1"/>
                <w:sz w:val="24"/>
                <w:szCs w:val="24"/>
                <w:lang w:val="en-US" w:eastAsia="zh-CN"/>
                <w14:textFill>
                  <w14:solidFill>
                    <w14:schemeClr w14:val="tx1"/>
                  </w14:solidFill>
                </w14:textFill>
              </w:rPr>
              <w:t>5.1地下水、土壤环境影响分析</w:t>
            </w:r>
          </w:p>
          <w:p w14:paraId="5AC20B2F">
            <w:pPr>
              <w:keepNext w:val="0"/>
              <w:keepLines w:val="0"/>
              <w:pageBreakBefore w:val="0"/>
              <w:widowControl/>
              <w:suppressLineNumbers w:val="0"/>
              <w:kinsoku/>
              <w:wordWrap/>
              <w:overflowPunct/>
              <w:topLinePunct w:val="0"/>
              <w:autoSpaceDE/>
              <w:autoSpaceDN/>
              <w:bidi w:val="0"/>
              <w:adjustRightInd/>
              <w:ind w:left="0" w:leftChars="0" w:firstLine="480" w:firstLineChars="200"/>
              <w:jc w:val="left"/>
              <w:textAlignment w:val="auto"/>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本项目为</w:t>
            </w:r>
            <w:r>
              <w:rPr>
                <w:rFonts w:hint="eastAsia" w:eastAsia="新宋体" w:cs="Times New Roman"/>
                <w:color w:val="000000" w:themeColor="text1"/>
                <w:kern w:val="0"/>
                <w:sz w:val="24"/>
                <w:szCs w:val="24"/>
                <w:lang w:val="en-US" w:eastAsia="zh-CN" w:bidi="ar"/>
                <w14:textFill>
                  <w14:solidFill>
                    <w14:schemeClr w14:val="tx1"/>
                  </w14:solidFill>
                </w14:textFill>
              </w:rPr>
              <w:t>水泥预制件</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制造项目，可能产生的污染源主要为生产废水，污染途径主要为</w:t>
            </w:r>
            <w:r>
              <w:rPr>
                <w:rFonts w:hint="eastAsia" w:eastAsia="新宋体" w:cs="Times New Roman"/>
                <w:color w:val="000000" w:themeColor="text1"/>
                <w:kern w:val="0"/>
                <w:sz w:val="24"/>
                <w:szCs w:val="24"/>
                <w:lang w:val="en-US" w:eastAsia="zh-CN" w:bidi="ar"/>
                <w14:textFill>
                  <w14:solidFill>
                    <w14:schemeClr w14:val="tx1"/>
                  </w14:solidFill>
                </w14:textFill>
              </w:rPr>
              <w:t>沉淀池</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发生破损导致渗漏，</w:t>
            </w:r>
            <w:r>
              <w:rPr>
                <w:rFonts w:hint="eastAsia" w:eastAsia="新宋体" w:cs="Times New Roman"/>
                <w:color w:val="000000" w:themeColor="text1"/>
                <w:kern w:val="0"/>
                <w:sz w:val="24"/>
                <w:szCs w:val="24"/>
                <w:lang w:val="en-US" w:eastAsia="zh-CN" w:bidi="ar"/>
                <w14:textFill>
                  <w14:solidFill>
                    <w14:schemeClr w14:val="tx1"/>
                  </w14:solidFill>
                </w14:textFill>
              </w:rPr>
              <w:t>本环评要求</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对厂区进行分区防渗。</w:t>
            </w:r>
          </w:p>
          <w:p w14:paraId="4A1DE4FD">
            <w:pPr>
              <w:keepNext w:val="0"/>
              <w:keepLines w:val="0"/>
              <w:pageBreakBefore w:val="0"/>
              <w:widowControl/>
              <w:suppressLineNumbers w:val="0"/>
              <w:kinsoku/>
              <w:wordWrap/>
              <w:overflowPunct/>
              <w:topLinePunct w:val="0"/>
              <w:autoSpaceDE/>
              <w:autoSpaceDN/>
              <w:bidi w:val="0"/>
              <w:adjustRightInd/>
              <w:ind w:left="0" w:leftChars="0" w:firstLine="480" w:firstLineChars="200"/>
              <w:jc w:val="left"/>
              <w:textAlignment w:val="auto"/>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（1）地下水防渗原则</w:t>
            </w:r>
          </w:p>
          <w:p w14:paraId="78B20A65">
            <w:pPr>
              <w:keepNext w:val="0"/>
              <w:keepLines w:val="0"/>
              <w:pageBreakBefore w:val="0"/>
              <w:widowControl/>
              <w:suppressLineNumbers w:val="0"/>
              <w:kinsoku/>
              <w:wordWrap/>
              <w:overflowPunct/>
              <w:topLinePunct w:val="0"/>
              <w:autoSpaceDE/>
              <w:autoSpaceDN/>
              <w:bidi w:val="0"/>
              <w:adjustRightInd/>
              <w:ind w:left="0" w:leftChars="0" w:firstLine="480" w:firstLineChars="200"/>
              <w:jc w:val="left"/>
              <w:textAlignment w:val="auto"/>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根据地下水污染防治措施和对策，“坚持源头控制、分区防控、污染监控。应急响应、重点突出饮用水源水质安全”的原则。</w:t>
            </w:r>
          </w:p>
          <w:p w14:paraId="78C85ED9">
            <w:pPr>
              <w:keepNext w:val="0"/>
              <w:keepLines w:val="0"/>
              <w:pageBreakBefore w:val="0"/>
              <w:widowControl/>
              <w:suppressLineNumbers w:val="0"/>
              <w:kinsoku/>
              <w:wordWrap/>
              <w:overflowPunct/>
              <w:topLinePunct w:val="0"/>
              <w:autoSpaceDE/>
              <w:autoSpaceDN/>
              <w:bidi w:val="0"/>
              <w:adjustRightInd/>
              <w:ind w:left="0" w:leftChars="0" w:firstLine="480" w:firstLineChars="200"/>
              <w:jc w:val="left"/>
              <w:textAlignment w:val="auto"/>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eastAsia" w:eastAsia="新宋体" w:cs="Times New Roman"/>
                <w:color w:val="000000" w:themeColor="text1"/>
                <w:kern w:val="0"/>
                <w:sz w:val="24"/>
                <w:szCs w:val="24"/>
                <w:lang w:val="en-US" w:eastAsia="zh-CN" w:bidi="ar"/>
                <w14:textFill>
                  <w14:solidFill>
                    <w14:schemeClr w14:val="tx1"/>
                  </w14:solidFill>
                </w14:textFill>
              </w:rPr>
              <w:t>（2）</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源头控制</w:t>
            </w:r>
          </w:p>
          <w:p w14:paraId="4C91A29F">
            <w:pPr>
              <w:keepNext w:val="0"/>
              <w:keepLines w:val="0"/>
              <w:pageBreakBefore w:val="0"/>
              <w:widowControl/>
              <w:suppressLineNumbers w:val="0"/>
              <w:kinsoku/>
              <w:wordWrap/>
              <w:overflowPunct/>
              <w:topLinePunct w:val="0"/>
              <w:autoSpaceDE/>
              <w:autoSpaceDN/>
              <w:bidi w:val="0"/>
              <w:adjustRightInd/>
              <w:ind w:left="0" w:leftChars="0" w:firstLine="480" w:firstLineChars="200"/>
              <w:jc w:val="left"/>
              <w:textAlignment w:val="auto"/>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①项目应根据国家现行相关规范加强环境管理，采取防治和降低污染物跑、冒、漏、滴、漏的措施。正常生产过程中应加强巡检及时处理污染物跑、冒、漏、滴、漏。同时应加强对防渗工程检查，若发现防渗密封材料老化或损坏，应及时维修更换。</w:t>
            </w:r>
          </w:p>
          <w:p w14:paraId="0919CDE2">
            <w:pPr>
              <w:keepNext w:val="0"/>
              <w:keepLines w:val="0"/>
              <w:pageBreakBefore w:val="0"/>
              <w:widowControl/>
              <w:suppressLineNumbers w:val="0"/>
              <w:kinsoku/>
              <w:wordWrap/>
              <w:overflowPunct/>
              <w:topLinePunct w:val="0"/>
              <w:autoSpaceDE/>
              <w:autoSpaceDN/>
              <w:bidi w:val="0"/>
              <w:adjustRightInd/>
              <w:ind w:left="0" w:leftChars="0" w:firstLine="480" w:firstLineChars="200"/>
              <w:jc w:val="left"/>
              <w:textAlignment w:val="auto"/>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②对工艺、设备、污水储存及处理构筑物采取控制措施，</w:t>
            </w:r>
            <w:r>
              <w:rPr>
                <w:rFonts w:hint="eastAsia" w:eastAsia="新宋体" w:cs="Times New Roman"/>
                <w:color w:val="000000" w:themeColor="text1"/>
                <w:kern w:val="0"/>
                <w:sz w:val="24"/>
                <w:szCs w:val="24"/>
                <w:lang w:val="en-US" w:eastAsia="zh-CN" w:bidi="ar"/>
                <w14:textFill>
                  <w14:solidFill>
                    <w14:schemeClr w14:val="tx1"/>
                  </w14:solidFill>
                </w14:textFill>
              </w:rPr>
              <w:t>防止</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污染物跑、冒、漏、滴、漏，将污染物泄漏的环境污染事故降至最低限度。</w:t>
            </w:r>
          </w:p>
          <w:p w14:paraId="6CC6F429">
            <w:pPr>
              <w:keepNext w:val="0"/>
              <w:keepLines w:val="0"/>
              <w:pageBreakBefore w:val="0"/>
              <w:widowControl/>
              <w:suppressLineNumbers w:val="0"/>
              <w:kinsoku/>
              <w:wordWrap/>
              <w:overflowPunct/>
              <w:topLinePunct w:val="0"/>
              <w:autoSpaceDE/>
              <w:autoSpaceDN/>
              <w:bidi w:val="0"/>
              <w:adjustRightInd/>
              <w:ind w:left="0" w:leftChars="0" w:firstLine="480" w:firstLineChars="200"/>
              <w:jc w:val="left"/>
              <w:textAlignment w:val="auto"/>
              <w:rPr>
                <w:rFonts w:hint="default" w:ascii="Times New Roman" w:hAnsi="Times New Roman" w:eastAsia="新宋体" w:cs="Times New Roman"/>
                <w:color w:val="000000" w:themeColor="text1"/>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项目</w:t>
            </w:r>
            <w:r>
              <w:rPr>
                <w:rFonts w:hint="eastAsia" w:eastAsia="新宋体" w:cs="Times New Roman"/>
                <w:color w:val="000000" w:themeColor="text1"/>
                <w:kern w:val="0"/>
                <w:sz w:val="24"/>
                <w:szCs w:val="24"/>
                <w:lang w:val="en-US" w:eastAsia="zh-CN" w:bidi="ar"/>
                <w14:textFill>
                  <w14:solidFill>
                    <w14:schemeClr w14:val="tx1"/>
                  </w14:solidFill>
                </w14:textFill>
              </w:rPr>
              <w:t>收集池、沉淀池</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均做防渗处理。正常情况下，项目运营期废水对土壤环境的影响不大。危险废物暂存在危险废物间内，危险废物暂存间防渗要求按《危险废物贮存污染控制标准》（GB18597-2023）进行设计，且具有防雨、防渗、防风、防日晒的功能。采取以上措施后，项目危险废物</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不存在土壤及地下水污染途径</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w:t>
            </w:r>
          </w:p>
          <w:p w14:paraId="6AD83440">
            <w:pPr>
              <w:keepNext w:val="0"/>
              <w:keepLines w:val="0"/>
              <w:pageBreakBefore w:val="0"/>
              <w:widowControl/>
              <w:suppressLineNumbers w:val="0"/>
              <w:kinsoku/>
              <w:wordWrap/>
              <w:overflowPunct/>
              <w:topLinePunct w:val="0"/>
              <w:autoSpaceDE/>
              <w:autoSpaceDN/>
              <w:bidi w:val="0"/>
              <w:adjustRightInd/>
              <w:ind w:left="0" w:leftChars="0" w:firstLine="480" w:firstLineChars="200"/>
              <w:jc w:val="left"/>
              <w:textAlignment w:val="auto"/>
              <w:rPr>
                <w:rFonts w:hint="default" w:ascii="Times New Roman" w:hAnsi="Times New Roman" w:eastAsia="新宋体" w:cs="Times New Roman"/>
                <w:color w:val="000000" w:themeColor="text1"/>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综上所述，项目在正常运行工况下，项目对土壤环境影响不大，建设单位应加强污染源控制和土壤污染防治，防止排放事故出现，则对该区域土壤环境影响总体不大，是可以接受的。</w:t>
            </w:r>
          </w:p>
          <w:p w14:paraId="2481A9D6">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w:t>
            </w:r>
            <w:r>
              <w:rPr>
                <w:rFonts w:hint="eastAsia" w:eastAsia="新宋体" w:cs="Times New Roman"/>
                <w:color w:val="000000" w:themeColor="text1"/>
                <w:kern w:val="0"/>
                <w:sz w:val="24"/>
                <w:szCs w:val="24"/>
                <w:lang w:val="en-US" w:eastAsia="zh-CN" w:bidi="ar"/>
                <w14:textFill>
                  <w14:solidFill>
                    <w14:schemeClr w14:val="tx1"/>
                  </w14:solidFill>
                </w14:textFill>
              </w:rPr>
              <w:t>3</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）分区防渗措施</w:t>
            </w:r>
          </w:p>
          <w:p w14:paraId="4F3904EC">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新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highlight w:val="none"/>
                <w:lang w:val="en-US" w:eastAsia="zh-CN" w:bidi="ar"/>
                <w14:textFill>
                  <w14:solidFill>
                    <w14:schemeClr w14:val="tx1"/>
                  </w14:solidFill>
                </w14:textFill>
              </w:rPr>
              <w:t>按照《环境影响评价技术导则地下水环境》（HJ610-2016）要求，防渗分区应根据建设项目场地包气带防污性能、污染控制难易程度和污染物特性提出防渗技术要求。其中污染物控制难易程度分级和天然气包气带防污性能分级分别参照下表进行相关等级确定，见下表4-</w:t>
            </w:r>
            <w:r>
              <w:rPr>
                <w:rFonts w:hint="eastAsia" w:eastAsia="新宋体" w:cs="Times New Roman"/>
                <w:color w:val="000000" w:themeColor="text1"/>
                <w:kern w:val="0"/>
                <w:sz w:val="24"/>
                <w:szCs w:val="24"/>
                <w:highlight w:val="none"/>
                <w:lang w:val="en-US" w:eastAsia="zh-CN" w:bidi="ar"/>
                <w14:textFill>
                  <w14:solidFill>
                    <w14:schemeClr w14:val="tx1"/>
                  </w14:solidFill>
                </w14:textFill>
              </w:rPr>
              <w:t>15</w:t>
            </w:r>
            <w:r>
              <w:rPr>
                <w:rFonts w:hint="default" w:ascii="Times New Roman" w:hAnsi="Times New Roman" w:eastAsia="新宋体" w:cs="Times New Roman"/>
                <w:color w:val="000000" w:themeColor="text1"/>
                <w:kern w:val="0"/>
                <w:sz w:val="24"/>
                <w:szCs w:val="24"/>
                <w:highlight w:val="none"/>
                <w:lang w:val="en-US" w:eastAsia="zh-CN" w:bidi="ar"/>
                <w14:textFill>
                  <w14:solidFill>
                    <w14:schemeClr w14:val="tx1"/>
                  </w14:solidFill>
                </w14:textFill>
              </w:rPr>
              <w:t>。</w:t>
            </w:r>
          </w:p>
          <w:p w14:paraId="69340493">
            <w:pPr>
              <w:keepNext w:val="0"/>
              <w:keepLines w:val="0"/>
              <w:widowControl/>
              <w:suppressLineNumbers w:val="0"/>
              <w:jc w:val="center"/>
              <w:rPr>
                <w:rFonts w:hint="default" w:ascii="Times New Roman" w:hAnsi="Times New Roman" w:eastAsia="新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新宋体" w:cs="Times New Roman"/>
                <w:b/>
                <w:bCs/>
                <w:color w:val="000000" w:themeColor="text1"/>
                <w:sz w:val="21"/>
                <w:szCs w:val="21"/>
                <w:highlight w:val="none"/>
                <w:lang w:val="en-US" w:eastAsia="zh-CN"/>
                <w14:textFill>
                  <w14:solidFill>
                    <w14:schemeClr w14:val="tx1"/>
                  </w14:solidFill>
                </w14:textFill>
              </w:rPr>
              <w:t>表4-</w:t>
            </w:r>
            <w:r>
              <w:rPr>
                <w:rFonts w:hint="eastAsia" w:eastAsia="新宋体" w:cs="Times New Roman"/>
                <w:b/>
                <w:bCs/>
                <w:color w:val="000000" w:themeColor="text1"/>
                <w:sz w:val="21"/>
                <w:szCs w:val="21"/>
                <w:highlight w:val="none"/>
                <w:lang w:val="en-US" w:eastAsia="zh-CN"/>
                <w14:textFill>
                  <w14:solidFill>
                    <w14:schemeClr w14:val="tx1"/>
                  </w14:solidFill>
                </w14:textFill>
              </w:rPr>
              <w:t>15</w:t>
            </w:r>
            <w:r>
              <w:rPr>
                <w:rFonts w:hint="default" w:ascii="Times New Roman" w:hAnsi="Times New Roman" w:eastAsia="新宋体" w:cs="Times New Roman"/>
                <w:b/>
                <w:bCs/>
                <w:color w:val="000000" w:themeColor="text1"/>
                <w:sz w:val="21"/>
                <w:szCs w:val="21"/>
                <w:highlight w:val="none"/>
                <w:lang w:val="en-US" w:eastAsia="zh-CN"/>
                <w14:textFill>
                  <w14:solidFill>
                    <w14:schemeClr w14:val="tx1"/>
                  </w14:solidFill>
                </w14:textFill>
              </w:rPr>
              <w:t>地下水污染防渗分区参照表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85"/>
              <w:gridCol w:w="1320"/>
              <w:gridCol w:w="1430"/>
              <w:gridCol w:w="1213"/>
              <w:gridCol w:w="2614"/>
            </w:tblGrid>
            <w:tr w14:paraId="5D537D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7" w:type="pct"/>
                  <w:tcBorders>
                    <w:tl2br w:val="nil"/>
                    <w:tr2bl w:val="nil"/>
                  </w:tcBorders>
                  <w:noWrap w:val="0"/>
                  <w:vAlign w:val="center"/>
                </w:tcPr>
                <w:p w14:paraId="37EF6447">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防渗区域</w:t>
                  </w:r>
                </w:p>
              </w:tc>
              <w:tc>
                <w:tcPr>
                  <w:tcW w:w="839" w:type="pct"/>
                  <w:tcBorders>
                    <w:tl2br w:val="nil"/>
                    <w:tr2bl w:val="nil"/>
                  </w:tcBorders>
                  <w:noWrap w:val="0"/>
                  <w:vAlign w:val="center"/>
                </w:tcPr>
                <w:p w14:paraId="1C43BF54">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天然包气带防污性能</w:t>
                  </w:r>
                </w:p>
              </w:tc>
              <w:tc>
                <w:tcPr>
                  <w:tcW w:w="909" w:type="pct"/>
                  <w:tcBorders>
                    <w:tl2br w:val="nil"/>
                    <w:tr2bl w:val="nil"/>
                  </w:tcBorders>
                  <w:noWrap w:val="0"/>
                  <w:vAlign w:val="center"/>
                </w:tcPr>
                <w:p w14:paraId="6851795A">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污染控制难易程度</w:t>
                  </w:r>
                </w:p>
              </w:tc>
              <w:tc>
                <w:tcPr>
                  <w:tcW w:w="771" w:type="pct"/>
                  <w:tcBorders>
                    <w:tl2br w:val="nil"/>
                    <w:tr2bl w:val="nil"/>
                  </w:tcBorders>
                  <w:noWrap w:val="0"/>
                  <w:vAlign w:val="center"/>
                </w:tcPr>
                <w:p w14:paraId="5E64CD69">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污染物类型</w:t>
                  </w:r>
                </w:p>
              </w:tc>
              <w:tc>
                <w:tcPr>
                  <w:tcW w:w="1662" w:type="pct"/>
                  <w:tcBorders>
                    <w:tl2br w:val="nil"/>
                    <w:tr2bl w:val="nil"/>
                  </w:tcBorders>
                  <w:noWrap w:val="0"/>
                  <w:vAlign w:val="center"/>
                </w:tcPr>
                <w:p w14:paraId="133B90B0">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污染物防渗技术要求</w:t>
                  </w:r>
                </w:p>
              </w:tc>
            </w:tr>
            <w:tr w14:paraId="6D3627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7" w:type="pct"/>
                  <w:vMerge w:val="restart"/>
                  <w:tcBorders>
                    <w:tl2br w:val="nil"/>
                    <w:tr2bl w:val="nil"/>
                  </w:tcBorders>
                  <w:noWrap w:val="0"/>
                  <w:vAlign w:val="center"/>
                </w:tcPr>
                <w:p w14:paraId="3D35470B">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重点防渗区</w:t>
                  </w:r>
                </w:p>
              </w:tc>
              <w:tc>
                <w:tcPr>
                  <w:tcW w:w="839" w:type="pct"/>
                  <w:tcBorders>
                    <w:tl2br w:val="nil"/>
                    <w:tr2bl w:val="nil"/>
                  </w:tcBorders>
                  <w:noWrap w:val="0"/>
                  <w:vAlign w:val="center"/>
                </w:tcPr>
                <w:p w14:paraId="7F08AF83">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弱</w:t>
                  </w:r>
                </w:p>
              </w:tc>
              <w:tc>
                <w:tcPr>
                  <w:tcW w:w="909" w:type="pct"/>
                  <w:tcBorders>
                    <w:tl2br w:val="nil"/>
                    <w:tr2bl w:val="nil"/>
                  </w:tcBorders>
                  <w:noWrap w:val="0"/>
                  <w:vAlign w:val="center"/>
                </w:tcPr>
                <w:p w14:paraId="13397B17">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难</w:t>
                  </w:r>
                </w:p>
              </w:tc>
              <w:tc>
                <w:tcPr>
                  <w:tcW w:w="771" w:type="pct"/>
                  <w:vMerge w:val="restart"/>
                  <w:tcBorders>
                    <w:tl2br w:val="nil"/>
                    <w:tr2bl w:val="nil"/>
                  </w:tcBorders>
                  <w:noWrap w:val="0"/>
                  <w:vAlign w:val="center"/>
                </w:tcPr>
                <w:p w14:paraId="094D7DC2">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重金属、持久性有机污染物</w:t>
                  </w:r>
                </w:p>
              </w:tc>
              <w:tc>
                <w:tcPr>
                  <w:tcW w:w="1662" w:type="pct"/>
                  <w:vMerge w:val="restart"/>
                  <w:tcBorders>
                    <w:tl2br w:val="nil"/>
                    <w:tr2bl w:val="nil"/>
                  </w:tcBorders>
                  <w:noWrap w:val="0"/>
                  <w:vAlign w:val="center"/>
                </w:tcPr>
                <w:p w14:paraId="51528135">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等效黏土防渗层Mb≧6m，K≦1×10</w:t>
                  </w:r>
                  <w:r>
                    <w:rPr>
                      <w:rFonts w:hint="default" w:ascii="Times New Roman" w:hAnsi="Times New Roman" w:eastAsia="新宋体" w:cs="Times New Roman"/>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cm/s，或参照GB18598执行</w:t>
                  </w:r>
                </w:p>
              </w:tc>
            </w:tr>
            <w:tr w14:paraId="6DB413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7" w:type="pct"/>
                  <w:vMerge w:val="continue"/>
                  <w:tcBorders>
                    <w:tl2br w:val="nil"/>
                    <w:tr2bl w:val="nil"/>
                  </w:tcBorders>
                  <w:noWrap w:val="0"/>
                  <w:vAlign w:val="center"/>
                </w:tcPr>
                <w:p w14:paraId="7F05B368">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c>
                <w:tcPr>
                  <w:tcW w:w="839" w:type="pct"/>
                  <w:tcBorders>
                    <w:tl2br w:val="nil"/>
                    <w:tr2bl w:val="nil"/>
                  </w:tcBorders>
                  <w:noWrap w:val="0"/>
                  <w:vAlign w:val="center"/>
                </w:tcPr>
                <w:p w14:paraId="2A454199">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中－强</w:t>
                  </w:r>
                </w:p>
              </w:tc>
              <w:tc>
                <w:tcPr>
                  <w:tcW w:w="909" w:type="pct"/>
                  <w:tcBorders>
                    <w:tl2br w:val="nil"/>
                    <w:tr2bl w:val="nil"/>
                  </w:tcBorders>
                  <w:noWrap w:val="0"/>
                  <w:vAlign w:val="center"/>
                </w:tcPr>
                <w:p w14:paraId="56319ADC">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难</w:t>
                  </w:r>
                </w:p>
              </w:tc>
              <w:tc>
                <w:tcPr>
                  <w:tcW w:w="771" w:type="pct"/>
                  <w:vMerge w:val="continue"/>
                  <w:tcBorders>
                    <w:tl2br w:val="nil"/>
                    <w:tr2bl w:val="nil"/>
                  </w:tcBorders>
                  <w:noWrap w:val="0"/>
                  <w:vAlign w:val="center"/>
                </w:tcPr>
                <w:p w14:paraId="025E6A0C">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c>
                <w:tcPr>
                  <w:tcW w:w="1662" w:type="pct"/>
                  <w:vMerge w:val="continue"/>
                  <w:tcBorders>
                    <w:tl2br w:val="nil"/>
                    <w:tr2bl w:val="nil"/>
                  </w:tcBorders>
                  <w:noWrap w:val="0"/>
                  <w:vAlign w:val="center"/>
                </w:tcPr>
                <w:p w14:paraId="447B79D0">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r>
            <w:tr w14:paraId="7450DB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7" w:type="pct"/>
                  <w:vMerge w:val="continue"/>
                  <w:tcBorders>
                    <w:tl2br w:val="nil"/>
                    <w:tr2bl w:val="nil"/>
                  </w:tcBorders>
                  <w:noWrap w:val="0"/>
                  <w:vAlign w:val="center"/>
                </w:tcPr>
                <w:p w14:paraId="1AD4124F">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c>
                <w:tcPr>
                  <w:tcW w:w="839" w:type="pct"/>
                  <w:tcBorders>
                    <w:tl2br w:val="nil"/>
                    <w:tr2bl w:val="nil"/>
                  </w:tcBorders>
                  <w:noWrap w:val="0"/>
                  <w:vAlign w:val="center"/>
                </w:tcPr>
                <w:p w14:paraId="29835AB9">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弱</w:t>
                  </w:r>
                </w:p>
              </w:tc>
              <w:tc>
                <w:tcPr>
                  <w:tcW w:w="909" w:type="pct"/>
                  <w:tcBorders>
                    <w:tl2br w:val="nil"/>
                    <w:tr2bl w:val="nil"/>
                  </w:tcBorders>
                  <w:noWrap w:val="0"/>
                  <w:vAlign w:val="center"/>
                </w:tcPr>
                <w:p w14:paraId="4B517623">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易</w:t>
                  </w:r>
                </w:p>
              </w:tc>
              <w:tc>
                <w:tcPr>
                  <w:tcW w:w="771" w:type="pct"/>
                  <w:vMerge w:val="continue"/>
                  <w:tcBorders>
                    <w:tl2br w:val="nil"/>
                    <w:tr2bl w:val="nil"/>
                  </w:tcBorders>
                  <w:noWrap w:val="0"/>
                  <w:vAlign w:val="center"/>
                </w:tcPr>
                <w:p w14:paraId="2C952899">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c>
                <w:tcPr>
                  <w:tcW w:w="1662" w:type="pct"/>
                  <w:vMerge w:val="continue"/>
                  <w:tcBorders>
                    <w:tl2br w:val="nil"/>
                    <w:tr2bl w:val="nil"/>
                  </w:tcBorders>
                  <w:noWrap w:val="0"/>
                  <w:vAlign w:val="center"/>
                </w:tcPr>
                <w:p w14:paraId="77A84AA5">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r>
            <w:tr w14:paraId="729AC3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7" w:type="pct"/>
                  <w:vMerge w:val="restart"/>
                  <w:tcBorders>
                    <w:tl2br w:val="nil"/>
                    <w:tr2bl w:val="nil"/>
                  </w:tcBorders>
                  <w:noWrap w:val="0"/>
                  <w:vAlign w:val="center"/>
                </w:tcPr>
                <w:p w14:paraId="33096F85">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一般防渗区</w:t>
                  </w:r>
                </w:p>
              </w:tc>
              <w:tc>
                <w:tcPr>
                  <w:tcW w:w="839" w:type="pct"/>
                  <w:tcBorders>
                    <w:tl2br w:val="nil"/>
                    <w:tr2bl w:val="nil"/>
                  </w:tcBorders>
                  <w:noWrap w:val="0"/>
                  <w:vAlign w:val="center"/>
                </w:tcPr>
                <w:p w14:paraId="61599C66">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弱</w:t>
                  </w:r>
                </w:p>
              </w:tc>
              <w:tc>
                <w:tcPr>
                  <w:tcW w:w="909" w:type="pct"/>
                  <w:tcBorders>
                    <w:tl2br w:val="nil"/>
                    <w:tr2bl w:val="nil"/>
                  </w:tcBorders>
                  <w:noWrap w:val="0"/>
                  <w:vAlign w:val="center"/>
                </w:tcPr>
                <w:p w14:paraId="55654210">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易－难</w:t>
                  </w:r>
                </w:p>
              </w:tc>
              <w:tc>
                <w:tcPr>
                  <w:tcW w:w="771" w:type="pct"/>
                  <w:vMerge w:val="restart"/>
                  <w:tcBorders>
                    <w:tl2br w:val="nil"/>
                    <w:tr2bl w:val="nil"/>
                  </w:tcBorders>
                  <w:noWrap w:val="0"/>
                  <w:vAlign w:val="center"/>
                </w:tcPr>
                <w:p w14:paraId="12C3748D">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其他类型</w:t>
                  </w:r>
                </w:p>
              </w:tc>
              <w:tc>
                <w:tcPr>
                  <w:tcW w:w="1662" w:type="pct"/>
                  <w:vMerge w:val="restart"/>
                  <w:tcBorders>
                    <w:tl2br w:val="nil"/>
                    <w:tr2bl w:val="nil"/>
                  </w:tcBorders>
                  <w:noWrap w:val="0"/>
                  <w:vAlign w:val="center"/>
                </w:tcPr>
                <w:p w14:paraId="5037824B">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等效黏土防渗层Mb≧1.5m，K≦1×10</w:t>
                  </w:r>
                  <w:r>
                    <w:rPr>
                      <w:rFonts w:hint="default" w:ascii="Times New Roman" w:hAnsi="Times New Roman" w:eastAsia="新宋体" w:cs="Times New Roman"/>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cm/s，或参照GB16889执行</w:t>
                  </w:r>
                </w:p>
              </w:tc>
            </w:tr>
            <w:tr w14:paraId="7EBD2F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7" w:type="pct"/>
                  <w:vMerge w:val="continue"/>
                  <w:tcBorders>
                    <w:tl2br w:val="nil"/>
                    <w:tr2bl w:val="nil"/>
                  </w:tcBorders>
                  <w:noWrap w:val="0"/>
                  <w:vAlign w:val="center"/>
                </w:tcPr>
                <w:p w14:paraId="7DE1CA05">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c>
                <w:tcPr>
                  <w:tcW w:w="839" w:type="pct"/>
                  <w:tcBorders>
                    <w:tl2br w:val="nil"/>
                    <w:tr2bl w:val="nil"/>
                  </w:tcBorders>
                  <w:noWrap w:val="0"/>
                  <w:vAlign w:val="center"/>
                </w:tcPr>
                <w:p w14:paraId="3A7AB87C">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中－强</w:t>
                  </w:r>
                </w:p>
              </w:tc>
              <w:tc>
                <w:tcPr>
                  <w:tcW w:w="909" w:type="pct"/>
                  <w:tcBorders>
                    <w:tl2br w:val="nil"/>
                    <w:tr2bl w:val="nil"/>
                  </w:tcBorders>
                  <w:noWrap w:val="0"/>
                  <w:vAlign w:val="center"/>
                </w:tcPr>
                <w:p w14:paraId="59E3AE1C">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难</w:t>
                  </w:r>
                </w:p>
              </w:tc>
              <w:tc>
                <w:tcPr>
                  <w:tcW w:w="771" w:type="pct"/>
                  <w:vMerge w:val="continue"/>
                  <w:tcBorders>
                    <w:tl2br w:val="nil"/>
                    <w:tr2bl w:val="nil"/>
                  </w:tcBorders>
                  <w:noWrap w:val="0"/>
                  <w:vAlign w:val="center"/>
                </w:tcPr>
                <w:p w14:paraId="46C95CB1">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c>
                <w:tcPr>
                  <w:tcW w:w="1662" w:type="pct"/>
                  <w:vMerge w:val="continue"/>
                  <w:tcBorders>
                    <w:tl2br w:val="nil"/>
                    <w:tr2bl w:val="nil"/>
                  </w:tcBorders>
                  <w:noWrap w:val="0"/>
                  <w:vAlign w:val="center"/>
                </w:tcPr>
                <w:p w14:paraId="2157A112">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r>
            <w:tr w14:paraId="0EB45F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7" w:type="pct"/>
                  <w:vMerge w:val="continue"/>
                  <w:tcBorders>
                    <w:tl2br w:val="nil"/>
                    <w:tr2bl w:val="nil"/>
                  </w:tcBorders>
                  <w:noWrap w:val="0"/>
                  <w:vAlign w:val="center"/>
                </w:tcPr>
                <w:p w14:paraId="41DF3914">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c>
                <w:tcPr>
                  <w:tcW w:w="839" w:type="pct"/>
                  <w:tcBorders>
                    <w:tl2br w:val="nil"/>
                    <w:tr2bl w:val="nil"/>
                  </w:tcBorders>
                  <w:noWrap w:val="0"/>
                  <w:vAlign w:val="center"/>
                </w:tcPr>
                <w:p w14:paraId="2F23F9AD">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中</w:t>
                  </w:r>
                </w:p>
              </w:tc>
              <w:tc>
                <w:tcPr>
                  <w:tcW w:w="909" w:type="pct"/>
                  <w:tcBorders>
                    <w:tl2br w:val="nil"/>
                    <w:tr2bl w:val="nil"/>
                  </w:tcBorders>
                  <w:noWrap w:val="0"/>
                  <w:vAlign w:val="center"/>
                </w:tcPr>
                <w:p w14:paraId="063424ED">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易</w:t>
                  </w:r>
                </w:p>
              </w:tc>
              <w:tc>
                <w:tcPr>
                  <w:tcW w:w="771" w:type="pct"/>
                  <w:vMerge w:val="restart"/>
                  <w:tcBorders>
                    <w:tl2br w:val="nil"/>
                    <w:tr2bl w:val="nil"/>
                  </w:tcBorders>
                  <w:noWrap w:val="0"/>
                  <w:vAlign w:val="center"/>
                </w:tcPr>
                <w:p w14:paraId="5A541EA6">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重金属、持久性有机污染物</w:t>
                  </w:r>
                </w:p>
              </w:tc>
              <w:tc>
                <w:tcPr>
                  <w:tcW w:w="1662" w:type="pct"/>
                  <w:vMerge w:val="continue"/>
                  <w:tcBorders>
                    <w:tl2br w:val="nil"/>
                    <w:tr2bl w:val="nil"/>
                  </w:tcBorders>
                  <w:noWrap w:val="0"/>
                  <w:vAlign w:val="center"/>
                </w:tcPr>
                <w:p w14:paraId="21C8F727">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r>
            <w:tr w14:paraId="632980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7" w:type="pct"/>
                  <w:vMerge w:val="continue"/>
                  <w:tcBorders>
                    <w:tl2br w:val="nil"/>
                    <w:tr2bl w:val="nil"/>
                  </w:tcBorders>
                  <w:noWrap w:val="0"/>
                  <w:vAlign w:val="center"/>
                </w:tcPr>
                <w:p w14:paraId="1EF0C236">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c>
                <w:tcPr>
                  <w:tcW w:w="839" w:type="pct"/>
                  <w:tcBorders>
                    <w:tl2br w:val="nil"/>
                    <w:tr2bl w:val="nil"/>
                  </w:tcBorders>
                  <w:noWrap w:val="0"/>
                  <w:vAlign w:val="center"/>
                </w:tcPr>
                <w:p w14:paraId="57E5FEE5">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强</w:t>
                  </w:r>
                </w:p>
              </w:tc>
              <w:tc>
                <w:tcPr>
                  <w:tcW w:w="909" w:type="pct"/>
                  <w:tcBorders>
                    <w:tl2br w:val="nil"/>
                    <w:tr2bl w:val="nil"/>
                  </w:tcBorders>
                  <w:noWrap w:val="0"/>
                  <w:vAlign w:val="center"/>
                </w:tcPr>
                <w:p w14:paraId="17ADECD3">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易</w:t>
                  </w:r>
                </w:p>
              </w:tc>
              <w:tc>
                <w:tcPr>
                  <w:tcW w:w="771" w:type="pct"/>
                  <w:vMerge w:val="continue"/>
                  <w:tcBorders>
                    <w:tl2br w:val="nil"/>
                    <w:tr2bl w:val="nil"/>
                  </w:tcBorders>
                  <w:noWrap w:val="0"/>
                  <w:vAlign w:val="center"/>
                </w:tcPr>
                <w:p w14:paraId="31953B2E">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c>
                <w:tcPr>
                  <w:tcW w:w="1662" w:type="pct"/>
                  <w:vMerge w:val="continue"/>
                  <w:tcBorders>
                    <w:tl2br w:val="nil"/>
                    <w:tr2bl w:val="nil"/>
                  </w:tcBorders>
                  <w:noWrap w:val="0"/>
                  <w:vAlign w:val="center"/>
                </w:tcPr>
                <w:p w14:paraId="068A2BA0">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r>
            <w:tr w14:paraId="7E9516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7" w:type="pct"/>
                  <w:tcBorders>
                    <w:tl2br w:val="nil"/>
                    <w:tr2bl w:val="nil"/>
                  </w:tcBorders>
                  <w:noWrap w:val="0"/>
                  <w:vAlign w:val="center"/>
                </w:tcPr>
                <w:p w14:paraId="4DA9E452">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简单防渗区</w:t>
                  </w:r>
                </w:p>
              </w:tc>
              <w:tc>
                <w:tcPr>
                  <w:tcW w:w="839" w:type="pct"/>
                  <w:tcBorders>
                    <w:tl2br w:val="nil"/>
                    <w:tr2bl w:val="nil"/>
                  </w:tcBorders>
                  <w:noWrap w:val="0"/>
                  <w:vAlign w:val="center"/>
                </w:tcPr>
                <w:p w14:paraId="4CB76C0C">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中－强</w:t>
                  </w:r>
                </w:p>
              </w:tc>
              <w:tc>
                <w:tcPr>
                  <w:tcW w:w="909" w:type="pct"/>
                  <w:tcBorders>
                    <w:tl2br w:val="nil"/>
                    <w:tr2bl w:val="nil"/>
                  </w:tcBorders>
                  <w:noWrap w:val="0"/>
                  <w:vAlign w:val="center"/>
                </w:tcPr>
                <w:p w14:paraId="46FE95B2">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易</w:t>
                  </w:r>
                </w:p>
              </w:tc>
              <w:tc>
                <w:tcPr>
                  <w:tcW w:w="771" w:type="pct"/>
                  <w:tcBorders>
                    <w:tl2br w:val="nil"/>
                    <w:tr2bl w:val="nil"/>
                  </w:tcBorders>
                  <w:noWrap w:val="0"/>
                  <w:vAlign w:val="center"/>
                </w:tcPr>
                <w:p w14:paraId="1B41A57A">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其他类型</w:t>
                  </w:r>
                </w:p>
              </w:tc>
              <w:tc>
                <w:tcPr>
                  <w:tcW w:w="1662" w:type="pct"/>
                  <w:tcBorders>
                    <w:tl2br w:val="nil"/>
                    <w:tr2bl w:val="nil"/>
                  </w:tcBorders>
                  <w:noWrap w:val="0"/>
                  <w:vAlign w:val="center"/>
                </w:tcPr>
                <w:p w14:paraId="51BC303F">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一般地面硬化</w:t>
                  </w:r>
                </w:p>
              </w:tc>
            </w:tr>
          </w:tbl>
          <w:p w14:paraId="3F790CBD">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新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highlight w:val="none"/>
                <w:lang w:val="en-US" w:eastAsia="zh-CN" w:bidi="ar"/>
                <w14:textFill>
                  <w14:solidFill>
                    <w14:schemeClr w14:val="tx1"/>
                  </w14:solidFill>
                </w14:textFill>
              </w:rPr>
              <w:t>根据各生产区可能泄露至地面区域污染物的性质和生产单元的构筑方式以及潜在的地下水污染源分类分析，将厂区划分为重点防渗区、一般防渗区和简单防渗区。</w:t>
            </w:r>
          </w:p>
          <w:p w14:paraId="7CFDF5A9">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新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highlight w:val="none"/>
                <w:lang w:val="en-US" w:eastAsia="zh-CN" w:bidi="ar"/>
                <w14:textFill>
                  <w14:solidFill>
                    <w14:schemeClr w14:val="tx1"/>
                  </w14:solidFill>
                </w14:textFill>
              </w:rPr>
              <w:t>重点防渗区：危废暂存间。</w:t>
            </w:r>
          </w:p>
          <w:p w14:paraId="7A160CEE">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新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highlight w:val="none"/>
                <w:lang w:val="en-US" w:eastAsia="zh-CN" w:bidi="ar"/>
                <w14:textFill>
                  <w14:solidFill>
                    <w14:schemeClr w14:val="tx1"/>
                  </w14:solidFill>
                </w14:textFill>
              </w:rPr>
              <w:t>一般防渗区：</w:t>
            </w:r>
            <w:r>
              <w:rPr>
                <w:rFonts w:hint="eastAsia" w:eastAsia="新宋体" w:cs="Times New Roman"/>
                <w:color w:val="000000" w:themeColor="text1"/>
                <w:sz w:val="24"/>
                <w:szCs w:val="24"/>
                <w:highlight w:val="none"/>
                <w:lang w:eastAsia="zh-CN"/>
                <w14:textFill>
                  <w14:solidFill>
                    <w14:schemeClr w14:val="tx1"/>
                  </w14:solidFill>
                </w14:textFill>
              </w:rPr>
              <w:t>收集池、</w:t>
            </w:r>
            <w:r>
              <w:rPr>
                <w:rFonts w:hint="eastAsia" w:eastAsia="新宋体" w:cs="Times New Roman"/>
                <w:color w:val="000000" w:themeColor="text1"/>
                <w:sz w:val="24"/>
                <w:szCs w:val="24"/>
                <w:highlight w:val="none"/>
                <w:lang w:val="en-US" w:eastAsia="zh-CN"/>
                <w14:textFill>
                  <w14:solidFill>
                    <w14:schemeClr w14:val="tx1"/>
                  </w14:solidFill>
                </w14:textFill>
              </w:rPr>
              <w:t>沉淀池</w:t>
            </w:r>
            <w:r>
              <w:rPr>
                <w:rFonts w:hint="default" w:ascii="Times New Roman" w:hAnsi="Times New Roman" w:eastAsia="新宋体" w:cs="Times New Roman"/>
                <w:color w:val="000000" w:themeColor="text1"/>
                <w:kern w:val="0"/>
                <w:sz w:val="24"/>
                <w:szCs w:val="24"/>
                <w:highlight w:val="none"/>
                <w:lang w:val="en-US" w:eastAsia="zh-CN" w:bidi="ar"/>
                <w14:textFill>
                  <w14:solidFill>
                    <w14:schemeClr w14:val="tx1"/>
                  </w14:solidFill>
                </w14:textFill>
              </w:rPr>
              <w:t>。</w:t>
            </w:r>
          </w:p>
          <w:p w14:paraId="72824FF4">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新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highlight w:val="none"/>
                <w:lang w:val="en-US" w:eastAsia="zh-CN" w:bidi="ar"/>
                <w14:textFill>
                  <w14:solidFill>
                    <w14:schemeClr w14:val="tx1"/>
                  </w14:solidFill>
                </w14:textFill>
              </w:rPr>
              <w:t>简单防渗区：</w:t>
            </w:r>
            <w:r>
              <w:rPr>
                <w:rFonts w:hint="eastAsia" w:eastAsia="新宋体" w:cs="Times New Roman"/>
                <w:color w:val="000000" w:themeColor="text1"/>
                <w:kern w:val="0"/>
                <w:sz w:val="24"/>
                <w:szCs w:val="24"/>
                <w:highlight w:val="none"/>
                <w:lang w:val="en-US" w:eastAsia="zh-CN" w:bidi="ar"/>
                <w14:textFill>
                  <w14:solidFill>
                    <w14:schemeClr w14:val="tx1"/>
                  </w14:solidFill>
                </w14:textFill>
              </w:rPr>
              <w:t>养护区、生产车间、原料库房、石子堆场</w:t>
            </w:r>
            <w:r>
              <w:rPr>
                <w:rFonts w:hint="default" w:ascii="Times New Roman" w:hAnsi="Times New Roman" w:eastAsia="新宋体" w:cs="Times New Roman"/>
                <w:color w:val="000000" w:themeColor="text1"/>
                <w:kern w:val="0"/>
                <w:sz w:val="24"/>
                <w:szCs w:val="24"/>
                <w:highlight w:val="none"/>
                <w:lang w:val="en-US" w:eastAsia="zh-CN" w:bidi="ar"/>
                <w14:textFill>
                  <w14:solidFill>
                    <w14:schemeClr w14:val="tx1"/>
                  </w14:solidFill>
                </w14:textFill>
              </w:rPr>
              <w:t>。</w:t>
            </w:r>
          </w:p>
          <w:p w14:paraId="3C58A1D9">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新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highlight w:val="none"/>
                <w:lang w:val="en-US" w:eastAsia="zh-CN" w:bidi="ar"/>
                <w14:textFill>
                  <w14:solidFill>
                    <w14:schemeClr w14:val="tx1"/>
                  </w14:solidFill>
                </w14:textFill>
              </w:rPr>
              <w:t>根据以上分区情况，对各部分防渗分区情况进行统计。</w:t>
            </w:r>
          </w:p>
          <w:p w14:paraId="241C91F0">
            <w:pPr>
              <w:keepNext w:val="0"/>
              <w:keepLines w:val="0"/>
              <w:widowControl/>
              <w:suppressLineNumbers w:val="0"/>
              <w:jc w:val="center"/>
              <w:rPr>
                <w:rFonts w:hint="default" w:ascii="Times New Roman" w:hAnsi="Times New Roman" w:eastAsia="新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新宋体" w:cs="Times New Roman"/>
                <w:b/>
                <w:bCs/>
                <w:color w:val="000000" w:themeColor="text1"/>
                <w:sz w:val="21"/>
                <w:szCs w:val="21"/>
                <w:highlight w:val="none"/>
                <w:lang w:val="en-US" w:eastAsia="zh-CN"/>
                <w14:textFill>
                  <w14:solidFill>
                    <w14:schemeClr w14:val="tx1"/>
                  </w14:solidFill>
                </w14:textFill>
              </w:rPr>
              <w:t>表4-1</w:t>
            </w:r>
            <w:r>
              <w:rPr>
                <w:rFonts w:hint="eastAsia" w:eastAsia="新宋体" w:cs="Times New Roman"/>
                <w:b/>
                <w:bCs/>
                <w:color w:val="000000" w:themeColor="text1"/>
                <w:sz w:val="21"/>
                <w:szCs w:val="21"/>
                <w:highlight w:val="none"/>
                <w:lang w:val="en-US" w:eastAsia="zh-CN"/>
                <w14:textFill>
                  <w14:solidFill>
                    <w14:schemeClr w14:val="tx1"/>
                  </w14:solidFill>
                </w14:textFill>
              </w:rPr>
              <w:t>6</w:t>
            </w:r>
            <w:r>
              <w:rPr>
                <w:rFonts w:hint="default" w:ascii="Times New Roman" w:hAnsi="Times New Roman" w:eastAsia="新宋体" w:cs="Times New Roman"/>
                <w:b/>
                <w:bCs/>
                <w:color w:val="000000" w:themeColor="text1"/>
                <w:sz w:val="21"/>
                <w:szCs w:val="21"/>
                <w:highlight w:val="none"/>
                <w:lang w:val="en-US" w:eastAsia="zh-CN"/>
                <w14:textFill>
                  <w14:solidFill>
                    <w14:schemeClr w14:val="tx1"/>
                  </w14:solidFill>
                </w14:textFill>
              </w:rPr>
              <w:t>本项目地下水污染途径及应采取的防治措施</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5"/>
              <w:gridCol w:w="1512"/>
              <w:gridCol w:w="2150"/>
              <w:gridCol w:w="3075"/>
            </w:tblGrid>
            <w:tr w14:paraId="5B2296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15" w:type="pct"/>
                  <w:tcBorders>
                    <w:tl2br w:val="nil"/>
                    <w:tr2bl w:val="nil"/>
                  </w:tcBorders>
                  <w:noWrap w:val="0"/>
                  <w:vAlign w:val="center"/>
                </w:tcPr>
                <w:p w14:paraId="170B47D7">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防渗级别</w:t>
                  </w:r>
                </w:p>
              </w:tc>
              <w:tc>
                <w:tcPr>
                  <w:tcW w:w="961" w:type="pct"/>
                  <w:tcBorders>
                    <w:tl2br w:val="nil"/>
                    <w:tr2bl w:val="nil"/>
                  </w:tcBorders>
                  <w:noWrap w:val="0"/>
                  <w:vAlign w:val="center"/>
                </w:tcPr>
                <w:p w14:paraId="7ED88052">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区域</w:t>
                  </w:r>
                </w:p>
              </w:tc>
              <w:tc>
                <w:tcPr>
                  <w:tcW w:w="1367" w:type="pct"/>
                  <w:tcBorders>
                    <w:tl2br w:val="nil"/>
                    <w:tr2bl w:val="nil"/>
                  </w:tcBorders>
                  <w:noWrap w:val="0"/>
                  <w:vAlign w:val="center"/>
                </w:tcPr>
                <w:p w14:paraId="4AB96F0E">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防渗要求</w:t>
                  </w:r>
                </w:p>
              </w:tc>
              <w:tc>
                <w:tcPr>
                  <w:tcW w:w="1955" w:type="pct"/>
                  <w:tcBorders>
                    <w:tl2br w:val="nil"/>
                    <w:tr2bl w:val="nil"/>
                  </w:tcBorders>
                  <w:noWrap w:val="0"/>
                  <w:vAlign w:val="center"/>
                </w:tcPr>
                <w:p w14:paraId="6C15802D">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防渗工艺</w:t>
                  </w:r>
                </w:p>
              </w:tc>
            </w:tr>
            <w:tr w14:paraId="7212E9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5" w:hRule="atLeast"/>
              </w:trPr>
              <w:tc>
                <w:tcPr>
                  <w:tcW w:w="715" w:type="pct"/>
                  <w:tcBorders>
                    <w:tl2br w:val="nil"/>
                    <w:tr2bl w:val="nil"/>
                  </w:tcBorders>
                  <w:noWrap w:val="0"/>
                  <w:vAlign w:val="center"/>
                </w:tcPr>
                <w:p w14:paraId="0F8C6E50">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重点防渗</w:t>
                  </w:r>
                </w:p>
              </w:tc>
              <w:tc>
                <w:tcPr>
                  <w:tcW w:w="961" w:type="pct"/>
                  <w:tcBorders>
                    <w:tl2br w:val="nil"/>
                    <w:tr2bl w:val="nil"/>
                  </w:tcBorders>
                  <w:noWrap w:val="0"/>
                  <w:vAlign w:val="center"/>
                </w:tcPr>
                <w:p w14:paraId="1C2F481D">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危废暂存间</w:t>
                  </w:r>
                </w:p>
              </w:tc>
              <w:tc>
                <w:tcPr>
                  <w:tcW w:w="1367" w:type="pct"/>
                  <w:tcBorders>
                    <w:tl2br w:val="nil"/>
                    <w:tr2bl w:val="nil"/>
                  </w:tcBorders>
                  <w:noWrap w:val="0"/>
                  <w:vAlign w:val="center"/>
                </w:tcPr>
                <w:p w14:paraId="36EE3E7D">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重点防渗区，设防渗检漏系统；渗透系数≤1.0×10</w:t>
                  </w:r>
                  <w:r>
                    <w:rPr>
                      <w:rFonts w:hint="default" w:ascii="Times New Roman" w:hAnsi="Times New Roman" w:eastAsia="新宋体" w:cs="Times New Roman"/>
                      <w:color w:val="000000" w:themeColor="text1"/>
                      <w:sz w:val="21"/>
                      <w:szCs w:val="21"/>
                      <w:vertAlign w:val="superscript"/>
                      <w:lang w:val="en-US" w:eastAsia="zh-CN"/>
                      <w14:textFill>
                        <w14:solidFill>
                          <w14:schemeClr w14:val="tx1"/>
                        </w14:solidFill>
                      </w14:textFill>
                    </w:rPr>
                    <w:t>-10</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cm/s</w:t>
                  </w:r>
                </w:p>
              </w:tc>
              <w:tc>
                <w:tcPr>
                  <w:tcW w:w="1955" w:type="pct"/>
                  <w:tcBorders>
                    <w:tl2br w:val="nil"/>
                    <w:tr2bl w:val="nil"/>
                  </w:tcBorders>
                  <w:noWrap w:val="0"/>
                  <w:vAlign w:val="center"/>
                </w:tcPr>
                <w:p w14:paraId="76C53ED7">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重点防渗区域采用HDPE膜+水泥基渗透结晶型抗渗混凝土（厚度≥250mm）。其下铺砌砂石基层，原土夯实达到防渗目的</w:t>
                  </w:r>
                </w:p>
              </w:tc>
            </w:tr>
            <w:tr w14:paraId="3CF8C3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715" w:type="pct"/>
                  <w:tcBorders>
                    <w:tl2br w:val="nil"/>
                    <w:tr2bl w:val="nil"/>
                  </w:tcBorders>
                  <w:noWrap w:val="0"/>
                  <w:vAlign w:val="center"/>
                </w:tcPr>
                <w:p w14:paraId="40147991">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一般防渗</w:t>
                  </w:r>
                </w:p>
              </w:tc>
              <w:tc>
                <w:tcPr>
                  <w:tcW w:w="961" w:type="pct"/>
                  <w:tcBorders>
                    <w:tl2br w:val="nil"/>
                    <w:tr2bl w:val="nil"/>
                  </w:tcBorders>
                  <w:noWrap w:val="0"/>
                  <w:vAlign w:val="center"/>
                </w:tcPr>
                <w:p w14:paraId="01287ABB">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收集池、养护沉淀池、洗车沉淀池</w:t>
                  </w:r>
                </w:p>
              </w:tc>
              <w:tc>
                <w:tcPr>
                  <w:tcW w:w="1367" w:type="pct"/>
                  <w:tcBorders>
                    <w:tl2br w:val="nil"/>
                    <w:tr2bl w:val="nil"/>
                  </w:tcBorders>
                  <w:noWrap w:val="0"/>
                  <w:vAlign w:val="center"/>
                </w:tcPr>
                <w:p w14:paraId="77B10AFF">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一般防渗区，设防渗检漏系统；渗透系数≤1.0×10</w:t>
                  </w:r>
                  <w:r>
                    <w:rPr>
                      <w:rFonts w:hint="default" w:ascii="Times New Roman" w:hAnsi="Times New Roman" w:eastAsia="新宋体" w:cs="Times New Roman"/>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cm/s</w:t>
                  </w:r>
                </w:p>
              </w:tc>
              <w:tc>
                <w:tcPr>
                  <w:tcW w:w="1955" w:type="pct"/>
                  <w:tcBorders>
                    <w:tl2br w:val="nil"/>
                    <w:tr2bl w:val="nil"/>
                  </w:tcBorders>
                  <w:noWrap w:val="0"/>
                  <w:vAlign w:val="center"/>
                </w:tcPr>
                <w:p w14:paraId="67EC8EF8">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采用抗渗混凝土（厚度≥100mm），其下铺砌砂石基层，原土夯实达到防渗目的</w:t>
                  </w:r>
                </w:p>
              </w:tc>
            </w:tr>
            <w:tr w14:paraId="2EBA9C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715" w:type="pct"/>
                  <w:tcBorders>
                    <w:tl2br w:val="nil"/>
                    <w:tr2bl w:val="nil"/>
                  </w:tcBorders>
                  <w:noWrap w:val="0"/>
                  <w:vAlign w:val="center"/>
                </w:tcPr>
                <w:p w14:paraId="4F8E3618">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简单防渗</w:t>
                  </w:r>
                </w:p>
              </w:tc>
              <w:tc>
                <w:tcPr>
                  <w:tcW w:w="961" w:type="pct"/>
                  <w:tcBorders>
                    <w:tl2br w:val="nil"/>
                    <w:tr2bl w:val="nil"/>
                  </w:tcBorders>
                  <w:noWrap w:val="0"/>
                  <w:vAlign w:val="center"/>
                </w:tcPr>
                <w:p w14:paraId="428D1EA5">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养护区、生产车间、原料车间、堆场等</w:t>
                  </w:r>
                </w:p>
              </w:tc>
              <w:tc>
                <w:tcPr>
                  <w:tcW w:w="1367" w:type="pct"/>
                  <w:tcBorders>
                    <w:tl2br w:val="nil"/>
                    <w:tr2bl w:val="nil"/>
                  </w:tcBorders>
                  <w:noWrap w:val="0"/>
                  <w:vAlign w:val="center"/>
                </w:tcPr>
                <w:p w14:paraId="1131597B">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简单防渗区</w:t>
                  </w:r>
                </w:p>
              </w:tc>
              <w:tc>
                <w:tcPr>
                  <w:tcW w:w="1955" w:type="pct"/>
                  <w:tcBorders>
                    <w:tl2br w:val="nil"/>
                    <w:tr2bl w:val="nil"/>
                  </w:tcBorders>
                  <w:noWrap w:val="0"/>
                  <w:vAlign w:val="center"/>
                </w:tcPr>
                <w:p w14:paraId="17FE8A49">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一般地面硬化</w:t>
                  </w:r>
                </w:p>
              </w:tc>
            </w:tr>
          </w:tbl>
          <w:p w14:paraId="6CFB5B32">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新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highlight w:val="none"/>
                <w:lang w:val="en-US" w:eastAsia="zh-CN" w:bidi="ar"/>
                <w14:textFill>
                  <w14:solidFill>
                    <w14:schemeClr w14:val="tx1"/>
                  </w14:solidFill>
                </w14:textFill>
              </w:rPr>
              <w:t>在采取上述污染防治措施后，营运期基本不会对土壤地下水产生污染。</w:t>
            </w:r>
          </w:p>
          <w:p w14:paraId="6257ABF0">
            <w:pPr>
              <w:keepNext w:val="0"/>
              <w:keepLines w:val="0"/>
              <w:widowControl/>
              <w:suppressLineNumbers w:val="0"/>
              <w:spacing w:before="0" w:beforeAutospacing="0" w:after="0" w:afterAutospacing="0"/>
              <w:ind w:left="0" w:right="0"/>
              <w:rPr>
                <w:rFonts w:hint="default" w:ascii="Times New Roman" w:hAnsi="Times New Roman" w:eastAsia="新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新宋体" w:cs="Times New Roman"/>
                <w:b/>
                <w:bCs/>
                <w:color w:val="000000" w:themeColor="text1"/>
                <w:sz w:val="24"/>
                <w:szCs w:val="24"/>
                <w:lang w:val="en-US" w:eastAsia="zh-CN"/>
                <w14:textFill>
                  <w14:solidFill>
                    <w14:schemeClr w14:val="tx1"/>
                  </w14:solidFill>
                </w14:textFill>
              </w:rPr>
              <w:t>6、生态环境</w:t>
            </w:r>
          </w:p>
          <w:p w14:paraId="462156DC">
            <w:pPr>
              <w:keepNext w:val="0"/>
              <w:keepLines w:val="0"/>
              <w:widowControl/>
              <w:suppressLineNumbers w:val="0"/>
              <w:jc w:val="left"/>
              <w:rPr>
                <w:rFonts w:hint="default" w:ascii="Times New Roman" w:hAnsi="Times New Roman" w:eastAsia="新宋体" w:cs="Times New Roman"/>
                <w:color w:val="000000" w:themeColor="text1"/>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项目用地范围内无生态环境保护目标，合理布局、加强项目内绿化，在站区外种植与当地气候条件适应</w:t>
            </w:r>
            <w:r>
              <w:rPr>
                <w:rFonts w:hint="eastAsia" w:eastAsia="新宋体" w:cs="Times New Roman"/>
                <w:color w:val="000000" w:themeColor="text1"/>
                <w:kern w:val="0"/>
                <w:sz w:val="24"/>
                <w:szCs w:val="24"/>
                <w:lang w:val="en-US" w:eastAsia="zh-CN" w:bidi="ar"/>
                <w14:textFill>
                  <w14:solidFill>
                    <w14:schemeClr w14:val="tx1"/>
                  </w14:solidFill>
                </w14:textFill>
              </w:rPr>
              <w:t>的</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植物种类，丰富区域的物种数量，营运对周围生态环境基本无影响。</w:t>
            </w:r>
          </w:p>
          <w:p w14:paraId="6BFDC546">
            <w:pPr>
              <w:keepNext w:val="0"/>
              <w:keepLines w:val="0"/>
              <w:widowControl/>
              <w:suppressLineNumbers w:val="0"/>
              <w:spacing w:before="0" w:beforeAutospacing="0" w:after="0" w:afterAutospacing="0"/>
              <w:ind w:left="0" w:right="0"/>
              <w:rPr>
                <w:rFonts w:hint="default" w:ascii="Times New Roman" w:hAnsi="Times New Roman" w:eastAsia="新宋体" w:cs="Times New Roman"/>
                <w:b/>
                <w:bCs/>
                <w:color w:val="000000" w:themeColor="text1"/>
                <w:sz w:val="24"/>
                <w:szCs w:val="24"/>
                <w14:textFill>
                  <w14:solidFill>
                    <w14:schemeClr w14:val="tx1"/>
                  </w14:solidFill>
                </w14:textFill>
              </w:rPr>
            </w:pPr>
            <w:r>
              <w:rPr>
                <w:rFonts w:hint="default" w:ascii="Times New Roman" w:hAnsi="Times New Roman" w:eastAsia="新宋体" w:cs="Times New Roman"/>
                <w:b/>
                <w:bCs/>
                <w:color w:val="000000" w:themeColor="text1"/>
                <w:sz w:val="24"/>
                <w:szCs w:val="24"/>
                <w:lang w:val="en-US" w:eastAsia="zh-CN"/>
                <w14:textFill>
                  <w14:solidFill>
                    <w14:schemeClr w14:val="tx1"/>
                  </w14:solidFill>
                </w14:textFill>
              </w:rPr>
              <w:t>7、</w:t>
            </w:r>
            <w:r>
              <w:rPr>
                <w:rFonts w:hint="default" w:ascii="Times New Roman" w:hAnsi="Times New Roman" w:eastAsia="新宋体" w:cs="Times New Roman"/>
                <w:b/>
                <w:bCs/>
                <w:color w:val="000000" w:themeColor="text1"/>
                <w:sz w:val="24"/>
                <w:szCs w:val="24"/>
                <w14:textFill>
                  <w14:solidFill>
                    <w14:schemeClr w14:val="tx1"/>
                  </w14:solidFill>
                </w14:textFill>
              </w:rPr>
              <w:t>环境风险分析</w:t>
            </w:r>
          </w:p>
          <w:p w14:paraId="795916F8">
            <w:pPr>
              <w:keepNext w:val="0"/>
              <w:keepLines w:val="0"/>
              <w:widowControl w:val="0"/>
              <w:suppressLineNumbers w:val="0"/>
              <w:spacing w:before="0" w:beforeAutospacing="0" w:after="0" w:afterAutospacing="0" w:line="360" w:lineRule="auto"/>
              <w:ind w:left="0" w:right="0" w:firstLine="480" w:firstLineChars="200"/>
              <w:jc w:val="both"/>
              <w:textAlignment w:val="center"/>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lang w:val="en-US" w:eastAsia="zh-CN"/>
                <w14:textFill>
                  <w14:solidFill>
                    <w14:schemeClr w14:val="tx1"/>
                  </w14:solidFill>
                </w14:textFill>
              </w:rPr>
              <w:t>环境风险评价的目的是分析和预测建设项目存在的潜在危险、有害因素，项目建设和运行期间发生的可预测突发事故或事件（一般不包括人为破坏和自然灾害），引起有毒有害物质、易燃易爆物质泄漏，或突发事件产生新的有毒有害物质，所造成的对人身安全与环境的影响和损害程度，提出合理可行的防范、应急、减缓措施，以使建设项目事故率、损失和环境影响达到可接受水平。</w:t>
            </w:r>
            <w:r>
              <w:rPr>
                <w:rFonts w:hint="eastAsia" w:eastAsia="新宋体" w:cs="Times New Roman"/>
                <w:color w:val="000000" w:themeColor="text1"/>
                <w:sz w:val="24"/>
                <w:szCs w:val="24"/>
                <w:lang w:val="en-US" w:eastAsia="zh-CN"/>
                <w14:textFill>
                  <w14:solidFill>
                    <w14:schemeClr w14:val="tx1"/>
                  </w14:solidFill>
                </w14:textFill>
              </w:rPr>
              <w:t>预防风险</w:t>
            </w:r>
            <w:r>
              <w:rPr>
                <w:rFonts w:hint="default" w:ascii="Times New Roman" w:hAnsi="Times New Roman" w:eastAsia="新宋体" w:cs="Times New Roman"/>
                <w:color w:val="000000" w:themeColor="text1"/>
                <w:sz w:val="24"/>
                <w:szCs w:val="24"/>
                <w:lang w:val="en-US" w:eastAsia="zh-CN"/>
                <w14:textFill>
                  <w14:solidFill>
                    <w14:schemeClr w14:val="tx1"/>
                  </w14:solidFill>
                </w14:textFill>
              </w:rPr>
              <w:t>事故对环境</w:t>
            </w:r>
            <w:r>
              <w:rPr>
                <w:rFonts w:hint="eastAsia" w:eastAsia="新宋体" w:cs="Times New Roman"/>
                <w:color w:val="000000" w:themeColor="text1"/>
                <w:sz w:val="24"/>
                <w:szCs w:val="24"/>
                <w:lang w:val="en-US" w:eastAsia="zh-CN"/>
                <w14:textFill>
                  <w14:solidFill>
                    <w14:schemeClr w14:val="tx1"/>
                  </w14:solidFill>
                </w14:textFill>
              </w:rPr>
              <w:t>的</w:t>
            </w:r>
            <w:r>
              <w:rPr>
                <w:rFonts w:hint="default" w:ascii="Times New Roman" w:hAnsi="Times New Roman" w:eastAsia="新宋体" w:cs="Times New Roman"/>
                <w:color w:val="000000" w:themeColor="text1"/>
                <w:sz w:val="24"/>
                <w:szCs w:val="24"/>
                <w:lang w:val="en-US" w:eastAsia="zh-CN"/>
                <w14:textFill>
                  <w14:solidFill>
                    <w14:schemeClr w14:val="tx1"/>
                  </w14:solidFill>
                </w14:textFill>
              </w:rPr>
              <w:t>影响和场界外人群的伤害，风险防范措施作为项目环境风险评价的重点。</w:t>
            </w:r>
          </w:p>
          <w:p w14:paraId="75EA15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default" w:ascii="Times New Roman" w:hAnsi="Times New Roman" w:eastAsia="新宋体" w:cs="Times New Roman"/>
                <w:b/>
                <w:bCs/>
                <w:color w:val="000000" w:themeColor="text1"/>
                <w:sz w:val="24"/>
                <w:szCs w:val="24"/>
                <w:lang w:val="en-US" w:eastAsia="zh-CN"/>
                <w14:textFill>
                  <w14:solidFill>
                    <w14:schemeClr w14:val="tx1"/>
                  </w14:solidFill>
                </w14:textFill>
              </w:rPr>
              <w:t>7.1环境风险潜势判定</w:t>
            </w:r>
          </w:p>
          <w:p w14:paraId="37830B2C">
            <w:pPr>
              <w:keepNext w:val="0"/>
              <w:keepLines w:val="0"/>
              <w:widowControl/>
              <w:suppressLineNumbers w:val="0"/>
              <w:jc w:val="left"/>
              <w:rPr>
                <w:rFonts w:hint="default" w:ascii="Times New Roman" w:hAnsi="Times New Roman" w:eastAsia="新宋体" w:cs="Times New Roman"/>
                <w:color w:val="000000" w:themeColor="text1"/>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本项目涉及风险的物质主要为</w:t>
            </w:r>
            <w:r>
              <w:rPr>
                <w:rFonts w:hint="eastAsia" w:eastAsia="新宋体" w:cs="Times New Roman"/>
                <w:color w:val="000000" w:themeColor="text1"/>
                <w:kern w:val="0"/>
                <w:sz w:val="24"/>
                <w:szCs w:val="24"/>
                <w:lang w:val="en-US" w:eastAsia="zh-CN" w:bidi="ar"/>
                <w14:textFill>
                  <w14:solidFill>
                    <w14:schemeClr w14:val="tx1"/>
                  </w14:solidFill>
                </w14:textFill>
              </w:rPr>
              <w:t>废机油、油类脱模剂，</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根据《建设项目环境风险评价技术导则》（HJ169-2018）附录B废</w:t>
            </w:r>
            <w:r>
              <w:rPr>
                <w:rFonts w:hint="eastAsia" w:eastAsia="新宋体" w:cs="Times New Roman"/>
                <w:color w:val="000000" w:themeColor="text1"/>
                <w:kern w:val="0"/>
                <w:sz w:val="24"/>
                <w:szCs w:val="24"/>
                <w:lang w:val="en-US" w:eastAsia="zh-CN" w:bidi="ar"/>
                <w14:textFill>
                  <w14:solidFill>
                    <w14:schemeClr w14:val="tx1"/>
                  </w14:solidFill>
                </w14:textFill>
              </w:rPr>
              <w:t>机</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油属于“381、油类物质（矿物油类，如石油、汽油、柴油等；生物柴油等）”，临界值为2500t。本项目环境风险潜势初判如下：</w:t>
            </w:r>
          </w:p>
          <w:p w14:paraId="4D47CD91">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eastAsia="新宋体" w:cs="Times New Roman"/>
                <w:color w:val="000000" w:themeColor="text1"/>
                <w:lang w:val="en-US" w:eastAsia="zh-CN"/>
                <w14:textFill>
                  <w14:solidFill>
                    <w14:schemeClr w14:val="tx1"/>
                  </w14:solidFill>
                </w14:textFill>
              </w:rPr>
            </w:pPr>
            <w:r>
              <w:rPr>
                <w:rFonts w:hint="default" w:ascii="Times New Roman" w:hAnsi="Times New Roman" w:eastAsia="新宋体" w:cs="Times New Roman"/>
                <w:b/>
                <w:bCs/>
                <w:color w:val="000000" w:themeColor="text1"/>
                <w:kern w:val="2"/>
                <w:sz w:val="21"/>
                <w:szCs w:val="21"/>
                <w:highlight w:val="none"/>
                <w:lang w:val="en-US" w:eastAsia="zh-CN" w:bidi="ar-SA"/>
                <w14:textFill>
                  <w14:solidFill>
                    <w14:schemeClr w14:val="tx1"/>
                  </w14:solidFill>
                </w14:textFill>
              </w:rPr>
              <w:t>表4-</w:t>
            </w:r>
            <w:r>
              <w:rPr>
                <w:rFonts w:hint="eastAsia" w:ascii="Times New Roman" w:hAnsi="Times New Roman" w:eastAsia="新宋体" w:cs="Times New Roman"/>
                <w:b/>
                <w:bCs/>
                <w:color w:val="000000" w:themeColor="text1"/>
                <w:kern w:val="2"/>
                <w:sz w:val="21"/>
                <w:szCs w:val="21"/>
                <w:highlight w:val="none"/>
                <w:lang w:val="en-US" w:eastAsia="zh-CN" w:bidi="ar-SA"/>
                <w14:textFill>
                  <w14:solidFill>
                    <w14:schemeClr w14:val="tx1"/>
                  </w14:solidFill>
                </w14:textFill>
              </w:rPr>
              <w:t>1</w:t>
            </w:r>
            <w:r>
              <w:rPr>
                <w:rFonts w:hint="eastAsia" w:eastAsia="新宋体" w:cs="Times New Roman"/>
                <w:b/>
                <w:bCs/>
                <w:color w:val="000000" w:themeColor="text1"/>
                <w:kern w:val="2"/>
                <w:sz w:val="21"/>
                <w:szCs w:val="21"/>
                <w:highlight w:val="none"/>
                <w:lang w:val="en-US" w:eastAsia="zh-CN" w:bidi="ar-SA"/>
                <w14:textFill>
                  <w14:solidFill>
                    <w14:schemeClr w14:val="tx1"/>
                  </w14:solidFill>
                </w14:textFill>
              </w:rPr>
              <w:t>7</w:t>
            </w:r>
            <w:r>
              <w:rPr>
                <w:rFonts w:hint="default" w:ascii="Times New Roman" w:hAnsi="Times New Roman" w:eastAsia="新宋体" w:cs="Times New Roman"/>
                <w:b/>
                <w:bCs/>
                <w:color w:val="000000" w:themeColor="text1"/>
                <w:kern w:val="2"/>
                <w:sz w:val="21"/>
                <w:szCs w:val="21"/>
                <w:highlight w:val="none"/>
                <w:lang w:val="en-US" w:eastAsia="zh-CN" w:bidi="ar-SA"/>
                <w14:textFill>
                  <w14:solidFill>
                    <w14:schemeClr w14:val="tx1"/>
                  </w14:solidFill>
                </w14:textFill>
              </w:rPr>
              <w:t>环境风险物质储存量与临界量比值</w:t>
            </w:r>
          </w:p>
          <w:tbl>
            <w:tblPr>
              <w:tblStyle w:val="29"/>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1105"/>
              <w:gridCol w:w="1987"/>
              <w:gridCol w:w="1729"/>
              <w:gridCol w:w="1216"/>
              <w:gridCol w:w="1153"/>
            </w:tblGrid>
            <w:tr w14:paraId="05E6BD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tcBorders>
                    <w:tl2br w:val="nil"/>
                    <w:tr2bl w:val="nil"/>
                  </w:tcBorders>
                  <w:vAlign w:val="center"/>
                </w:tcPr>
                <w:p w14:paraId="5087543D">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序号</w:t>
                  </w:r>
                </w:p>
              </w:tc>
              <w:tc>
                <w:tcPr>
                  <w:tcW w:w="702" w:type="pct"/>
                  <w:tcBorders>
                    <w:tl2br w:val="nil"/>
                    <w:tr2bl w:val="nil"/>
                  </w:tcBorders>
                  <w:vAlign w:val="center"/>
                </w:tcPr>
                <w:p w14:paraId="6914A39A">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物质名称</w:t>
                  </w:r>
                </w:p>
              </w:tc>
              <w:tc>
                <w:tcPr>
                  <w:tcW w:w="1263" w:type="pct"/>
                  <w:tcBorders>
                    <w:tl2br w:val="nil"/>
                    <w:tr2bl w:val="nil"/>
                  </w:tcBorders>
                  <w:vAlign w:val="center"/>
                </w:tcPr>
                <w:p w14:paraId="56EF0619">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储存位置</w:t>
                  </w:r>
                </w:p>
              </w:tc>
              <w:tc>
                <w:tcPr>
                  <w:tcW w:w="1099" w:type="pct"/>
                  <w:tcBorders>
                    <w:tl2br w:val="nil"/>
                    <w:tr2bl w:val="nil"/>
                  </w:tcBorders>
                  <w:vAlign w:val="center"/>
                </w:tcPr>
                <w:p w14:paraId="272EEB8B">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最大储存量（t/a）</w:t>
                  </w:r>
                </w:p>
              </w:tc>
              <w:tc>
                <w:tcPr>
                  <w:tcW w:w="773" w:type="pct"/>
                  <w:tcBorders>
                    <w:tl2br w:val="nil"/>
                    <w:tr2bl w:val="nil"/>
                  </w:tcBorders>
                  <w:vAlign w:val="center"/>
                </w:tcPr>
                <w:p w14:paraId="5F1068D7">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临界量（t/a）</w:t>
                  </w:r>
                </w:p>
              </w:tc>
              <w:tc>
                <w:tcPr>
                  <w:tcW w:w="733" w:type="pct"/>
                  <w:tcBorders>
                    <w:tl2br w:val="nil"/>
                    <w:tr2bl w:val="nil"/>
                  </w:tcBorders>
                  <w:vAlign w:val="center"/>
                </w:tcPr>
                <w:p w14:paraId="3502B62A">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比值Q</w:t>
                  </w:r>
                </w:p>
              </w:tc>
            </w:tr>
            <w:tr w14:paraId="4BEDC1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tcBorders>
                    <w:tl2br w:val="nil"/>
                    <w:tr2bl w:val="nil"/>
                  </w:tcBorders>
                  <w:vAlign w:val="center"/>
                </w:tcPr>
                <w:p w14:paraId="726ED537">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1</w:t>
                  </w:r>
                </w:p>
              </w:tc>
              <w:tc>
                <w:tcPr>
                  <w:tcW w:w="702" w:type="pct"/>
                  <w:tcBorders>
                    <w:tl2br w:val="nil"/>
                    <w:tr2bl w:val="nil"/>
                  </w:tcBorders>
                  <w:vAlign w:val="center"/>
                </w:tcPr>
                <w:p w14:paraId="436BF492">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废机油</w:t>
                  </w:r>
                </w:p>
              </w:tc>
              <w:tc>
                <w:tcPr>
                  <w:tcW w:w="1263" w:type="pct"/>
                  <w:tcBorders>
                    <w:tl2br w:val="nil"/>
                    <w:tr2bl w:val="nil"/>
                  </w:tcBorders>
                  <w:vAlign w:val="center"/>
                </w:tcPr>
                <w:p w14:paraId="2940258A">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危废暂存间</w:t>
                  </w:r>
                </w:p>
              </w:tc>
              <w:tc>
                <w:tcPr>
                  <w:tcW w:w="1099" w:type="pct"/>
                  <w:tcBorders>
                    <w:tl2br w:val="nil"/>
                    <w:tr2bl w:val="nil"/>
                  </w:tcBorders>
                  <w:vAlign w:val="center"/>
                </w:tcPr>
                <w:p w14:paraId="62E18387">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0.0</w:t>
                  </w:r>
                  <w:r>
                    <w:rPr>
                      <w:rFonts w:hint="eastAsia" w:eastAsia="新宋体" w:cs="Times New Roman"/>
                      <w:color w:val="000000" w:themeColor="text1"/>
                      <w:sz w:val="21"/>
                      <w:szCs w:val="21"/>
                      <w:lang w:val="en-US" w:eastAsia="zh-CN"/>
                      <w14:textFill>
                        <w14:solidFill>
                          <w14:schemeClr w14:val="tx1"/>
                        </w14:solidFill>
                      </w14:textFill>
                    </w:rPr>
                    <w:t>8</w:t>
                  </w:r>
                </w:p>
              </w:tc>
              <w:tc>
                <w:tcPr>
                  <w:tcW w:w="773" w:type="pct"/>
                  <w:tcBorders>
                    <w:tl2br w:val="nil"/>
                    <w:tr2bl w:val="nil"/>
                  </w:tcBorders>
                  <w:vAlign w:val="center"/>
                </w:tcPr>
                <w:p w14:paraId="335C753B">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2500</w:t>
                  </w:r>
                </w:p>
              </w:tc>
              <w:tc>
                <w:tcPr>
                  <w:tcW w:w="733" w:type="pct"/>
                  <w:tcBorders>
                    <w:tl2br w:val="nil"/>
                    <w:tr2bl w:val="nil"/>
                  </w:tcBorders>
                  <w:vAlign w:val="center"/>
                </w:tcPr>
                <w:p w14:paraId="36D8E1B2">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0.00003</w:t>
                  </w:r>
                  <w:r>
                    <w:rPr>
                      <w:rFonts w:hint="eastAsia" w:eastAsia="新宋体" w:cs="Times New Roman"/>
                      <w:color w:val="000000" w:themeColor="text1"/>
                      <w:sz w:val="21"/>
                      <w:szCs w:val="21"/>
                      <w:lang w:val="en-US" w:eastAsia="zh-CN"/>
                      <w14:textFill>
                        <w14:solidFill>
                          <w14:schemeClr w14:val="tx1"/>
                        </w14:solidFill>
                      </w14:textFill>
                    </w:rPr>
                    <w:t>2</w:t>
                  </w:r>
                </w:p>
              </w:tc>
            </w:tr>
            <w:tr w14:paraId="63F791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pct"/>
                  <w:tcBorders>
                    <w:tl2br w:val="nil"/>
                    <w:tr2bl w:val="nil"/>
                  </w:tcBorders>
                  <w:vAlign w:val="center"/>
                </w:tcPr>
                <w:p w14:paraId="6902E4F4">
                  <w:pPr>
                    <w:pStyle w:val="14"/>
                    <w:keepNext w:val="0"/>
                    <w:keepLines w:val="0"/>
                    <w:numPr>
                      <w:ilvl w:val="0"/>
                      <w:numId w:val="0"/>
                    </w:numPr>
                    <w:suppressLineNumbers w:val="0"/>
                    <w:spacing w:before="0" w:beforeAutospacing="0" w:after="0" w:afterAutospacing="0" w:line="240" w:lineRule="auto"/>
                    <w:ind w:left="0" w:right="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2</w:t>
                  </w:r>
                </w:p>
              </w:tc>
              <w:tc>
                <w:tcPr>
                  <w:tcW w:w="702" w:type="pct"/>
                  <w:tcBorders>
                    <w:tl2br w:val="nil"/>
                    <w:tr2bl w:val="nil"/>
                  </w:tcBorders>
                  <w:vAlign w:val="center"/>
                </w:tcPr>
                <w:p w14:paraId="5B7C60A7">
                  <w:pPr>
                    <w:pStyle w:val="14"/>
                    <w:keepNext w:val="0"/>
                    <w:keepLines w:val="0"/>
                    <w:numPr>
                      <w:ilvl w:val="0"/>
                      <w:numId w:val="0"/>
                    </w:numPr>
                    <w:suppressLineNumbers w:val="0"/>
                    <w:spacing w:before="0" w:beforeAutospacing="0" w:after="0" w:afterAutospacing="0" w:line="240" w:lineRule="auto"/>
                    <w:ind w:left="0" w:right="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脱模剂</w:t>
                  </w:r>
                </w:p>
              </w:tc>
              <w:tc>
                <w:tcPr>
                  <w:tcW w:w="1263" w:type="pct"/>
                  <w:tcBorders>
                    <w:tl2br w:val="nil"/>
                    <w:tr2bl w:val="nil"/>
                  </w:tcBorders>
                  <w:vAlign w:val="center"/>
                </w:tcPr>
                <w:p w14:paraId="7AACFEB8">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原料库房</w:t>
                  </w:r>
                </w:p>
              </w:tc>
              <w:tc>
                <w:tcPr>
                  <w:tcW w:w="1099" w:type="pct"/>
                  <w:tcBorders>
                    <w:tl2br w:val="nil"/>
                    <w:tr2bl w:val="nil"/>
                  </w:tcBorders>
                  <w:vAlign w:val="center"/>
                </w:tcPr>
                <w:p w14:paraId="0266D86B">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1</w:t>
                  </w:r>
                </w:p>
              </w:tc>
              <w:tc>
                <w:tcPr>
                  <w:tcW w:w="773" w:type="pct"/>
                  <w:tcBorders>
                    <w:tl2br w:val="nil"/>
                    <w:tr2bl w:val="nil"/>
                  </w:tcBorders>
                  <w:vAlign w:val="center"/>
                </w:tcPr>
                <w:p w14:paraId="1DB0D47D">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2500</w:t>
                  </w:r>
                </w:p>
              </w:tc>
              <w:tc>
                <w:tcPr>
                  <w:tcW w:w="733" w:type="pct"/>
                  <w:tcBorders>
                    <w:tl2br w:val="nil"/>
                    <w:tr2bl w:val="nil"/>
                  </w:tcBorders>
                  <w:vAlign w:val="center"/>
                </w:tcPr>
                <w:p w14:paraId="168BE551">
                  <w:pPr>
                    <w:pStyle w:val="14"/>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0.0004</w:t>
                  </w:r>
                </w:p>
              </w:tc>
            </w:tr>
          </w:tbl>
          <w:p w14:paraId="4C1F45D6">
            <w:pPr>
              <w:keepNext w:val="0"/>
              <w:keepLines w:val="0"/>
              <w:widowControl/>
              <w:suppressLineNumbers w:val="0"/>
              <w:jc w:val="both"/>
              <w:rPr>
                <w:rFonts w:hint="default" w:ascii="Times New Roman" w:hAnsi="Times New Roman" w:eastAsia="新宋体" w:cs="Times New Roman"/>
                <w:color w:val="000000" w:themeColor="text1"/>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从上表计算结果可知，本项目危险物质数量与临界量比值Q=0.0</w:t>
            </w:r>
            <w:r>
              <w:rPr>
                <w:rFonts w:hint="eastAsia" w:eastAsia="新宋体" w:cs="Times New Roman"/>
                <w:color w:val="000000" w:themeColor="text1"/>
                <w:kern w:val="0"/>
                <w:sz w:val="24"/>
                <w:szCs w:val="24"/>
                <w:lang w:val="en-US" w:eastAsia="zh-CN" w:bidi="ar"/>
                <w14:textFill>
                  <w14:solidFill>
                    <w14:schemeClr w14:val="tx1"/>
                  </w14:solidFill>
                </w14:textFill>
              </w:rPr>
              <w:t>004</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3</w:t>
            </w:r>
            <w:r>
              <w:rPr>
                <w:rFonts w:hint="eastAsia" w:eastAsia="新宋体" w:cs="Times New Roman"/>
                <w:color w:val="000000" w:themeColor="text1"/>
                <w:kern w:val="0"/>
                <w:sz w:val="24"/>
                <w:szCs w:val="24"/>
                <w:lang w:val="en-US" w:eastAsia="zh-CN" w:bidi="ar"/>
                <w14:textFill>
                  <w14:solidFill>
                    <w14:schemeClr w14:val="tx1"/>
                  </w14:solidFill>
                </w14:textFill>
              </w:rPr>
              <w:t>2</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&lt;1，则本项目环境风险潜势为Ⅰ，可开展简单分析。</w:t>
            </w:r>
          </w:p>
          <w:p w14:paraId="7DE38471">
            <w:pPr>
              <w:keepNext w:val="0"/>
              <w:keepLines w:val="0"/>
              <w:widowControl/>
              <w:suppressLineNumbers w:val="0"/>
              <w:jc w:val="left"/>
              <w:rPr>
                <w:rFonts w:hint="default" w:ascii="Times New Roman" w:hAnsi="Times New Roman" w:eastAsia="新宋体" w:cs="Times New Roman"/>
                <w:color w:val="000000" w:themeColor="text1"/>
                <w14:textFill>
                  <w14:solidFill>
                    <w14:schemeClr w14:val="tx1"/>
                  </w14:solidFill>
                </w14:textFill>
              </w:rPr>
            </w:pPr>
            <w:r>
              <w:rPr>
                <w:rFonts w:hint="default" w:ascii="Times New Roman" w:hAnsi="Times New Roman" w:eastAsia="新宋体" w:cs="Times New Roman"/>
                <w:b/>
                <w:bCs/>
                <w:color w:val="000000" w:themeColor="text1"/>
                <w:kern w:val="0"/>
                <w:sz w:val="24"/>
                <w:szCs w:val="24"/>
                <w:lang w:val="en-US" w:eastAsia="zh-CN" w:bidi="ar"/>
                <w14:textFill>
                  <w14:solidFill>
                    <w14:schemeClr w14:val="tx1"/>
                  </w14:solidFill>
                </w14:textFill>
              </w:rPr>
              <w:t>7.2危险物质和风险源分布情况及可能影响途径</w:t>
            </w:r>
          </w:p>
          <w:p w14:paraId="6BBBA42B">
            <w:pPr>
              <w:keepNext w:val="0"/>
              <w:keepLines w:val="0"/>
              <w:widowControl/>
              <w:suppressLineNumbers w:val="0"/>
              <w:jc w:val="left"/>
              <w:rPr>
                <w:rFonts w:hint="default" w:ascii="Times New Roman" w:hAnsi="Times New Roman" w:eastAsia="新宋体" w:cs="Times New Roman"/>
                <w:color w:val="000000" w:themeColor="text1"/>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（1）风险物质识别</w:t>
            </w:r>
          </w:p>
          <w:p w14:paraId="4BEEECF7">
            <w:pPr>
              <w:keepNext w:val="0"/>
              <w:keepLines w:val="0"/>
              <w:widowControl/>
              <w:suppressLineNumbers w:val="0"/>
              <w:jc w:val="left"/>
              <w:rPr>
                <w:rFonts w:hint="default" w:ascii="Times New Roman" w:hAnsi="Times New Roman" w:eastAsia="新宋体" w:cs="Times New Roman"/>
                <w:color w:val="000000" w:themeColor="text1"/>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根据《建设项目环境风险评价技术导则》（HJ169-2018），物质危险性识别包括主要原辅材料、燃料、中间产品、副产品、最终产品、污染物、火灾和爆炸伴生/次生物等。本项目生产原料、生产工艺、贮存、运输、“三废”处理过程中涉及的主要为</w:t>
            </w:r>
            <w:r>
              <w:rPr>
                <w:rFonts w:hint="eastAsia" w:eastAsia="新宋体" w:cs="Times New Roman"/>
                <w:color w:val="000000" w:themeColor="text1"/>
                <w:kern w:val="0"/>
                <w:sz w:val="24"/>
                <w:szCs w:val="24"/>
                <w:lang w:val="en-US" w:eastAsia="zh-CN" w:bidi="ar"/>
                <w14:textFill>
                  <w14:solidFill>
                    <w14:schemeClr w14:val="tx1"/>
                  </w14:solidFill>
                </w14:textFill>
              </w:rPr>
              <w:t>废机油。</w:t>
            </w:r>
          </w:p>
          <w:p w14:paraId="2207587D">
            <w:pPr>
              <w:keepNext w:val="0"/>
              <w:keepLines w:val="0"/>
              <w:widowControl/>
              <w:suppressLineNumbers w:val="0"/>
              <w:jc w:val="left"/>
              <w:rPr>
                <w:rFonts w:hint="default" w:ascii="Times New Roman" w:hAnsi="Times New Roman" w:eastAsia="新宋体" w:cs="Times New Roman"/>
                <w:color w:val="000000" w:themeColor="text1"/>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（2）生产系统危险性识别</w:t>
            </w:r>
          </w:p>
          <w:p w14:paraId="12C60D4B">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eastAsia" w:eastAsia="新宋体" w:cs="Times New Roman"/>
                <w:color w:val="000000" w:themeColor="text1"/>
                <w:kern w:val="0"/>
                <w:sz w:val="24"/>
                <w:szCs w:val="24"/>
                <w:lang w:val="en-US" w:eastAsia="zh-CN" w:bidi="ar"/>
                <w14:textFill>
                  <w14:solidFill>
                    <w14:schemeClr w14:val="tx1"/>
                  </w14:solidFill>
                </w14:textFill>
              </w:rPr>
              <w:t>①</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危险废物：危险废物暂存设施发生破坏，或者操作过程不当引起</w:t>
            </w:r>
            <w:r>
              <w:rPr>
                <w:rFonts w:hint="eastAsia" w:eastAsia="新宋体" w:cs="Times New Roman"/>
                <w:color w:val="000000" w:themeColor="text1"/>
                <w:kern w:val="0"/>
                <w:sz w:val="24"/>
                <w:szCs w:val="24"/>
                <w:lang w:val="en-US" w:eastAsia="zh-CN" w:bidi="ar"/>
                <w14:textFill>
                  <w14:solidFill>
                    <w14:schemeClr w14:val="tx1"/>
                  </w14:solidFill>
                </w14:textFill>
              </w:rPr>
              <w:t>危废</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泄漏；泄漏后挥发的非甲烷总烃经大气扩散影响周边居民。</w:t>
            </w:r>
          </w:p>
          <w:p w14:paraId="518BB2DF">
            <w:pPr>
              <w:keepNext w:val="0"/>
              <w:keepLines w:val="0"/>
              <w:widowControl/>
              <w:suppressLineNumbers w:val="0"/>
              <w:jc w:val="left"/>
              <w:rPr>
                <w:rFonts w:hint="default" w:ascii="Times New Roman" w:hAnsi="Times New Roman" w:eastAsia="新宋体" w:cs="Times New Roman"/>
                <w:color w:val="000000" w:themeColor="text1"/>
                <w14:textFill>
                  <w14:solidFill>
                    <w14:schemeClr w14:val="tx1"/>
                  </w14:solidFill>
                </w14:textFill>
              </w:rPr>
            </w:pPr>
            <w:r>
              <w:rPr>
                <w:rFonts w:hint="eastAsia" w:eastAsia="新宋体" w:cs="Times New Roman"/>
                <w:color w:val="000000" w:themeColor="text1"/>
                <w:kern w:val="0"/>
                <w:sz w:val="24"/>
                <w:szCs w:val="24"/>
                <w:lang w:val="en-US" w:eastAsia="zh-CN" w:bidi="ar"/>
                <w14:textFill>
                  <w14:solidFill>
                    <w14:schemeClr w14:val="tx1"/>
                  </w14:solidFill>
                </w14:textFill>
              </w:rPr>
              <w:t>②</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火灾、爆炸等引发的次生环境事件：日常运行管理不善，</w:t>
            </w:r>
            <w:r>
              <w:rPr>
                <w:rFonts w:hint="eastAsia" w:eastAsia="新宋体" w:cs="Times New Roman"/>
                <w:color w:val="000000" w:themeColor="text1"/>
                <w:kern w:val="0"/>
                <w:sz w:val="24"/>
                <w:szCs w:val="24"/>
                <w:lang w:val="en-US" w:eastAsia="zh-CN" w:bidi="ar"/>
                <w14:textFill>
                  <w14:solidFill>
                    <w14:schemeClr w14:val="tx1"/>
                  </w14:solidFill>
                </w14:textFill>
              </w:rPr>
              <w:t>废油类危废泄露遇明火</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等情况可能会引发火灾、爆炸事故，发生火灾、爆炸事故时，燃烧产生的烟尘、CO、SO</w:t>
            </w:r>
            <w:r>
              <w:rPr>
                <w:rFonts w:hint="default" w:ascii="Times New Roman" w:hAnsi="Times New Roman" w:eastAsia="新宋体" w:cs="Times New Roman"/>
                <w:color w:val="000000" w:themeColor="text1"/>
                <w:kern w:val="0"/>
                <w:sz w:val="24"/>
                <w:szCs w:val="24"/>
                <w:vertAlign w:val="subscript"/>
                <w:lang w:val="en-US" w:eastAsia="zh-CN" w:bidi="ar"/>
                <w14:textFill>
                  <w14:solidFill>
                    <w14:schemeClr w14:val="tx1"/>
                  </w14:solidFill>
                </w14:textFill>
              </w:rPr>
              <w:t>2</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和NOx等污染物通过大气扩散影响周围居民，灭火时产生消防废水将通过</w:t>
            </w:r>
            <w:r>
              <w:rPr>
                <w:rFonts w:hint="eastAsia" w:eastAsia="新宋体" w:cs="Times New Roman"/>
                <w:color w:val="000000" w:themeColor="text1"/>
                <w:kern w:val="0"/>
                <w:sz w:val="24"/>
                <w:szCs w:val="24"/>
                <w:lang w:val="en-US" w:eastAsia="zh-CN" w:bidi="ar"/>
                <w14:textFill>
                  <w14:solidFill>
                    <w14:schemeClr w14:val="tx1"/>
                  </w14:solidFill>
                </w14:textFill>
              </w:rPr>
              <w:t>地表</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漫流至周边</w:t>
            </w:r>
            <w:r>
              <w:rPr>
                <w:rFonts w:hint="eastAsia" w:eastAsia="新宋体" w:cs="Times New Roman"/>
                <w:color w:val="000000" w:themeColor="text1"/>
                <w:kern w:val="0"/>
                <w:sz w:val="24"/>
                <w:szCs w:val="24"/>
                <w:lang w:val="en-US" w:eastAsia="zh-CN" w:bidi="ar"/>
                <w14:textFill>
                  <w14:solidFill>
                    <w14:schemeClr w14:val="tx1"/>
                  </w14:solidFill>
                </w14:textFill>
              </w:rPr>
              <w:t>未硬化区域</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w:t>
            </w:r>
          </w:p>
          <w:p w14:paraId="3508BC51">
            <w:pPr>
              <w:keepNext w:val="0"/>
              <w:keepLines w:val="0"/>
              <w:widowControl/>
              <w:suppressLineNumbers w:val="0"/>
              <w:jc w:val="left"/>
              <w:rPr>
                <w:rFonts w:hint="default" w:ascii="Times New Roman" w:hAnsi="Times New Roman" w:eastAsia="新宋体" w:cs="Times New Roman"/>
                <w:color w:val="000000" w:themeColor="text1"/>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（3）环境风险识别结果</w:t>
            </w:r>
          </w:p>
          <w:p w14:paraId="6DEBE046">
            <w:pPr>
              <w:keepNext w:val="0"/>
              <w:keepLines w:val="0"/>
              <w:widowControl/>
              <w:suppressLineNumbers w:val="0"/>
              <w:jc w:val="left"/>
              <w:rPr>
                <w:rFonts w:hint="default" w:ascii="Times New Roman" w:hAnsi="Times New Roman" w:eastAsia="新宋体" w:cs="Times New Roman"/>
              </w:rPr>
            </w:pPr>
            <w:r>
              <w:rPr>
                <w:rFonts w:hint="default" w:ascii="Times New Roman" w:hAnsi="Times New Roman" w:eastAsia="新宋体" w:cs="Times New Roman"/>
                <w:color w:val="000000"/>
                <w:kern w:val="0"/>
                <w:sz w:val="24"/>
                <w:szCs w:val="24"/>
                <w:lang w:val="en-US" w:eastAsia="zh-CN" w:bidi="ar"/>
              </w:rPr>
              <w:t>①危险废物泄漏事件及后果分析</w:t>
            </w:r>
          </w:p>
          <w:p w14:paraId="149F20D4">
            <w:pPr>
              <w:keepNext w:val="0"/>
              <w:keepLines w:val="0"/>
              <w:widowControl/>
              <w:suppressLineNumbers w:val="0"/>
              <w:jc w:val="left"/>
              <w:rPr>
                <w:rFonts w:hint="default" w:ascii="Times New Roman" w:hAnsi="Times New Roman" w:eastAsia="新宋体" w:cs="Times New Roman"/>
              </w:rPr>
            </w:pPr>
            <w:r>
              <w:rPr>
                <w:rFonts w:hint="default" w:ascii="Times New Roman" w:hAnsi="Times New Roman" w:eastAsia="新宋体" w:cs="Times New Roman"/>
                <w:color w:val="000000"/>
                <w:kern w:val="0"/>
                <w:sz w:val="24"/>
                <w:szCs w:val="24"/>
                <w:lang w:val="en-US" w:eastAsia="zh-CN" w:bidi="ar"/>
              </w:rPr>
              <w:t>危险废物暂存设施内容器发生破损，或者操作过程不当引起泄漏。机械设备维护过程产生的废润滑油在场内暂存量极小，泄漏后可快速采用吸油毡等进行收集至应急事故池内，基本</w:t>
            </w:r>
            <w:r>
              <w:rPr>
                <w:rFonts w:hint="eastAsia" w:eastAsia="新宋体" w:cs="Times New Roman"/>
                <w:color w:val="000000"/>
                <w:kern w:val="0"/>
                <w:sz w:val="24"/>
                <w:szCs w:val="24"/>
                <w:lang w:val="en-US" w:eastAsia="zh-CN" w:bidi="ar"/>
              </w:rPr>
              <w:t>不会对周边</w:t>
            </w:r>
            <w:r>
              <w:rPr>
                <w:rFonts w:hint="default" w:ascii="Times New Roman" w:hAnsi="Times New Roman" w:eastAsia="新宋体" w:cs="Times New Roman"/>
                <w:color w:val="000000"/>
                <w:kern w:val="0"/>
                <w:sz w:val="24"/>
                <w:szCs w:val="24"/>
                <w:lang w:val="en-US" w:eastAsia="zh-CN" w:bidi="ar"/>
              </w:rPr>
              <w:t>的地下水和土壤环境不会产生影响。</w:t>
            </w:r>
          </w:p>
          <w:p w14:paraId="0DDA0BD2">
            <w:pPr>
              <w:keepNext w:val="0"/>
              <w:keepLines w:val="0"/>
              <w:widowControl/>
              <w:suppressLineNumbers w:val="0"/>
              <w:jc w:val="left"/>
              <w:rPr>
                <w:rFonts w:hint="default" w:ascii="Times New Roman" w:hAnsi="Times New Roman" w:eastAsia="新宋体" w:cs="Times New Roman"/>
              </w:rPr>
            </w:pPr>
            <w:r>
              <w:rPr>
                <w:rFonts w:hint="eastAsia" w:eastAsia="新宋体" w:cs="Times New Roman"/>
                <w:color w:val="000000"/>
                <w:kern w:val="0"/>
                <w:sz w:val="24"/>
                <w:szCs w:val="24"/>
                <w:lang w:val="en-US" w:eastAsia="zh-CN" w:bidi="ar"/>
              </w:rPr>
              <w:t>②</w:t>
            </w:r>
            <w:r>
              <w:rPr>
                <w:rFonts w:hint="default" w:ascii="Times New Roman" w:hAnsi="Times New Roman" w:eastAsia="新宋体" w:cs="Times New Roman"/>
                <w:color w:val="000000"/>
                <w:kern w:val="0"/>
                <w:sz w:val="24"/>
                <w:szCs w:val="24"/>
                <w:lang w:val="en-US" w:eastAsia="zh-CN" w:bidi="ar"/>
              </w:rPr>
              <w:t>火灾爆炸事件及后果分析</w:t>
            </w:r>
          </w:p>
          <w:p w14:paraId="3D77EE3B">
            <w:pPr>
              <w:keepNext w:val="0"/>
              <w:keepLines w:val="0"/>
              <w:widowControl/>
              <w:suppressLineNumbers w:val="0"/>
              <w:jc w:val="left"/>
              <w:rPr>
                <w:rFonts w:hint="default" w:ascii="Times New Roman" w:hAnsi="Times New Roman" w:eastAsia="新宋体" w:cs="Times New Roman"/>
              </w:rPr>
            </w:pPr>
            <w:r>
              <w:rPr>
                <w:rFonts w:hint="default" w:ascii="Times New Roman" w:hAnsi="Times New Roman" w:eastAsia="新宋体" w:cs="Times New Roman"/>
                <w:color w:val="000000"/>
                <w:kern w:val="0"/>
                <w:sz w:val="24"/>
                <w:szCs w:val="24"/>
                <w:lang w:val="en-US" w:eastAsia="zh-CN" w:bidi="ar"/>
              </w:rPr>
              <w:t>火灾爆炸事故危害除热辐射、冲击波和抛射物等直接危害外，未完全燃烧的危险物质在高温下迅速挥发释放至大气，燃烧物质燃烧过程中则同时产生伴生和次生物质，这些物质扩散至大气会对环境造成一定的影响。鉴于热辐射等直接危害属于安全评价内容，且一般事故影响位于厂区内部，本次评价不进行影响分析，具体以安全评价结果为准。</w:t>
            </w:r>
          </w:p>
          <w:p w14:paraId="0E622AF1">
            <w:pPr>
              <w:keepNext w:val="0"/>
              <w:keepLines w:val="0"/>
              <w:widowControl/>
              <w:suppressLineNumbers w:val="0"/>
              <w:jc w:val="left"/>
              <w:rPr>
                <w:rFonts w:hint="default" w:ascii="Times New Roman" w:hAnsi="Times New Roman" w:eastAsia="新宋体" w:cs="Times New Roman"/>
              </w:rPr>
            </w:pPr>
            <w:r>
              <w:rPr>
                <w:rFonts w:hint="default" w:ascii="Times New Roman" w:hAnsi="Times New Roman" w:eastAsia="新宋体" w:cs="Times New Roman"/>
                <w:color w:val="000000"/>
                <w:kern w:val="0"/>
                <w:sz w:val="24"/>
                <w:szCs w:val="24"/>
                <w:lang w:val="en-US" w:eastAsia="zh-CN" w:bidi="ar"/>
              </w:rPr>
              <w:t>综上所述，项目因火灾爆炸带来的次生环境风险影响不大。</w:t>
            </w:r>
          </w:p>
          <w:p w14:paraId="65B616CE">
            <w:pPr>
              <w:keepNext w:val="0"/>
              <w:keepLines w:val="0"/>
              <w:widowControl/>
              <w:suppressLineNumbers w:val="0"/>
              <w:ind w:left="0" w:leftChars="0" w:firstLine="0" w:firstLineChars="0"/>
              <w:jc w:val="center"/>
              <w:rPr>
                <w:rFonts w:hint="default" w:eastAsia="新宋体" w:cs="Times New Roman"/>
                <w:b/>
                <w:bCs/>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b/>
                <w:bCs/>
                <w:color w:val="000000" w:themeColor="text1"/>
                <w:kern w:val="2"/>
                <w:sz w:val="21"/>
                <w:szCs w:val="21"/>
                <w:highlight w:val="none"/>
                <w:lang w:val="en-US" w:eastAsia="zh-CN" w:bidi="ar-SA"/>
                <w14:textFill>
                  <w14:solidFill>
                    <w14:schemeClr w14:val="tx1"/>
                  </w14:solidFill>
                </w14:textFill>
              </w:rPr>
              <w:t>表4-</w:t>
            </w:r>
            <w:r>
              <w:rPr>
                <w:rFonts w:hint="eastAsia" w:ascii="Times New Roman" w:hAnsi="Times New Roman" w:eastAsia="新宋体" w:cs="Times New Roman"/>
                <w:b/>
                <w:bCs/>
                <w:color w:val="000000" w:themeColor="text1"/>
                <w:kern w:val="2"/>
                <w:sz w:val="21"/>
                <w:szCs w:val="21"/>
                <w:highlight w:val="none"/>
                <w:lang w:val="en-US" w:eastAsia="zh-CN" w:bidi="ar-SA"/>
                <w14:textFill>
                  <w14:solidFill>
                    <w14:schemeClr w14:val="tx1"/>
                  </w14:solidFill>
                </w14:textFill>
              </w:rPr>
              <w:t>1</w:t>
            </w:r>
            <w:r>
              <w:rPr>
                <w:rFonts w:hint="eastAsia" w:eastAsia="新宋体" w:cs="Times New Roman"/>
                <w:b/>
                <w:bCs/>
                <w:color w:val="000000" w:themeColor="text1"/>
                <w:kern w:val="2"/>
                <w:sz w:val="21"/>
                <w:szCs w:val="21"/>
                <w:highlight w:val="none"/>
                <w:lang w:val="en-US" w:eastAsia="zh-CN" w:bidi="ar-SA"/>
                <w14:textFill>
                  <w14:solidFill>
                    <w14:schemeClr w14:val="tx1"/>
                  </w14:solidFill>
                </w14:textFill>
              </w:rPr>
              <w:t>7</w:t>
            </w:r>
            <w:r>
              <w:rPr>
                <w:rFonts w:hint="default" w:ascii="Times New Roman" w:hAnsi="Times New Roman" w:eastAsia="新宋体" w:cs="Times New Roman"/>
                <w:b/>
                <w:bCs/>
                <w:color w:val="000000" w:themeColor="text1"/>
                <w:kern w:val="2"/>
                <w:sz w:val="21"/>
                <w:szCs w:val="21"/>
                <w:highlight w:val="none"/>
                <w:lang w:val="en-US" w:eastAsia="zh-CN" w:bidi="ar-SA"/>
                <w14:textFill>
                  <w14:solidFill>
                    <w14:schemeClr w14:val="tx1"/>
                  </w14:solidFill>
                </w14:textFill>
              </w:rPr>
              <w:t>环境风险</w:t>
            </w:r>
            <w:r>
              <w:rPr>
                <w:rFonts w:hint="eastAsia" w:eastAsia="新宋体" w:cs="Times New Roman"/>
                <w:b/>
                <w:bCs/>
                <w:color w:val="000000" w:themeColor="text1"/>
                <w:kern w:val="2"/>
                <w:sz w:val="21"/>
                <w:szCs w:val="21"/>
                <w:highlight w:val="none"/>
                <w:lang w:val="en-US" w:eastAsia="zh-CN" w:bidi="ar-SA"/>
                <w14:textFill>
                  <w14:solidFill>
                    <w14:schemeClr w14:val="tx1"/>
                  </w14:solidFill>
                </w14:textFill>
              </w:rPr>
              <w:t>分析一览表</w:t>
            </w:r>
          </w:p>
          <w:tbl>
            <w:tblPr>
              <w:tblStyle w:val="2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709"/>
              <w:gridCol w:w="941"/>
              <w:gridCol w:w="996"/>
              <w:gridCol w:w="1636"/>
              <w:gridCol w:w="3022"/>
            </w:tblGrid>
            <w:tr w14:paraId="3D14D3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1" w:type="dxa"/>
                  <w:tcBorders>
                    <w:tl2br w:val="nil"/>
                    <w:tr2bl w:val="nil"/>
                  </w:tcBorders>
                  <w:vAlign w:val="center"/>
                </w:tcPr>
                <w:p w14:paraId="1FDC2D84">
                  <w:pPr>
                    <w:pStyle w:val="14"/>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序号</w:t>
                  </w:r>
                </w:p>
              </w:tc>
              <w:tc>
                <w:tcPr>
                  <w:tcW w:w="709" w:type="dxa"/>
                  <w:tcBorders>
                    <w:tl2br w:val="nil"/>
                    <w:tr2bl w:val="nil"/>
                  </w:tcBorders>
                  <w:vAlign w:val="center"/>
                </w:tcPr>
                <w:p w14:paraId="71EF74BE">
                  <w:pPr>
                    <w:pStyle w:val="14"/>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风险单元</w:t>
                  </w:r>
                </w:p>
              </w:tc>
              <w:tc>
                <w:tcPr>
                  <w:tcW w:w="941" w:type="dxa"/>
                  <w:tcBorders>
                    <w:tl2br w:val="nil"/>
                    <w:tr2bl w:val="nil"/>
                  </w:tcBorders>
                  <w:vAlign w:val="center"/>
                </w:tcPr>
                <w:p w14:paraId="7D7DB1EC">
                  <w:pPr>
                    <w:pStyle w:val="14"/>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主要风险物质</w:t>
                  </w:r>
                </w:p>
              </w:tc>
              <w:tc>
                <w:tcPr>
                  <w:tcW w:w="996" w:type="dxa"/>
                  <w:tcBorders>
                    <w:tl2br w:val="nil"/>
                    <w:tr2bl w:val="nil"/>
                  </w:tcBorders>
                  <w:vAlign w:val="center"/>
                </w:tcPr>
                <w:p w14:paraId="31632185">
                  <w:pPr>
                    <w:pStyle w:val="14"/>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环境风险类型</w:t>
                  </w:r>
                </w:p>
              </w:tc>
              <w:tc>
                <w:tcPr>
                  <w:tcW w:w="1636" w:type="dxa"/>
                  <w:tcBorders>
                    <w:tl2br w:val="nil"/>
                    <w:tr2bl w:val="nil"/>
                  </w:tcBorders>
                  <w:vAlign w:val="center"/>
                </w:tcPr>
                <w:p w14:paraId="71CC5ED7">
                  <w:pPr>
                    <w:pStyle w:val="14"/>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环境影响途径</w:t>
                  </w:r>
                </w:p>
              </w:tc>
              <w:tc>
                <w:tcPr>
                  <w:tcW w:w="3022" w:type="dxa"/>
                  <w:tcBorders>
                    <w:tl2br w:val="nil"/>
                    <w:tr2bl w:val="nil"/>
                  </w:tcBorders>
                  <w:vAlign w:val="center"/>
                </w:tcPr>
                <w:p w14:paraId="7490EBD2">
                  <w:pPr>
                    <w:pStyle w:val="14"/>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可能受影响环境敏感目标</w:t>
                  </w:r>
                </w:p>
              </w:tc>
            </w:tr>
            <w:tr w14:paraId="66E40A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1" w:type="dxa"/>
                  <w:vMerge w:val="restart"/>
                  <w:tcBorders>
                    <w:tl2br w:val="nil"/>
                    <w:tr2bl w:val="nil"/>
                  </w:tcBorders>
                  <w:vAlign w:val="center"/>
                </w:tcPr>
                <w:p w14:paraId="4871A026">
                  <w:pPr>
                    <w:pStyle w:val="14"/>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1</w:t>
                  </w:r>
                </w:p>
              </w:tc>
              <w:tc>
                <w:tcPr>
                  <w:tcW w:w="709" w:type="dxa"/>
                  <w:vMerge w:val="restart"/>
                  <w:tcBorders>
                    <w:tl2br w:val="nil"/>
                    <w:tr2bl w:val="nil"/>
                  </w:tcBorders>
                  <w:vAlign w:val="center"/>
                </w:tcPr>
                <w:p w14:paraId="5246EF60">
                  <w:pPr>
                    <w:pStyle w:val="14"/>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危废暂存间</w:t>
                  </w:r>
                </w:p>
              </w:tc>
              <w:tc>
                <w:tcPr>
                  <w:tcW w:w="941" w:type="dxa"/>
                  <w:vMerge w:val="restart"/>
                  <w:tcBorders>
                    <w:tl2br w:val="nil"/>
                    <w:tr2bl w:val="nil"/>
                  </w:tcBorders>
                  <w:vAlign w:val="center"/>
                </w:tcPr>
                <w:p w14:paraId="6782D466">
                  <w:pPr>
                    <w:pStyle w:val="14"/>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废机油</w:t>
                  </w:r>
                </w:p>
              </w:tc>
              <w:tc>
                <w:tcPr>
                  <w:tcW w:w="996" w:type="dxa"/>
                  <w:vMerge w:val="restart"/>
                  <w:tcBorders>
                    <w:tl2br w:val="nil"/>
                    <w:tr2bl w:val="nil"/>
                  </w:tcBorders>
                  <w:vAlign w:val="center"/>
                </w:tcPr>
                <w:p w14:paraId="48CC9DF6">
                  <w:pPr>
                    <w:pStyle w:val="14"/>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泄漏</w:t>
                  </w:r>
                </w:p>
              </w:tc>
              <w:tc>
                <w:tcPr>
                  <w:tcW w:w="1636" w:type="dxa"/>
                  <w:tcBorders>
                    <w:tl2br w:val="nil"/>
                    <w:tr2bl w:val="nil"/>
                  </w:tcBorders>
                  <w:vAlign w:val="center"/>
                </w:tcPr>
                <w:p w14:paraId="7FAD99E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新宋体" w:cs="Times New Roman"/>
                      <w:color w:val="000000" w:themeColor="text1"/>
                      <w:sz w:val="21"/>
                      <w:szCs w:val="21"/>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物质遇明火发生火灾或爆炸，大气扩散</w:t>
                  </w:r>
                </w:p>
              </w:tc>
              <w:tc>
                <w:tcPr>
                  <w:tcW w:w="3022" w:type="dxa"/>
                  <w:tcBorders>
                    <w:tl2br w:val="nil"/>
                    <w:tr2bl w:val="nil"/>
                  </w:tcBorders>
                  <w:vAlign w:val="center"/>
                </w:tcPr>
                <w:p w14:paraId="563401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ascii="宋体" w:hAnsi="宋体" w:eastAsia="宋体" w:cs="宋体"/>
                      <w:color w:val="000000"/>
                      <w:kern w:val="0"/>
                      <w:sz w:val="21"/>
                      <w:szCs w:val="21"/>
                      <w:lang w:val="en-US" w:eastAsia="zh-CN" w:bidi="ar"/>
                    </w:rPr>
                    <w:t>周边住宅区大气环境</w:t>
                  </w:r>
                </w:p>
                <w:p w14:paraId="3E50C720">
                  <w:pPr>
                    <w:pStyle w:val="14"/>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-西侧清水河社区、南侧和硕县城</w:t>
                  </w:r>
                </w:p>
              </w:tc>
            </w:tr>
            <w:tr w14:paraId="5C2F38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1" w:type="dxa"/>
                  <w:vMerge w:val="continue"/>
                  <w:tcBorders>
                    <w:tl2br w:val="nil"/>
                    <w:tr2bl w:val="nil"/>
                  </w:tcBorders>
                  <w:vAlign w:val="center"/>
                </w:tcPr>
                <w:p w14:paraId="628D30B3">
                  <w:pPr>
                    <w:pStyle w:val="14"/>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新宋体" w:cs="Times New Roman"/>
                      <w:color w:val="000000" w:themeColor="text1"/>
                      <w:sz w:val="21"/>
                      <w:szCs w:val="21"/>
                      <w:lang w:val="en-US" w:eastAsia="zh-CN"/>
                      <w14:textFill>
                        <w14:solidFill>
                          <w14:schemeClr w14:val="tx1"/>
                        </w14:solidFill>
                      </w14:textFill>
                    </w:rPr>
                  </w:pPr>
                </w:p>
              </w:tc>
              <w:tc>
                <w:tcPr>
                  <w:tcW w:w="709" w:type="dxa"/>
                  <w:vMerge w:val="continue"/>
                  <w:tcBorders>
                    <w:tl2br w:val="nil"/>
                    <w:tr2bl w:val="nil"/>
                  </w:tcBorders>
                  <w:vAlign w:val="center"/>
                </w:tcPr>
                <w:p w14:paraId="7D0133F7">
                  <w:pPr>
                    <w:pStyle w:val="14"/>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新宋体" w:cs="Times New Roman"/>
                      <w:color w:val="000000" w:themeColor="text1"/>
                      <w:sz w:val="21"/>
                      <w:szCs w:val="21"/>
                      <w:lang w:val="en-US" w:eastAsia="zh-CN"/>
                      <w14:textFill>
                        <w14:solidFill>
                          <w14:schemeClr w14:val="tx1"/>
                        </w14:solidFill>
                      </w14:textFill>
                    </w:rPr>
                  </w:pPr>
                </w:p>
              </w:tc>
              <w:tc>
                <w:tcPr>
                  <w:tcW w:w="941" w:type="dxa"/>
                  <w:vMerge w:val="continue"/>
                  <w:tcBorders>
                    <w:tl2br w:val="nil"/>
                    <w:tr2bl w:val="nil"/>
                  </w:tcBorders>
                  <w:vAlign w:val="center"/>
                </w:tcPr>
                <w:p w14:paraId="1698029D">
                  <w:pPr>
                    <w:pStyle w:val="14"/>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新宋体" w:cs="Times New Roman"/>
                      <w:color w:val="000000" w:themeColor="text1"/>
                      <w:sz w:val="21"/>
                      <w:szCs w:val="21"/>
                      <w:lang w:val="en-US" w:eastAsia="zh-CN"/>
                      <w14:textFill>
                        <w14:solidFill>
                          <w14:schemeClr w14:val="tx1"/>
                        </w14:solidFill>
                      </w14:textFill>
                    </w:rPr>
                  </w:pPr>
                </w:p>
              </w:tc>
              <w:tc>
                <w:tcPr>
                  <w:tcW w:w="996" w:type="dxa"/>
                  <w:vMerge w:val="continue"/>
                  <w:tcBorders>
                    <w:tl2br w:val="nil"/>
                    <w:tr2bl w:val="nil"/>
                  </w:tcBorders>
                  <w:vAlign w:val="center"/>
                </w:tcPr>
                <w:p w14:paraId="5A4FE401">
                  <w:pPr>
                    <w:pStyle w:val="14"/>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新宋体" w:cs="Times New Roman"/>
                      <w:color w:val="000000" w:themeColor="text1"/>
                      <w:sz w:val="21"/>
                      <w:szCs w:val="21"/>
                      <w:lang w:val="en-US" w:eastAsia="zh-CN"/>
                      <w14:textFill>
                        <w14:solidFill>
                          <w14:schemeClr w14:val="tx1"/>
                        </w14:solidFill>
                      </w14:textFill>
                    </w:rPr>
                  </w:pPr>
                </w:p>
              </w:tc>
              <w:tc>
                <w:tcPr>
                  <w:tcW w:w="1636" w:type="dxa"/>
                  <w:tcBorders>
                    <w:tl2br w:val="nil"/>
                    <w:tr2bl w:val="nil"/>
                  </w:tcBorders>
                  <w:vAlign w:val="center"/>
                </w:tcPr>
                <w:p w14:paraId="378DAF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eastAsia="新宋体" w:cs="Times New Roman"/>
                      <w:color w:val="000000" w:themeColor="text1"/>
                      <w:sz w:val="21"/>
                      <w:szCs w:val="21"/>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地表径流、下渗</w:t>
                  </w:r>
                </w:p>
              </w:tc>
              <w:tc>
                <w:tcPr>
                  <w:tcW w:w="3022" w:type="dxa"/>
                  <w:tcBorders>
                    <w:tl2br w:val="nil"/>
                    <w:tr2bl w:val="nil"/>
                  </w:tcBorders>
                  <w:vAlign w:val="center"/>
                </w:tcPr>
                <w:p w14:paraId="3ADB5B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eastAsia="新宋体" w:cs="Times New Roman"/>
                      <w:color w:val="000000" w:themeColor="text1"/>
                      <w:sz w:val="21"/>
                      <w:szCs w:val="21"/>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附近清水河地表水或塔哈其支渠、周边未硬化土壤</w:t>
                  </w:r>
                </w:p>
              </w:tc>
            </w:tr>
          </w:tbl>
          <w:p w14:paraId="424853E3">
            <w:pPr>
              <w:keepNext w:val="0"/>
              <w:keepLines w:val="0"/>
              <w:widowControl/>
              <w:suppressLineNumbers w:val="0"/>
              <w:jc w:val="left"/>
              <w:rPr>
                <w:rFonts w:hint="default" w:ascii="Times New Roman" w:hAnsi="Times New Roman" w:eastAsia="新宋体" w:cs="Times New Roman"/>
                <w:b/>
                <w:bCs/>
                <w:color w:val="000000" w:themeColor="text1"/>
                <w:kern w:val="0"/>
                <w:sz w:val="24"/>
                <w:szCs w:val="24"/>
                <w:lang w:val="en-US" w:eastAsia="zh-CN" w:bidi="ar"/>
                <w14:textFill>
                  <w14:solidFill>
                    <w14:schemeClr w14:val="tx1"/>
                  </w14:solidFill>
                </w14:textFill>
              </w:rPr>
            </w:pPr>
            <w:r>
              <w:rPr>
                <w:rFonts w:hint="eastAsia" w:eastAsia="新宋体" w:cs="Times New Roman"/>
                <w:b/>
                <w:bCs/>
                <w:color w:val="000000" w:themeColor="text1"/>
                <w:kern w:val="0"/>
                <w:sz w:val="24"/>
                <w:szCs w:val="24"/>
                <w:lang w:val="en-US" w:eastAsia="zh-CN" w:bidi="ar"/>
                <w14:textFill>
                  <w14:solidFill>
                    <w14:schemeClr w14:val="tx1"/>
                  </w14:solidFill>
                </w14:textFill>
              </w:rPr>
              <w:t>7.3环境风险管理</w:t>
            </w:r>
          </w:p>
          <w:p w14:paraId="7867BF24">
            <w:pPr>
              <w:pStyle w:val="84"/>
              <w:keepNext w:val="0"/>
              <w:keepLines w:val="0"/>
              <w:pageBreakBefore w:val="0"/>
              <w:widowControl w:val="0"/>
              <w:kinsoku/>
              <w:wordWrap/>
              <w:overflowPunct/>
              <w:topLinePunct w:val="0"/>
              <w:autoSpaceDE/>
              <w:autoSpaceDN/>
              <w:bidi w:val="0"/>
              <w:adjustRightInd/>
              <w:snapToGrid/>
              <w:spacing w:line="360" w:lineRule="auto"/>
              <w:ind w:left="0" w:right="0" w:firstLine="481"/>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为避免风险事故，尤其是避免风险事故发生后对环境造成严重的污染，</w:t>
            </w:r>
            <w:r>
              <w:rPr>
                <w:rFonts w:hint="default" w:ascii="Times New Roman" w:hAnsi="Times New Roman" w:cs="Times New Roman"/>
                <w:color w:val="000000" w:themeColor="text1"/>
                <w:spacing w:val="-3"/>
                <w14:textFill>
                  <w14:solidFill>
                    <w14:schemeClr w14:val="tx1"/>
                  </w14:solidFill>
                </w14:textFill>
              </w:rPr>
              <w:t>建设单位应树立并强化环境风险意识，增加对环境风险的防范措施，并使这些措施在实际工作中得到落实。为进一步减少事故的发生，减缓该项目运营</w:t>
            </w:r>
            <w:r>
              <w:rPr>
                <w:rFonts w:hint="default" w:ascii="Times New Roman" w:hAnsi="Times New Roman" w:cs="Times New Roman"/>
                <w:color w:val="000000" w:themeColor="text1"/>
                <w:spacing w:val="-7"/>
                <w14:textFill>
                  <w14:solidFill>
                    <w14:schemeClr w14:val="tx1"/>
                  </w14:solidFill>
                </w14:textFill>
              </w:rPr>
              <w:t>过程中对环境的潜在威胁，建设单位应采取综合防范措施，并从技术、工艺、</w:t>
            </w:r>
            <w:r>
              <w:rPr>
                <w:rFonts w:hint="default" w:ascii="Times New Roman" w:hAnsi="Times New Roman" w:cs="Times New Roman"/>
                <w:color w:val="000000" w:themeColor="text1"/>
                <w:spacing w:val="-1"/>
                <w14:textFill>
                  <w14:solidFill>
                    <w14:schemeClr w14:val="tx1"/>
                  </w14:solidFill>
                </w14:textFill>
              </w:rPr>
              <w:t>管理等方面对以下几方面予以重视：</w:t>
            </w:r>
          </w:p>
          <w:p w14:paraId="1CBCE0EF">
            <w:pPr>
              <w:pStyle w:val="84"/>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pacing w:val="-3"/>
                <w14:textFill>
                  <w14:solidFill>
                    <w14:schemeClr w14:val="tx1"/>
                  </w14:solidFill>
                </w14:textFill>
              </w:rPr>
              <w:t>（</w:t>
            </w:r>
            <w:r>
              <w:rPr>
                <w:rFonts w:hint="default" w:ascii="Times New Roman" w:hAnsi="Times New Roman" w:eastAsia="Calibri" w:cs="Times New Roman"/>
                <w:color w:val="000000" w:themeColor="text1"/>
                <w:spacing w:val="-3"/>
                <w14:textFill>
                  <w14:solidFill>
                    <w14:schemeClr w14:val="tx1"/>
                  </w14:solidFill>
                </w14:textFill>
              </w:rPr>
              <w:t>1</w:t>
            </w:r>
            <w:r>
              <w:rPr>
                <w:rFonts w:hint="default" w:ascii="Times New Roman" w:hAnsi="Times New Roman" w:cs="Times New Roman"/>
                <w:color w:val="000000" w:themeColor="text1"/>
                <w:spacing w:val="-3"/>
                <w14:textFill>
                  <w14:solidFill>
                    <w14:schemeClr w14:val="tx1"/>
                  </w14:solidFill>
                </w14:textFill>
              </w:rPr>
              <w:t>）树立环境风险意识</w:t>
            </w:r>
          </w:p>
          <w:p w14:paraId="5F99307E">
            <w:pPr>
              <w:pStyle w:val="84"/>
              <w:keepNext w:val="0"/>
              <w:keepLines w:val="0"/>
              <w:pageBreakBefore w:val="0"/>
              <w:widowControl w:val="0"/>
              <w:kinsoku/>
              <w:wordWrap/>
              <w:overflowPunct/>
              <w:topLinePunct w:val="0"/>
              <w:autoSpaceDE/>
              <w:autoSpaceDN/>
              <w:bidi w:val="0"/>
              <w:adjustRightInd/>
              <w:snapToGrid/>
              <w:spacing w:line="360" w:lineRule="auto"/>
              <w:ind w:left="0" w:right="0" w:firstLine="483"/>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pacing w:val="6"/>
                <w14:textFill>
                  <w14:solidFill>
                    <w14:schemeClr w14:val="tx1"/>
                  </w14:solidFill>
                </w14:textFill>
              </w:rPr>
              <w:t>该项目客观上存在着一定的不安全因素，对周</w:t>
            </w:r>
            <w:r>
              <w:rPr>
                <w:rFonts w:hint="default" w:ascii="Times New Roman" w:hAnsi="Times New Roman" w:cs="Times New Roman"/>
                <w:color w:val="000000" w:themeColor="text1"/>
                <w:spacing w:val="5"/>
                <w14:textFill>
                  <w14:solidFill>
                    <w14:schemeClr w14:val="tx1"/>
                  </w14:solidFill>
                </w14:textFill>
              </w:rPr>
              <w:t>围环境存在着潜在的威</w:t>
            </w:r>
            <w:r>
              <w:rPr>
                <w:rFonts w:hint="default" w:ascii="Times New Roman" w:hAnsi="Times New Roman" w:cs="Times New Roman"/>
                <w:color w:val="000000" w:themeColor="text1"/>
                <w:spacing w:val="2"/>
                <w14:textFill>
                  <w14:solidFill>
                    <w14:schemeClr w14:val="tx1"/>
                  </w14:solidFill>
                </w14:textFill>
              </w:rPr>
              <w:t>胁。发生环境安全事故后，对周围环境有难以弥补的</w:t>
            </w:r>
            <w:r>
              <w:rPr>
                <w:rFonts w:hint="default" w:ascii="Times New Roman" w:hAnsi="Times New Roman" w:cs="Times New Roman"/>
                <w:color w:val="000000" w:themeColor="text1"/>
                <w:spacing w:val="1"/>
                <w14:textFill>
                  <w14:solidFill>
                    <w14:schemeClr w14:val="tx1"/>
                  </w14:solidFill>
                </w14:textFill>
              </w:rPr>
              <w:t>损害，所以在贯彻</w:t>
            </w:r>
            <w:r>
              <w:rPr>
                <w:rFonts w:hint="default" w:ascii="Times New Roman" w:hAnsi="Times New Roman" w:eastAsia="Calibri" w:cs="Times New Roman"/>
                <w:color w:val="000000" w:themeColor="text1"/>
                <w:spacing w:val="1"/>
                <w14:textFill>
                  <w14:solidFill>
                    <w14:schemeClr w14:val="tx1"/>
                  </w14:solidFill>
                </w14:textFill>
              </w:rPr>
              <w:t>“</w:t>
            </w:r>
            <w:r>
              <w:rPr>
                <w:rFonts w:hint="default" w:ascii="Times New Roman" w:hAnsi="Times New Roman" w:cs="Times New Roman"/>
                <w:color w:val="000000" w:themeColor="text1"/>
                <w:spacing w:val="1"/>
                <w14:textFill>
                  <w14:solidFill>
                    <w14:schemeClr w14:val="tx1"/>
                  </w14:solidFill>
                </w14:textFill>
              </w:rPr>
              <w:t>安</w:t>
            </w:r>
            <w:r>
              <w:rPr>
                <w:rFonts w:hint="default" w:ascii="Times New Roman" w:hAnsi="Times New Roman" w:cs="Times New Roman"/>
                <w:color w:val="000000" w:themeColor="text1"/>
                <w:spacing w:val="-4"/>
                <w14:textFill>
                  <w14:solidFill>
                    <w14:schemeClr w14:val="tx1"/>
                  </w14:solidFill>
                </w14:textFill>
              </w:rPr>
              <w:t>全第一，预防为主</w:t>
            </w:r>
            <w:r>
              <w:rPr>
                <w:rFonts w:hint="default" w:ascii="Times New Roman" w:hAnsi="Times New Roman" w:eastAsia="Calibri" w:cs="Times New Roman"/>
                <w:color w:val="000000" w:themeColor="text1"/>
                <w:spacing w:val="-4"/>
                <w14:textFill>
                  <w14:solidFill>
                    <w14:schemeClr w14:val="tx1"/>
                  </w14:solidFill>
                </w14:textFill>
              </w:rPr>
              <w:t>”</w:t>
            </w:r>
            <w:r>
              <w:rPr>
                <w:rFonts w:hint="default" w:ascii="Times New Roman" w:hAnsi="Times New Roman" w:cs="Times New Roman"/>
                <w:color w:val="000000" w:themeColor="text1"/>
                <w:spacing w:val="-4"/>
                <w14:textFill>
                  <w14:solidFill>
                    <w14:schemeClr w14:val="tx1"/>
                  </w14:solidFill>
                </w14:textFill>
              </w:rPr>
              <w:t>的方针同时，应树立环境风险意识，强化环境风险责任，</w:t>
            </w:r>
            <w:r>
              <w:rPr>
                <w:rFonts w:hint="default" w:ascii="Times New Roman" w:hAnsi="Times New Roman" w:cs="Times New Roman"/>
                <w:color w:val="000000" w:themeColor="text1"/>
                <w:spacing w:val="-1"/>
                <w14:textFill>
                  <w14:solidFill>
                    <w14:schemeClr w14:val="tx1"/>
                  </w14:solidFill>
                </w14:textFill>
              </w:rPr>
              <w:t>体现出环境保护的内容。</w:t>
            </w:r>
          </w:p>
          <w:p w14:paraId="3BF0A3A2">
            <w:pPr>
              <w:pStyle w:val="84"/>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pacing w:val="-2"/>
                <w14:textFill>
                  <w14:solidFill>
                    <w14:schemeClr w14:val="tx1"/>
                  </w14:solidFill>
                </w14:textFill>
              </w:rPr>
              <w:t>（</w:t>
            </w:r>
            <w:r>
              <w:rPr>
                <w:rFonts w:hint="default" w:ascii="Times New Roman" w:hAnsi="Times New Roman" w:eastAsia="Calibri" w:cs="Times New Roman"/>
                <w:color w:val="000000" w:themeColor="text1"/>
                <w:spacing w:val="-2"/>
                <w14:textFill>
                  <w14:solidFill>
                    <w14:schemeClr w14:val="tx1"/>
                  </w14:solidFill>
                </w14:textFill>
              </w:rPr>
              <w:t>2</w:t>
            </w:r>
            <w:r>
              <w:rPr>
                <w:rFonts w:hint="default" w:ascii="Times New Roman" w:hAnsi="Times New Roman" w:cs="Times New Roman"/>
                <w:color w:val="000000" w:themeColor="text1"/>
                <w:spacing w:val="-2"/>
                <w14:textFill>
                  <w14:solidFill>
                    <w14:schemeClr w14:val="tx1"/>
                  </w14:solidFill>
                </w14:textFill>
              </w:rPr>
              <w:t>）实行全面环境安全管理制度</w:t>
            </w:r>
          </w:p>
          <w:p w14:paraId="7A9039C1">
            <w:pPr>
              <w:pStyle w:val="84"/>
              <w:keepNext w:val="0"/>
              <w:keepLines w:val="0"/>
              <w:pageBreakBefore w:val="0"/>
              <w:widowControl w:val="0"/>
              <w:kinsoku/>
              <w:wordWrap/>
              <w:overflowPunct/>
              <w:topLinePunct w:val="0"/>
              <w:autoSpaceDE/>
              <w:autoSpaceDN/>
              <w:bidi w:val="0"/>
              <w:adjustRightInd/>
              <w:snapToGrid/>
              <w:spacing w:line="360" w:lineRule="auto"/>
              <w:ind w:left="0" w:right="0" w:firstLine="482"/>
              <w:textAlignment w:val="auto"/>
              <w:rPr>
                <w:rFonts w:hint="default" w:ascii="Times New Roman" w:hAnsi="Times New Roman" w:cs="Times New Roman"/>
                <w:color w:val="000000" w:themeColor="text1"/>
                <w:spacing w:val="-1"/>
                <w14:textFill>
                  <w14:solidFill>
                    <w14:schemeClr w14:val="tx1"/>
                  </w14:solidFill>
                </w14:textFill>
              </w:rPr>
            </w:pPr>
            <w:r>
              <w:rPr>
                <w:rFonts w:hint="default" w:ascii="Times New Roman" w:hAnsi="Times New Roman" w:cs="Times New Roman"/>
                <w:color w:val="000000" w:themeColor="text1"/>
                <w:spacing w:val="-2"/>
                <w14:textFill>
                  <w14:solidFill>
                    <w14:schemeClr w14:val="tx1"/>
                  </w14:solidFill>
                </w14:textFill>
              </w:rPr>
              <w:t>项目在生产过程中有可能发生各种事故，事故发生后</w:t>
            </w:r>
            <w:r>
              <w:rPr>
                <w:rFonts w:hint="default" w:ascii="Times New Roman" w:hAnsi="Times New Roman" w:cs="Times New Roman"/>
                <w:color w:val="000000" w:themeColor="text1"/>
                <w:spacing w:val="-3"/>
                <w14:textFill>
                  <w14:solidFill>
                    <w14:schemeClr w14:val="tx1"/>
                  </w14:solidFill>
                </w14:textFill>
              </w:rPr>
              <w:t>均会对环境造成不</w:t>
            </w:r>
            <w:r>
              <w:rPr>
                <w:rFonts w:hint="default" w:ascii="Times New Roman" w:hAnsi="Times New Roman" w:cs="Times New Roman"/>
                <w:color w:val="000000" w:themeColor="text1"/>
                <w:spacing w:val="-2"/>
                <w14:textFill>
                  <w14:solidFill>
                    <w14:schemeClr w14:val="tx1"/>
                  </w14:solidFill>
                </w14:textFill>
              </w:rPr>
              <w:t>同程度的污染，因此应该针对该项目开展全面、全员、全过程的系数安全管理，把环境安全工作的重点放在消除系统的潜在危险上，并从整体和全局上促进该项目各个环节的环境安全运作，并建立监察、管理、检测、信息系统</w:t>
            </w:r>
            <w:r>
              <w:rPr>
                <w:rFonts w:hint="default" w:ascii="Times New Roman" w:hAnsi="Times New Roman" w:cs="Times New Roman"/>
                <w:color w:val="000000" w:themeColor="text1"/>
                <w:spacing w:val="-1"/>
                <w14:textFill>
                  <w14:solidFill>
                    <w14:schemeClr w14:val="tx1"/>
                  </w14:solidFill>
                </w14:textFill>
              </w:rPr>
              <w:t>和科学决策体系，实行环境安全目标管理。</w:t>
            </w:r>
          </w:p>
          <w:p w14:paraId="47571BD3">
            <w:pPr>
              <w:pStyle w:val="84"/>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pacing w:val="-2"/>
                <w14:textFill>
                  <w14:solidFill>
                    <w14:schemeClr w14:val="tx1"/>
                  </w14:solidFill>
                </w14:textFill>
              </w:rPr>
              <w:t>（</w:t>
            </w:r>
            <w:r>
              <w:rPr>
                <w:rFonts w:hint="default" w:ascii="Times New Roman" w:hAnsi="Times New Roman" w:eastAsia="Calibri" w:cs="Times New Roman"/>
                <w:color w:val="000000" w:themeColor="text1"/>
                <w:spacing w:val="-2"/>
                <w14:textFill>
                  <w14:solidFill>
                    <w14:schemeClr w14:val="tx1"/>
                  </w14:solidFill>
                </w14:textFill>
              </w:rPr>
              <w:t>3</w:t>
            </w:r>
            <w:r>
              <w:rPr>
                <w:rFonts w:hint="default" w:ascii="Times New Roman" w:hAnsi="Times New Roman" w:cs="Times New Roman"/>
                <w:color w:val="000000" w:themeColor="text1"/>
                <w:spacing w:val="-2"/>
                <w14:textFill>
                  <w14:solidFill>
                    <w14:schemeClr w14:val="tx1"/>
                  </w14:solidFill>
                </w14:textFill>
              </w:rPr>
              <w:t>）加强资料的日常记录与管理</w:t>
            </w:r>
          </w:p>
          <w:p w14:paraId="6DCC5375">
            <w:pPr>
              <w:pStyle w:val="84"/>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pacing w:val="-2"/>
                <w:position w:val="17"/>
                <w14:textFill>
                  <w14:solidFill>
                    <w14:schemeClr w14:val="tx1"/>
                  </w14:solidFill>
                </w14:textFill>
              </w:rPr>
              <w:t>加强对生产过程中的各项操作参数等资料的日常记录及管理，</w:t>
            </w:r>
            <w:r>
              <w:rPr>
                <w:rFonts w:hint="default" w:ascii="Times New Roman" w:hAnsi="Times New Roman" w:cs="Times New Roman"/>
                <w:color w:val="000000" w:themeColor="text1"/>
                <w:spacing w:val="-3"/>
                <w:position w:val="17"/>
                <w14:textFill>
                  <w14:solidFill>
                    <w14:schemeClr w14:val="tx1"/>
                  </w14:solidFill>
                </w14:textFill>
              </w:rPr>
              <w:t>及时发现</w:t>
            </w:r>
            <w:r>
              <w:rPr>
                <w:rFonts w:hint="default" w:ascii="Times New Roman" w:hAnsi="Times New Roman" w:cs="Times New Roman"/>
                <w:color w:val="000000" w:themeColor="text1"/>
                <w:spacing w:val="-3"/>
                <w14:textFill>
                  <w14:solidFill>
                    <w14:schemeClr w14:val="tx1"/>
                  </w14:solidFill>
                </w14:textFill>
              </w:rPr>
              <w:t>问题并采取</w:t>
            </w:r>
            <w:r>
              <w:rPr>
                <w:rFonts w:hint="eastAsia" w:ascii="Times New Roman" w:hAnsi="Times New Roman" w:cs="Times New Roman"/>
                <w:color w:val="000000" w:themeColor="text1"/>
                <w:spacing w:val="-3"/>
                <w:lang w:eastAsia="zh-CN"/>
                <w14:textFill>
                  <w14:solidFill>
                    <w14:schemeClr w14:val="tx1"/>
                  </w14:solidFill>
                </w14:textFill>
              </w:rPr>
              <w:t>减轻</w:t>
            </w:r>
            <w:r>
              <w:rPr>
                <w:rFonts w:hint="default" w:ascii="Times New Roman" w:hAnsi="Times New Roman" w:cs="Times New Roman"/>
                <w:color w:val="000000" w:themeColor="text1"/>
                <w:spacing w:val="-3"/>
                <w14:textFill>
                  <w14:solidFill>
                    <w14:schemeClr w14:val="tx1"/>
                  </w14:solidFill>
                </w14:textFill>
              </w:rPr>
              <w:t>危害的措施。</w:t>
            </w:r>
          </w:p>
          <w:p w14:paraId="593189F7">
            <w:pPr>
              <w:pStyle w:val="84"/>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pacing w:val="-4"/>
                <w14:textFill>
                  <w14:solidFill>
                    <w14:schemeClr w14:val="tx1"/>
                  </w14:solidFill>
                </w14:textFill>
              </w:rPr>
              <w:t>（</w:t>
            </w:r>
            <w:r>
              <w:rPr>
                <w:rFonts w:hint="default" w:ascii="Times New Roman" w:hAnsi="Times New Roman" w:eastAsia="Calibri" w:cs="Times New Roman"/>
                <w:color w:val="000000" w:themeColor="text1"/>
                <w:spacing w:val="-4"/>
                <w14:textFill>
                  <w14:solidFill>
                    <w14:schemeClr w14:val="tx1"/>
                  </w14:solidFill>
                </w14:textFill>
              </w:rPr>
              <w:t>4</w:t>
            </w:r>
            <w:r>
              <w:rPr>
                <w:rFonts w:hint="default" w:ascii="Times New Roman" w:hAnsi="Times New Roman" w:cs="Times New Roman"/>
                <w:color w:val="000000" w:themeColor="text1"/>
                <w:spacing w:val="-4"/>
                <w14:textFill>
                  <w14:solidFill>
                    <w14:schemeClr w14:val="tx1"/>
                  </w14:solidFill>
                </w14:textFill>
              </w:rPr>
              <w:t>）应对措施</w:t>
            </w:r>
          </w:p>
          <w:p w14:paraId="5A1560CD">
            <w:pPr>
              <w:pStyle w:val="84"/>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pacing w:val="-2"/>
                <w14:textFill>
                  <w14:solidFill>
                    <w14:schemeClr w14:val="tx1"/>
                  </w14:solidFill>
                </w14:textFill>
              </w:rPr>
              <w:t>事故发生的可能性总是存在的，为减少事故发生后造成的损失</w:t>
            </w:r>
            <w:r>
              <w:rPr>
                <w:rFonts w:hint="default" w:ascii="Times New Roman" w:hAnsi="Times New Roman" w:cs="Times New Roman"/>
                <w:color w:val="000000" w:themeColor="text1"/>
                <w:spacing w:val="-3"/>
                <w14:textFill>
                  <w14:solidFill>
                    <w14:schemeClr w14:val="tx1"/>
                  </w14:solidFill>
                </w14:textFill>
              </w:rPr>
              <w:t>，尤其是</w:t>
            </w:r>
            <w:r>
              <w:rPr>
                <w:rFonts w:hint="default" w:ascii="Times New Roman" w:hAnsi="Times New Roman" w:cs="Times New Roman"/>
                <w:color w:val="000000" w:themeColor="text1"/>
                <w:spacing w:val="-2"/>
                <w14:textFill>
                  <w14:solidFill>
                    <w14:schemeClr w14:val="tx1"/>
                  </w14:solidFill>
                </w14:textFill>
              </w:rPr>
              <w:t>减少对环境造成严重的污染，建设单位除一方面要落实已制定的各种安全管理制度以及上述所列各项风险减缓措施，另一方面，建设单位还应对发生各类风险事故后</w:t>
            </w:r>
            <w:r>
              <w:rPr>
                <w:rFonts w:hint="default" w:ascii="Times New Roman" w:hAnsi="Times New Roman" w:cs="Times New Roman"/>
                <w:color w:val="000000" w:themeColor="text1"/>
                <w14:textFill>
                  <w14:solidFill>
                    <w14:schemeClr w14:val="tx1"/>
                  </w14:solidFill>
                </w14:textFill>
              </w:rPr>
              <w:t>采取必要的事故应急措施，建议建设单位对以下</w:t>
            </w:r>
            <w:r>
              <w:rPr>
                <w:rFonts w:hint="default" w:ascii="Times New Roman" w:hAnsi="Times New Roman" w:cs="Times New Roman"/>
                <w:color w:val="000000" w:themeColor="text1"/>
                <w:spacing w:val="-1"/>
                <w14:textFill>
                  <w14:solidFill>
                    <w14:schemeClr w14:val="tx1"/>
                  </w14:solidFill>
                </w14:textFill>
              </w:rPr>
              <w:t>几方面予以着重考虑：</w:t>
            </w:r>
          </w:p>
          <w:p w14:paraId="573BB570">
            <w:pPr>
              <w:pStyle w:val="84"/>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Calibri" w:cs="Times New Roman"/>
                <w:color w:val="000000" w:themeColor="text1"/>
                <w:spacing w:val="3"/>
                <w:position w:val="16"/>
                <w14:textFill>
                  <w14:solidFill>
                    <w14:schemeClr w14:val="tx1"/>
                  </w14:solidFill>
                </w14:textFill>
              </w:rPr>
              <w:t>①</w:t>
            </w:r>
            <w:r>
              <w:rPr>
                <w:rFonts w:hint="default" w:ascii="Times New Roman" w:hAnsi="Times New Roman" w:cs="Times New Roman"/>
                <w:color w:val="000000" w:themeColor="text1"/>
                <w:spacing w:val="3"/>
                <w:position w:val="16"/>
                <w14:textFill>
                  <w14:solidFill>
                    <w14:schemeClr w14:val="tx1"/>
                  </w14:solidFill>
                </w14:textFill>
              </w:rPr>
              <w:t>发生事故后，应进行事故后果评价，并将有关情况</w:t>
            </w:r>
            <w:r>
              <w:rPr>
                <w:rFonts w:hint="default" w:ascii="Times New Roman" w:hAnsi="Times New Roman" w:cs="Times New Roman"/>
                <w:color w:val="000000" w:themeColor="text1"/>
                <w:spacing w:val="2"/>
                <w:position w:val="16"/>
                <w14:textFill>
                  <w14:solidFill>
                    <w14:schemeClr w14:val="tx1"/>
                  </w14:solidFill>
                </w14:textFill>
              </w:rPr>
              <w:t>通报给上级环保</w:t>
            </w:r>
            <w:r>
              <w:rPr>
                <w:rFonts w:hint="default" w:ascii="Times New Roman" w:hAnsi="Times New Roman" w:cs="Times New Roman"/>
                <w:color w:val="000000" w:themeColor="text1"/>
                <w:spacing w:val="-3"/>
                <w14:textFill>
                  <w14:solidFill>
                    <w14:schemeClr w14:val="tx1"/>
                  </w14:solidFill>
                </w14:textFill>
              </w:rPr>
              <w:t>主管部门。</w:t>
            </w:r>
          </w:p>
          <w:p w14:paraId="177F84CD">
            <w:pPr>
              <w:pStyle w:val="84"/>
              <w:keepNext w:val="0"/>
              <w:keepLines w:val="0"/>
              <w:pageBreakBefore w:val="0"/>
              <w:widowControl w:val="0"/>
              <w:kinsoku/>
              <w:wordWrap/>
              <w:overflowPunct/>
              <w:topLinePunct w:val="0"/>
              <w:autoSpaceDE/>
              <w:autoSpaceDN/>
              <w:bidi w:val="0"/>
              <w:adjustRightInd/>
              <w:snapToGrid/>
              <w:spacing w:line="360" w:lineRule="auto"/>
              <w:ind w:left="0" w:right="0" w:firstLine="486"/>
              <w:textAlignment w:val="auto"/>
              <w:rPr>
                <w:rFonts w:hint="default" w:ascii="Times New Roman" w:hAnsi="Times New Roman" w:cs="Times New Roman"/>
                <w:color w:val="000000" w:themeColor="text1"/>
                <w:spacing w:val="-1"/>
                <w:lang w:val="en-US" w:eastAsia="zh-CN"/>
                <w14:textFill>
                  <w14:solidFill>
                    <w14:schemeClr w14:val="tx1"/>
                  </w14:solidFill>
                </w14:textFill>
              </w:rPr>
            </w:pPr>
            <w:r>
              <w:rPr>
                <w:rFonts w:hint="default" w:ascii="Times New Roman" w:hAnsi="Times New Roman" w:eastAsia="Calibri" w:cs="Times New Roman"/>
                <w:color w:val="000000" w:themeColor="text1"/>
                <w:spacing w:val="3"/>
                <w14:textFill>
                  <w14:solidFill>
                    <w14:schemeClr w14:val="tx1"/>
                  </w14:solidFill>
                </w14:textFill>
              </w:rPr>
              <w:t>②</w:t>
            </w:r>
            <w:r>
              <w:rPr>
                <w:rFonts w:hint="default" w:ascii="Times New Roman" w:hAnsi="Times New Roman" w:cs="Times New Roman"/>
                <w:color w:val="000000" w:themeColor="text1"/>
                <w:spacing w:val="3"/>
                <w14:textFill>
                  <w14:solidFill>
                    <w14:schemeClr w14:val="tx1"/>
                  </w14:solidFill>
                </w14:textFill>
              </w:rPr>
              <w:t>定期举行应急培训活动，对该项目相关人员进行事</w:t>
            </w:r>
            <w:r>
              <w:rPr>
                <w:rFonts w:hint="default" w:ascii="Times New Roman" w:hAnsi="Times New Roman" w:cs="Times New Roman"/>
                <w:color w:val="000000" w:themeColor="text1"/>
                <w:spacing w:val="2"/>
                <w14:textFill>
                  <w14:solidFill>
                    <w14:schemeClr w14:val="tx1"/>
                  </w14:solidFill>
                </w14:textFill>
              </w:rPr>
              <w:t>故应急培训，提</w:t>
            </w:r>
            <w:r>
              <w:rPr>
                <w:rFonts w:hint="default" w:ascii="Times New Roman" w:hAnsi="Times New Roman" w:cs="Times New Roman"/>
                <w:color w:val="000000" w:themeColor="text1"/>
                <w:spacing w:val="-2"/>
                <w14:textFill>
                  <w14:solidFill>
                    <w14:schemeClr w14:val="tx1"/>
                  </w14:solidFill>
                </w14:textFill>
              </w:rPr>
              <w:t>高事故发生后的应急处理能力；对新上岗的工作人员、实习人员</w:t>
            </w:r>
            <w:r>
              <w:rPr>
                <w:rFonts w:hint="default" w:ascii="Times New Roman" w:hAnsi="Times New Roman" w:cs="Times New Roman"/>
                <w:color w:val="000000" w:themeColor="text1"/>
                <w:spacing w:val="-3"/>
                <w14:textFill>
                  <w14:solidFill>
                    <w14:schemeClr w14:val="tx1"/>
                  </w14:solidFill>
                </w14:textFill>
              </w:rPr>
              <w:t>、进行岗前</w:t>
            </w:r>
            <w:r>
              <w:rPr>
                <w:rFonts w:hint="default" w:ascii="Times New Roman" w:hAnsi="Times New Roman" w:cs="Times New Roman"/>
                <w:color w:val="000000" w:themeColor="text1"/>
                <w:spacing w:val="-2"/>
                <w14:textFill>
                  <w14:solidFill>
                    <w14:schemeClr w14:val="tx1"/>
                  </w14:solidFill>
                </w14:textFill>
              </w:rPr>
              <w:t>安全、环保培训，重点部门的人员定期轮训；在对项目相关系统</w:t>
            </w:r>
            <w:r>
              <w:rPr>
                <w:rFonts w:hint="default" w:ascii="Times New Roman" w:hAnsi="Times New Roman" w:cs="Times New Roman"/>
                <w:color w:val="000000" w:themeColor="text1"/>
                <w:spacing w:val="-3"/>
                <w14:textFill>
                  <w14:solidFill>
                    <w14:schemeClr w14:val="tx1"/>
                  </w14:solidFill>
                </w14:textFill>
              </w:rPr>
              <w:t>人员进行知</w:t>
            </w:r>
            <w:r>
              <w:rPr>
                <w:rFonts w:hint="default" w:ascii="Times New Roman" w:hAnsi="Times New Roman" w:cs="Times New Roman"/>
                <w:color w:val="000000" w:themeColor="text1"/>
                <w:spacing w:val="-1"/>
                <w14:textFill>
                  <w14:solidFill>
                    <w14:schemeClr w14:val="tx1"/>
                  </w14:solidFill>
                </w14:textFill>
              </w:rPr>
              <w:t>识培训后，还对其进行了责任分配制度，确保不出现意外。</w:t>
            </w:r>
          </w:p>
          <w:p w14:paraId="08FBF628">
            <w:pPr>
              <w:keepNext w:val="0"/>
              <w:keepLines w:val="0"/>
              <w:widowControl/>
              <w:suppressLineNumbers w:val="0"/>
              <w:jc w:val="left"/>
              <w:rPr>
                <w:rFonts w:hint="default" w:ascii="Times New Roman" w:hAnsi="Times New Roman" w:eastAsia="新宋体" w:cs="Times New Roman"/>
                <w:color w:val="000000" w:themeColor="text1"/>
                <w14:textFill>
                  <w14:solidFill>
                    <w14:schemeClr w14:val="tx1"/>
                  </w14:solidFill>
                </w14:textFill>
              </w:rPr>
            </w:pPr>
            <w:r>
              <w:rPr>
                <w:rFonts w:hint="default" w:ascii="Times New Roman" w:hAnsi="Times New Roman" w:eastAsia="新宋体" w:cs="Times New Roman"/>
                <w:b/>
                <w:bCs/>
                <w:color w:val="000000" w:themeColor="text1"/>
                <w:kern w:val="0"/>
                <w:sz w:val="24"/>
                <w:szCs w:val="24"/>
                <w:lang w:val="en-US" w:eastAsia="zh-CN" w:bidi="ar"/>
                <w14:textFill>
                  <w14:solidFill>
                    <w14:schemeClr w14:val="tx1"/>
                  </w14:solidFill>
                </w14:textFill>
              </w:rPr>
              <w:t>7.</w:t>
            </w:r>
            <w:r>
              <w:rPr>
                <w:rFonts w:hint="eastAsia" w:eastAsia="新宋体" w:cs="Times New Roman"/>
                <w:b/>
                <w:bCs/>
                <w:color w:val="000000" w:themeColor="text1"/>
                <w:kern w:val="0"/>
                <w:sz w:val="24"/>
                <w:szCs w:val="24"/>
                <w:lang w:val="en-US" w:eastAsia="zh-CN" w:bidi="ar"/>
                <w14:textFill>
                  <w14:solidFill>
                    <w14:schemeClr w14:val="tx1"/>
                  </w14:solidFill>
                </w14:textFill>
              </w:rPr>
              <w:t>4</w:t>
            </w:r>
            <w:r>
              <w:rPr>
                <w:rFonts w:hint="default" w:ascii="Times New Roman" w:hAnsi="Times New Roman" w:eastAsia="新宋体" w:cs="Times New Roman"/>
                <w:b/>
                <w:bCs/>
                <w:color w:val="000000" w:themeColor="text1"/>
                <w:kern w:val="0"/>
                <w:sz w:val="24"/>
                <w:szCs w:val="24"/>
                <w:lang w:val="en-US" w:eastAsia="zh-CN" w:bidi="ar"/>
                <w14:textFill>
                  <w14:solidFill>
                    <w14:schemeClr w14:val="tx1"/>
                  </w14:solidFill>
                </w14:textFill>
              </w:rPr>
              <w:t>风险分析结论</w:t>
            </w:r>
          </w:p>
          <w:p w14:paraId="32A78AFA">
            <w:pPr>
              <w:keepNext w:val="0"/>
              <w:keepLines w:val="0"/>
              <w:widowControl/>
              <w:suppressLineNumbers w:val="0"/>
              <w:jc w:val="left"/>
              <w:rPr>
                <w:rFonts w:hint="default" w:ascii="Times New Roman" w:hAnsi="Times New Roman" w:eastAsia="新宋体" w:cs="Times New Roman"/>
                <w:color w:val="000000" w:themeColor="text1"/>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建设单位将严格采取实施上述提出的要求措施后，可有效防止项目产生</w:t>
            </w:r>
            <w:r>
              <w:rPr>
                <w:rFonts w:hint="eastAsia" w:eastAsia="新宋体" w:cs="Times New Roman"/>
                <w:color w:val="000000" w:themeColor="text1"/>
                <w:kern w:val="0"/>
                <w:sz w:val="24"/>
                <w:szCs w:val="24"/>
                <w:lang w:val="en-US" w:eastAsia="zh-CN" w:bidi="ar"/>
                <w14:textFill>
                  <w14:solidFill>
                    <w14:schemeClr w14:val="tx1"/>
                  </w14:solidFill>
                </w14:textFill>
              </w:rPr>
              <w:t>的污</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染物进入环境，有效降低了对周围环境存在的风险影响。并且通过上述措施，建设单位可将环境风险危害和环境污染风险降到最低，不会对人体、水体、大气、土壤等造成明显危害。项目环境风险潜势为Ⅰ，控制措施有效，环境风险可防控。</w:t>
            </w:r>
          </w:p>
          <w:p w14:paraId="1F06072A">
            <w:pPr>
              <w:pStyle w:val="84"/>
              <w:spacing w:before="179" w:line="222" w:lineRule="auto"/>
              <w:ind w:left="2068"/>
              <w:rPr>
                <w:rFonts w:hint="default" w:ascii="Times New Roman" w:hAnsi="Times New Roman" w:eastAsia="新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新宋体" w:cs="Times New Roman"/>
                <w:b/>
                <w:bCs/>
                <w:color w:val="000000" w:themeColor="text1"/>
                <w:kern w:val="2"/>
                <w:sz w:val="21"/>
                <w:szCs w:val="21"/>
                <w:highlight w:val="none"/>
                <w:lang w:val="en-US" w:eastAsia="zh-CN" w:bidi="ar-SA"/>
                <w14:textFill>
                  <w14:solidFill>
                    <w14:schemeClr w14:val="tx1"/>
                  </w14:solidFill>
                </w14:textFill>
              </w:rPr>
              <w:t>表4</w:t>
            </w:r>
            <w:r>
              <w:rPr>
                <w:rFonts w:hint="eastAsia" w:ascii="Times New Roman" w:hAnsi="Times New Roman" w:eastAsia="新宋体" w:cs="Times New Roman"/>
                <w:b/>
                <w:bCs/>
                <w:color w:val="000000" w:themeColor="text1"/>
                <w:kern w:val="2"/>
                <w:sz w:val="21"/>
                <w:szCs w:val="21"/>
                <w:highlight w:val="none"/>
                <w:lang w:val="en-US" w:eastAsia="zh-CN" w:bidi="ar-SA"/>
                <w14:textFill>
                  <w14:solidFill>
                    <w14:schemeClr w14:val="tx1"/>
                  </w14:solidFill>
                </w14:textFill>
              </w:rPr>
              <w:t>-19</w:t>
            </w:r>
            <w:r>
              <w:rPr>
                <w:rFonts w:hint="default" w:ascii="Times New Roman" w:hAnsi="Times New Roman" w:eastAsia="新宋体" w:cs="Times New Roman"/>
                <w:b/>
                <w:bCs/>
                <w:color w:val="000000" w:themeColor="text1"/>
                <w:kern w:val="2"/>
                <w:sz w:val="21"/>
                <w:szCs w:val="21"/>
                <w:highlight w:val="none"/>
                <w:lang w:val="en-US" w:eastAsia="zh-CN" w:bidi="ar-SA"/>
                <w14:textFill>
                  <w14:solidFill>
                    <w14:schemeClr w14:val="tx1"/>
                  </w14:solidFill>
                </w14:textFill>
              </w:rPr>
              <w:t>建设项目环境风险简单分析内容表</w:t>
            </w:r>
          </w:p>
          <w:tbl>
            <w:tblPr>
              <w:tblStyle w:val="83"/>
              <w:tblW w:w="4999"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456"/>
              <w:gridCol w:w="1062"/>
              <w:gridCol w:w="2333"/>
              <w:gridCol w:w="799"/>
              <w:gridCol w:w="2213"/>
            </w:tblGrid>
            <w:tr w14:paraId="61E53AD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926" w:type="pct"/>
                  <w:tcBorders>
                    <w:tl2br w:val="nil"/>
                    <w:tr2bl w:val="nil"/>
                  </w:tcBorders>
                  <w:vAlign w:val="center"/>
                </w:tcPr>
                <w:p w14:paraId="0DD29E50">
                  <w:pPr>
                    <w:spacing w:line="240" w:lineRule="auto"/>
                    <w:ind w:left="0" w:leftChars="0" w:firstLine="0" w:firstLineChars="0"/>
                    <w:jc w:val="center"/>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建设项目名称</w:t>
                  </w:r>
                </w:p>
              </w:tc>
              <w:tc>
                <w:tcPr>
                  <w:tcW w:w="4073" w:type="pct"/>
                  <w:gridSpan w:val="4"/>
                  <w:tcBorders>
                    <w:tl2br w:val="nil"/>
                    <w:tr2bl w:val="nil"/>
                  </w:tcBorders>
                  <w:vAlign w:val="center"/>
                </w:tcPr>
                <w:p w14:paraId="70FDCA8C">
                  <w:pPr>
                    <w:spacing w:line="240" w:lineRule="auto"/>
                    <w:ind w:left="0" w:leftChars="0" w:firstLine="0" w:firstLineChars="0"/>
                    <w:jc w:val="center"/>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和硕县建司预制厂生产项目</w:t>
                  </w:r>
                </w:p>
              </w:tc>
            </w:tr>
            <w:tr w14:paraId="0D781BF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926" w:type="pct"/>
                  <w:tcBorders>
                    <w:tl2br w:val="nil"/>
                    <w:tr2bl w:val="nil"/>
                  </w:tcBorders>
                  <w:vAlign w:val="center"/>
                </w:tcPr>
                <w:p w14:paraId="2C588148">
                  <w:pPr>
                    <w:spacing w:line="240" w:lineRule="auto"/>
                    <w:ind w:left="0" w:leftChars="0" w:firstLine="0" w:firstLineChars="0"/>
                    <w:jc w:val="center"/>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建设地点</w:t>
                  </w:r>
                </w:p>
              </w:tc>
              <w:tc>
                <w:tcPr>
                  <w:tcW w:w="4073" w:type="pct"/>
                  <w:gridSpan w:val="4"/>
                  <w:tcBorders>
                    <w:tl2br w:val="nil"/>
                    <w:tr2bl w:val="nil"/>
                  </w:tcBorders>
                  <w:vAlign w:val="center"/>
                </w:tcPr>
                <w:p w14:paraId="7A66D671">
                  <w:pPr>
                    <w:spacing w:line="240" w:lineRule="auto"/>
                    <w:ind w:left="0" w:leftChars="0" w:firstLine="0" w:firstLineChars="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新疆</w:t>
                  </w:r>
                  <w:r>
                    <w:rPr>
                      <w:rFonts w:hint="default" w:ascii="Times New Roman" w:hAnsi="Times New Roman" w:eastAsia="新宋体" w:cs="Times New Roman"/>
                      <w:color w:val="000000" w:themeColor="text1"/>
                      <w:sz w:val="21"/>
                      <w:szCs w:val="21"/>
                      <w14:textFill>
                        <w14:solidFill>
                          <w14:schemeClr w14:val="tx1"/>
                        </w14:solidFill>
                      </w14:textFill>
                    </w:rPr>
                    <w:t>维吾尔自治区巴音郭楞蒙古自治州和硕县水磨街</w:t>
                  </w:r>
                  <w:r>
                    <w:rPr>
                      <w:rFonts w:hint="eastAsia" w:eastAsia="新宋体" w:cs="Times New Roman"/>
                      <w:color w:val="000000" w:themeColor="text1"/>
                      <w:sz w:val="21"/>
                      <w:szCs w:val="21"/>
                      <w:lang w:val="en-US" w:eastAsia="zh-CN"/>
                      <w14:textFill>
                        <w14:solidFill>
                          <w14:schemeClr w14:val="tx1"/>
                        </w14:solidFill>
                      </w14:textFill>
                    </w:rPr>
                    <w:t>13号</w:t>
                  </w:r>
                </w:p>
              </w:tc>
            </w:tr>
            <w:tr w14:paraId="019BCCE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926" w:type="pct"/>
                  <w:tcBorders>
                    <w:tl2br w:val="nil"/>
                    <w:tr2bl w:val="nil"/>
                  </w:tcBorders>
                  <w:vAlign w:val="center"/>
                </w:tcPr>
                <w:p w14:paraId="51884B53">
                  <w:pPr>
                    <w:spacing w:line="240" w:lineRule="auto"/>
                    <w:ind w:left="0" w:leftChars="0" w:firstLine="0" w:firstLineChars="0"/>
                    <w:jc w:val="center"/>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地理坐标</w:t>
                  </w:r>
                </w:p>
              </w:tc>
              <w:tc>
                <w:tcPr>
                  <w:tcW w:w="675" w:type="pct"/>
                  <w:tcBorders>
                    <w:tl2br w:val="nil"/>
                    <w:tr2bl w:val="nil"/>
                  </w:tcBorders>
                  <w:vAlign w:val="center"/>
                </w:tcPr>
                <w:p w14:paraId="08BF8032">
                  <w:pPr>
                    <w:spacing w:line="240" w:lineRule="auto"/>
                    <w:ind w:left="0" w:leftChars="0" w:firstLine="0" w:firstLineChars="0"/>
                    <w:jc w:val="center"/>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经度</w:t>
                  </w:r>
                </w:p>
              </w:tc>
              <w:tc>
                <w:tcPr>
                  <w:tcW w:w="1483" w:type="pct"/>
                  <w:tcBorders>
                    <w:tl2br w:val="nil"/>
                    <w:tr2bl w:val="nil"/>
                  </w:tcBorders>
                  <w:vAlign w:val="center"/>
                </w:tcPr>
                <w:p w14:paraId="494FC873">
                  <w:pPr>
                    <w:spacing w:line="240" w:lineRule="auto"/>
                    <w:ind w:left="0" w:leftChars="0" w:firstLine="0" w:firstLineChars="0"/>
                    <w:jc w:val="center"/>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E86°51′52.151″</w:t>
                  </w:r>
                </w:p>
              </w:tc>
              <w:tc>
                <w:tcPr>
                  <w:tcW w:w="508" w:type="pct"/>
                  <w:tcBorders>
                    <w:tl2br w:val="nil"/>
                    <w:tr2bl w:val="nil"/>
                  </w:tcBorders>
                  <w:vAlign w:val="center"/>
                </w:tcPr>
                <w:p w14:paraId="2B4788C9">
                  <w:pPr>
                    <w:spacing w:line="240" w:lineRule="auto"/>
                    <w:ind w:left="0" w:leftChars="0" w:firstLine="0" w:firstLineChars="0"/>
                    <w:jc w:val="center"/>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纬度</w:t>
                  </w:r>
                </w:p>
              </w:tc>
              <w:tc>
                <w:tcPr>
                  <w:tcW w:w="1406" w:type="pct"/>
                  <w:tcBorders>
                    <w:tl2br w:val="nil"/>
                    <w:tr2bl w:val="nil"/>
                  </w:tcBorders>
                  <w:vAlign w:val="center"/>
                </w:tcPr>
                <w:p w14:paraId="53CBB4EA">
                  <w:pPr>
                    <w:spacing w:line="240" w:lineRule="auto"/>
                    <w:ind w:left="0" w:leftChars="0" w:firstLine="0" w:firstLineChars="0"/>
                    <w:jc w:val="center"/>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N42°17′33.754″</w:t>
                  </w:r>
                </w:p>
              </w:tc>
            </w:tr>
            <w:tr w14:paraId="481FF22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926" w:type="pct"/>
                  <w:tcBorders>
                    <w:tl2br w:val="nil"/>
                    <w:tr2bl w:val="nil"/>
                  </w:tcBorders>
                  <w:vAlign w:val="center"/>
                </w:tcPr>
                <w:p w14:paraId="51A3B9D9">
                  <w:pPr>
                    <w:spacing w:line="240" w:lineRule="auto"/>
                    <w:ind w:left="0" w:leftChars="0" w:firstLine="0" w:firstLineChars="0"/>
                    <w:jc w:val="center"/>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主要危险物质及分布</w:t>
                  </w:r>
                </w:p>
              </w:tc>
              <w:tc>
                <w:tcPr>
                  <w:tcW w:w="4073" w:type="pct"/>
                  <w:gridSpan w:val="4"/>
                  <w:tcBorders>
                    <w:tl2br w:val="nil"/>
                    <w:tr2bl w:val="nil"/>
                  </w:tcBorders>
                  <w:vAlign w:val="center"/>
                </w:tcPr>
                <w:p w14:paraId="66E30D34">
                  <w:pPr>
                    <w:spacing w:line="240" w:lineRule="auto"/>
                    <w:ind w:left="0" w:leftChars="0" w:firstLine="0" w:firstLineChars="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主要危险物质：废机油</w:t>
                  </w:r>
                  <w:r>
                    <w:rPr>
                      <w:rFonts w:hint="eastAsia" w:eastAsia="新宋体" w:cs="Times New Roman"/>
                      <w:color w:val="000000" w:themeColor="text1"/>
                      <w:sz w:val="21"/>
                      <w:szCs w:val="21"/>
                      <w:lang w:eastAsia="zh-CN"/>
                      <w14:textFill>
                        <w14:solidFill>
                          <w14:schemeClr w14:val="tx1"/>
                        </w14:solidFill>
                      </w14:textFill>
                    </w:rPr>
                    <w:t>、</w:t>
                  </w:r>
                  <w:r>
                    <w:rPr>
                      <w:rFonts w:hint="eastAsia" w:eastAsia="新宋体" w:cs="Times New Roman"/>
                      <w:color w:val="000000" w:themeColor="text1"/>
                      <w:sz w:val="21"/>
                      <w:szCs w:val="21"/>
                      <w:lang w:val="en-US" w:eastAsia="zh-CN"/>
                      <w14:textFill>
                        <w14:solidFill>
                          <w14:schemeClr w14:val="tx1"/>
                        </w14:solidFill>
                      </w14:textFill>
                    </w:rPr>
                    <w:t>脱模剂</w:t>
                  </w:r>
                </w:p>
                <w:p w14:paraId="5EFD91D8">
                  <w:pPr>
                    <w:spacing w:line="240" w:lineRule="auto"/>
                    <w:ind w:left="0" w:leftChars="0" w:firstLine="0" w:firstLineChars="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分布：生产设备</w:t>
                  </w:r>
                  <w:r>
                    <w:rPr>
                      <w:rFonts w:hint="eastAsia" w:eastAsia="新宋体" w:cs="Times New Roman"/>
                      <w:color w:val="000000" w:themeColor="text1"/>
                      <w:sz w:val="21"/>
                      <w:szCs w:val="21"/>
                      <w:lang w:eastAsia="zh-CN"/>
                      <w14:textFill>
                        <w14:solidFill>
                          <w14:schemeClr w14:val="tx1"/>
                        </w14:solidFill>
                      </w14:textFill>
                    </w:rPr>
                    <w:t>、</w:t>
                  </w:r>
                  <w:r>
                    <w:rPr>
                      <w:rFonts w:hint="eastAsia" w:eastAsia="新宋体" w:cs="Times New Roman"/>
                      <w:color w:val="000000" w:themeColor="text1"/>
                      <w:sz w:val="21"/>
                      <w:szCs w:val="21"/>
                      <w:lang w:val="en-US" w:eastAsia="zh-CN"/>
                      <w14:textFill>
                        <w14:solidFill>
                          <w14:schemeClr w14:val="tx1"/>
                        </w14:solidFill>
                      </w14:textFill>
                    </w:rPr>
                    <w:t>库房</w:t>
                  </w:r>
                </w:p>
              </w:tc>
            </w:tr>
            <w:tr w14:paraId="28281A5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817" w:hRule="atLeast"/>
              </w:trPr>
              <w:tc>
                <w:tcPr>
                  <w:tcW w:w="926" w:type="pct"/>
                  <w:tcBorders>
                    <w:tl2br w:val="nil"/>
                    <w:tr2bl w:val="nil"/>
                  </w:tcBorders>
                  <w:vAlign w:val="center"/>
                </w:tcPr>
                <w:p w14:paraId="0AE1138A">
                  <w:pPr>
                    <w:spacing w:line="240" w:lineRule="auto"/>
                    <w:ind w:left="0" w:leftChars="0" w:firstLine="0" w:firstLineChars="0"/>
                    <w:jc w:val="center"/>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环境影响途径及危害后果</w:t>
                  </w:r>
                </w:p>
              </w:tc>
              <w:tc>
                <w:tcPr>
                  <w:tcW w:w="4073" w:type="pct"/>
                  <w:gridSpan w:val="4"/>
                  <w:tcBorders>
                    <w:tl2br w:val="nil"/>
                    <w:tr2bl w:val="nil"/>
                  </w:tcBorders>
                  <w:vAlign w:val="center"/>
                </w:tcPr>
                <w:p w14:paraId="633CF793">
                  <w:pPr>
                    <w:spacing w:line="240" w:lineRule="auto"/>
                    <w:ind w:left="0" w:leftChars="0" w:firstLine="0" w:firstLineChars="0"/>
                    <w:jc w:val="center"/>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一旦废机油泄漏、火灾引发的次生污染，将会给附近地下水、大气、土壤带来一定污染，短时间难以得到修复</w:t>
                  </w:r>
                </w:p>
              </w:tc>
            </w:tr>
            <w:tr w14:paraId="4EB72ED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926" w:type="pct"/>
                  <w:tcBorders>
                    <w:tl2br w:val="nil"/>
                    <w:tr2bl w:val="nil"/>
                  </w:tcBorders>
                  <w:vAlign w:val="center"/>
                </w:tcPr>
                <w:p w14:paraId="2FF3F96E">
                  <w:pPr>
                    <w:spacing w:line="240" w:lineRule="auto"/>
                    <w:ind w:left="0" w:leftChars="0" w:firstLine="0" w:firstLineChars="0"/>
                    <w:jc w:val="center"/>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风险防范措施要求</w:t>
                  </w:r>
                </w:p>
              </w:tc>
              <w:tc>
                <w:tcPr>
                  <w:tcW w:w="4073" w:type="pct"/>
                  <w:gridSpan w:val="4"/>
                  <w:tcBorders>
                    <w:tl2br w:val="nil"/>
                    <w:tr2bl w:val="nil"/>
                  </w:tcBorders>
                  <w:vAlign w:val="center"/>
                </w:tcPr>
                <w:p w14:paraId="58D21CB3">
                  <w:pPr>
                    <w:spacing w:line="240" w:lineRule="auto"/>
                    <w:ind w:left="0" w:leftChars="0" w:firstLine="0" w:firstLineChars="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详见报告章节</w:t>
                  </w:r>
                  <w:r>
                    <w:rPr>
                      <w:rFonts w:hint="eastAsia" w:eastAsia="新宋体" w:cs="Times New Roman"/>
                      <w:color w:val="000000" w:themeColor="text1"/>
                      <w:sz w:val="21"/>
                      <w:szCs w:val="21"/>
                      <w:lang w:val="en-US" w:eastAsia="zh-CN"/>
                      <w14:textFill>
                        <w14:solidFill>
                          <w14:schemeClr w14:val="tx1"/>
                        </w14:solidFill>
                      </w14:textFill>
                    </w:rPr>
                    <w:t>7.3</w:t>
                  </w:r>
                </w:p>
              </w:tc>
            </w:tr>
            <w:tr w14:paraId="083BACF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841" w:hRule="atLeast"/>
              </w:trPr>
              <w:tc>
                <w:tcPr>
                  <w:tcW w:w="926" w:type="pct"/>
                  <w:tcBorders>
                    <w:tl2br w:val="nil"/>
                    <w:tr2bl w:val="nil"/>
                  </w:tcBorders>
                  <w:vAlign w:val="center"/>
                </w:tcPr>
                <w:p w14:paraId="21A3B757">
                  <w:pPr>
                    <w:spacing w:line="240" w:lineRule="auto"/>
                    <w:ind w:left="0" w:leftChars="0" w:firstLine="0" w:firstLineChars="0"/>
                    <w:jc w:val="center"/>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填表说明</w:t>
                  </w:r>
                </w:p>
              </w:tc>
              <w:tc>
                <w:tcPr>
                  <w:tcW w:w="4073" w:type="pct"/>
                  <w:gridSpan w:val="4"/>
                  <w:tcBorders>
                    <w:tl2br w:val="nil"/>
                    <w:tr2bl w:val="nil"/>
                  </w:tcBorders>
                  <w:vAlign w:val="center"/>
                </w:tcPr>
                <w:p w14:paraId="3738AA76">
                  <w:pPr>
                    <w:spacing w:line="240" w:lineRule="auto"/>
                    <w:ind w:left="0" w:leftChars="0" w:firstLine="0" w:firstLineChars="0"/>
                    <w:jc w:val="center"/>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本项目</w:t>
                  </w:r>
                  <w:r>
                    <w:rPr>
                      <w:rFonts w:hint="eastAsia" w:eastAsia="新宋体" w:cs="Times New Roman"/>
                      <w:color w:val="000000" w:themeColor="text1"/>
                      <w:sz w:val="21"/>
                      <w:szCs w:val="21"/>
                      <w:lang w:eastAsia="zh-CN"/>
                      <w14:textFill>
                        <w14:solidFill>
                          <w14:schemeClr w14:val="tx1"/>
                        </w14:solidFill>
                      </w14:textFill>
                    </w:rPr>
                    <w:t>主要</w:t>
                  </w:r>
                  <w:r>
                    <w:rPr>
                      <w:rFonts w:hint="default" w:ascii="Times New Roman" w:hAnsi="Times New Roman" w:eastAsia="新宋体" w:cs="Times New Roman"/>
                      <w:color w:val="000000" w:themeColor="text1"/>
                      <w:sz w:val="21"/>
                      <w:szCs w:val="21"/>
                      <w14:textFill>
                        <w14:solidFill>
                          <w14:schemeClr w14:val="tx1"/>
                        </w14:solidFill>
                      </w14:textFill>
                    </w:rPr>
                    <w:t>涉及的危险物质泄漏可能性小，所涉及工艺较成熟，</w:t>
                  </w:r>
                </w:p>
                <w:p w14:paraId="7AA075A4">
                  <w:pPr>
                    <w:spacing w:line="240" w:lineRule="auto"/>
                    <w:ind w:left="0" w:leftChars="0" w:firstLine="0" w:firstLineChars="0"/>
                    <w:jc w:val="center"/>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危险性较低，环境敏感度较低。并且项目风险潜势为I，可开展简单分析。</w:t>
                  </w:r>
                </w:p>
              </w:tc>
            </w:tr>
          </w:tbl>
          <w:p w14:paraId="01FAF379">
            <w:pPr>
              <w:pStyle w:val="84"/>
              <w:keepNext w:val="0"/>
              <w:keepLines w:val="0"/>
              <w:pageBreakBefore w:val="0"/>
              <w:widowControl w:val="0"/>
              <w:kinsoku/>
              <w:wordWrap/>
              <w:overflowPunct/>
              <w:topLinePunct w:val="0"/>
              <w:autoSpaceDE/>
              <w:autoSpaceDN/>
              <w:bidi w:val="0"/>
              <w:adjustRightInd/>
              <w:snapToGrid/>
              <w:spacing w:line="360" w:lineRule="auto"/>
              <w:ind w:left="0"/>
              <w:jc w:val="left"/>
              <w:textAlignment w:val="auto"/>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因此，本项目严格采取上述措施以后，运营期间发生环境风险概率较</w:t>
            </w:r>
            <w:r>
              <w:rPr>
                <w:rFonts w:hint="eastAsia" w:ascii="Times New Roman" w:hAnsi="Times New Roman" w:eastAsia="新宋体" w:cs="Times New Roman"/>
                <w:color w:val="000000" w:themeColor="text1"/>
                <w:kern w:val="0"/>
                <w:sz w:val="24"/>
                <w:szCs w:val="24"/>
                <w:lang w:val="en-US" w:eastAsia="zh-CN" w:bidi="ar"/>
                <w14:textFill>
                  <w14:solidFill>
                    <w14:schemeClr w14:val="tx1"/>
                  </w14:solidFill>
                </w14:textFill>
              </w:rPr>
              <w:t>小，所以</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本项目的事故风险水平是可以接受的。</w:t>
            </w:r>
          </w:p>
          <w:p w14:paraId="7BEC0494">
            <w:pPr>
              <w:keepNext w:val="0"/>
              <w:keepLines w:val="0"/>
              <w:widowControl w:val="0"/>
              <w:suppressLineNumbers w:val="0"/>
              <w:spacing w:before="0" w:beforeAutospacing="0" w:after="0" w:afterAutospacing="0" w:line="360" w:lineRule="auto"/>
              <w:ind w:left="0" w:right="0"/>
              <w:jc w:val="both"/>
              <w:textAlignment w:val="center"/>
              <w:rPr>
                <w:rFonts w:hint="default" w:ascii="Times New Roman" w:hAnsi="Times New Roman" w:eastAsia="新宋体" w:cs="Times New Roman"/>
                <w:b/>
                <w:bCs/>
                <w:color w:val="000000" w:themeColor="text1"/>
                <w:sz w:val="24"/>
                <w:szCs w:val="24"/>
                <w:lang w:val="en-US"/>
                <w14:textFill>
                  <w14:solidFill>
                    <w14:schemeClr w14:val="tx1"/>
                  </w14:solidFill>
                </w14:textFill>
              </w:rPr>
            </w:pPr>
            <w:r>
              <w:rPr>
                <w:rFonts w:hint="default" w:ascii="Times New Roman" w:hAnsi="Times New Roman" w:eastAsia="新宋体" w:cs="Times New Roman"/>
                <w:b/>
                <w:bCs/>
                <w:color w:val="000000" w:themeColor="text1"/>
                <w:sz w:val="24"/>
                <w:szCs w:val="24"/>
                <w:lang w:val="en-US" w:eastAsia="zh-CN"/>
                <w14:textFill>
                  <w14:solidFill>
                    <w14:schemeClr w14:val="tx1"/>
                  </w14:solidFill>
                </w14:textFill>
              </w:rPr>
              <w:t>8、环保投资一览表</w:t>
            </w:r>
          </w:p>
          <w:p w14:paraId="38DA4B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新宋体" w:cs="Times New Roman"/>
                <w:b/>
                <w:bCs/>
                <w:color w:val="000000" w:themeColor="text1"/>
                <w:sz w:val="21"/>
                <w:szCs w:val="21"/>
                <w14:textFill>
                  <w14:solidFill>
                    <w14:schemeClr w14:val="tx1"/>
                  </w14:solidFill>
                </w14:textFill>
              </w:rPr>
            </w:pPr>
            <w:r>
              <w:rPr>
                <w:rFonts w:hint="default" w:ascii="Times New Roman" w:hAnsi="Times New Roman" w:eastAsia="新宋体" w:cs="Times New Roman"/>
                <w:b/>
                <w:bCs/>
                <w:color w:val="000000" w:themeColor="text1"/>
                <w:sz w:val="21"/>
                <w:szCs w:val="21"/>
                <w14:textFill>
                  <w14:solidFill>
                    <w14:schemeClr w14:val="tx1"/>
                  </w14:solidFill>
                </w14:textFill>
              </w:rPr>
              <w:t>表4</w:t>
            </w:r>
            <w:r>
              <w:rPr>
                <w:rFonts w:hint="default" w:ascii="Times New Roman" w:hAnsi="Times New Roman" w:eastAsia="新宋体" w:cs="Times New Roman"/>
                <w:b/>
                <w:bCs/>
                <w:color w:val="000000" w:themeColor="text1"/>
                <w:sz w:val="21"/>
                <w:szCs w:val="21"/>
                <w:lang w:val="en-US" w:eastAsia="zh-CN"/>
                <w14:textFill>
                  <w14:solidFill>
                    <w14:schemeClr w14:val="tx1"/>
                  </w14:solidFill>
                </w14:textFill>
              </w:rPr>
              <w:t>-</w:t>
            </w:r>
            <w:r>
              <w:rPr>
                <w:rFonts w:hint="eastAsia" w:eastAsia="新宋体" w:cs="Times New Roman"/>
                <w:b/>
                <w:bCs/>
                <w:color w:val="000000" w:themeColor="text1"/>
                <w:sz w:val="21"/>
                <w:szCs w:val="21"/>
                <w:lang w:val="en-US" w:eastAsia="zh-CN"/>
                <w14:textFill>
                  <w14:solidFill>
                    <w14:schemeClr w14:val="tx1"/>
                  </w14:solidFill>
                </w14:textFill>
              </w:rPr>
              <w:t>20</w:t>
            </w:r>
            <w:r>
              <w:rPr>
                <w:rFonts w:hint="default" w:ascii="Times New Roman" w:hAnsi="Times New Roman" w:eastAsia="新宋体" w:cs="Times New Roman"/>
                <w:b/>
                <w:bCs/>
                <w:color w:val="000000" w:themeColor="text1"/>
                <w:sz w:val="21"/>
                <w:szCs w:val="21"/>
                <w14:textFill>
                  <w14:solidFill>
                    <w14:schemeClr w14:val="tx1"/>
                  </w14:solidFill>
                </w14:textFill>
              </w:rPr>
              <w:t>环保措施投资明细表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 w:type="dxa"/>
                <w:bottom w:w="0" w:type="dxa"/>
                <w:right w:w="10" w:type="dxa"/>
              </w:tblCellMar>
            </w:tblPr>
            <w:tblGrid>
              <w:gridCol w:w="446"/>
              <w:gridCol w:w="752"/>
              <w:gridCol w:w="4566"/>
              <w:gridCol w:w="956"/>
              <w:gridCol w:w="1142"/>
            </w:tblGrid>
            <w:tr w14:paraId="1EC99B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284" w:type="pct"/>
                  <w:tcBorders>
                    <w:tl2br w:val="nil"/>
                    <w:tr2bl w:val="nil"/>
                  </w:tcBorders>
                  <w:vAlign w:val="center"/>
                </w:tcPr>
                <w:p w14:paraId="60C4812F">
                  <w:pPr>
                    <w:spacing w:line="240" w:lineRule="auto"/>
                    <w:ind w:left="0" w:leftChars="0" w:firstLine="0" w:firstLineChars="0"/>
                    <w:jc w:val="center"/>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序号</w:t>
                  </w:r>
                </w:p>
              </w:tc>
              <w:tc>
                <w:tcPr>
                  <w:tcW w:w="478" w:type="pct"/>
                  <w:tcBorders>
                    <w:tl2br w:val="nil"/>
                    <w:tr2bl w:val="nil"/>
                  </w:tcBorders>
                  <w:vAlign w:val="center"/>
                </w:tcPr>
                <w:p w14:paraId="5DDBAB4B">
                  <w:pPr>
                    <w:spacing w:line="240" w:lineRule="auto"/>
                    <w:ind w:left="0" w:leftChars="0" w:firstLine="0" w:firstLineChars="0"/>
                    <w:jc w:val="center"/>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污染源</w:t>
                  </w:r>
                </w:p>
              </w:tc>
              <w:tc>
                <w:tcPr>
                  <w:tcW w:w="2903" w:type="pct"/>
                  <w:tcBorders>
                    <w:tl2br w:val="nil"/>
                    <w:tr2bl w:val="nil"/>
                  </w:tcBorders>
                  <w:vAlign w:val="center"/>
                </w:tcPr>
                <w:p w14:paraId="52802B4C">
                  <w:pPr>
                    <w:spacing w:line="240" w:lineRule="auto"/>
                    <w:ind w:left="0" w:leftChars="0" w:firstLine="0" w:firstLineChars="0"/>
                    <w:jc w:val="center"/>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治理措施或设施</w:t>
                  </w:r>
                </w:p>
              </w:tc>
              <w:tc>
                <w:tcPr>
                  <w:tcW w:w="607" w:type="pct"/>
                  <w:tcBorders>
                    <w:tl2br w:val="nil"/>
                    <w:tr2bl w:val="nil"/>
                  </w:tcBorders>
                  <w:vAlign w:val="center"/>
                </w:tcPr>
                <w:p w14:paraId="7E32E3EE">
                  <w:pPr>
                    <w:spacing w:line="240" w:lineRule="auto"/>
                    <w:ind w:left="0" w:leftChars="0" w:firstLine="0" w:firstLineChars="0"/>
                    <w:jc w:val="center"/>
                    <w:rPr>
                      <w:rFonts w:hint="eastAsia"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备注</w:t>
                  </w:r>
                </w:p>
              </w:tc>
              <w:tc>
                <w:tcPr>
                  <w:tcW w:w="726" w:type="pct"/>
                  <w:tcBorders>
                    <w:tl2br w:val="nil"/>
                    <w:tr2bl w:val="nil"/>
                  </w:tcBorders>
                  <w:vAlign w:val="center"/>
                </w:tcPr>
                <w:p w14:paraId="2A2CA089">
                  <w:pPr>
                    <w:spacing w:line="240" w:lineRule="auto"/>
                    <w:ind w:left="0" w:leftChars="0" w:firstLine="0" w:firstLineChars="0"/>
                    <w:jc w:val="center"/>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投资金额（万元）</w:t>
                  </w:r>
                </w:p>
              </w:tc>
            </w:tr>
            <w:tr w14:paraId="42D1D9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284" w:type="pct"/>
                  <w:vMerge w:val="restart"/>
                  <w:tcBorders>
                    <w:tl2br w:val="nil"/>
                    <w:tr2bl w:val="nil"/>
                  </w:tcBorders>
                  <w:vAlign w:val="center"/>
                </w:tcPr>
                <w:p w14:paraId="0C12D71D">
                  <w:pPr>
                    <w:spacing w:line="240" w:lineRule="auto"/>
                    <w:ind w:left="0" w:leftChars="0" w:firstLine="0" w:firstLineChars="0"/>
                    <w:jc w:val="center"/>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1</w:t>
                  </w:r>
                </w:p>
              </w:tc>
              <w:tc>
                <w:tcPr>
                  <w:tcW w:w="478" w:type="pct"/>
                  <w:vMerge w:val="restart"/>
                  <w:tcBorders>
                    <w:tl2br w:val="nil"/>
                    <w:tr2bl w:val="nil"/>
                  </w:tcBorders>
                  <w:vAlign w:val="center"/>
                </w:tcPr>
                <w:p w14:paraId="49DB6D41">
                  <w:pPr>
                    <w:spacing w:line="240" w:lineRule="auto"/>
                    <w:ind w:left="0" w:leftChars="0" w:firstLine="0" w:firstLineChars="0"/>
                    <w:jc w:val="center"/>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废水</w:t>
                  </w:r>
                </w:p>
              </w:tc>
              <w:tc>
                <w:tcPr>
                  <w:tcW w:w="2903" w:type="pct"/>
                  <w:tcBorders>
                    <w:tl2br w:val="nil"/>
                    <w:tr2bl w:val="nil"/>
                  </w:tcBorders>
                  <w:vAlign w:val="center"/>
                </w:tcPr>
                <w:p w14:paraId="58E48D2D">
                  <w:pPr>
                    <w:spacing w:line="240" w:lineRule="auto"/>
                    <w:ind w:left="0" w:leftChars="0" w:firstLine="0" w:firstLineChars="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施工临时沉淀池，沉淀后洒水降尘</w:t>
                  </w:r>
                </w:p>
              </w:tc>
              <w:tc>
                <w:tcPr>
                  <w:tcW w:w="607" w:type="pct"/>
                  <w:tcBorders>
                    <w:tl2br w:val="nil"/>
                    <w:tr2bl w:val="nil"/>
                  </w:tcBorders>
                  <w:vAlign w:val="center"/>
                </w:tcPr>
                <w:p w14:paraId="71EC58AA">
                  <w:pPr>
                    <w:spacing w:line="240" w:lineRule="auto"/>
                    <w:ind w:left="0" w:leftChars="0" w:firstLine="0" w:firstLineChars="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w:t>
                  </w:r>
                </w:p>
              </w:tc>
              <w:tc>
                <w:tcPr>
                  <w:tcW w:w="726" w:type="pct"/>
                  <w:tcBorders>
                    <w:tl2br w:val="nil"/>
                    <w:tr2bl w:val="nil"/>
                  </w:tcBorders>
                  <w:vAlign w:val="center"/>
                </w:tcPr>
                <w:p w14:paraId="52C6964C">
                  <w:pPr>
                    <w:spacing w:line="240" w:lineRule="auto"/>
                    <w:ind w:left="0" w:leftChars="0" w:firstLine="0" w:firstLineChars="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1.5</w:t>
                  </w:r>
                </w:p>
              </w:tc>
            </w:tr>
            <w:tr w14:paraId="593F99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284" w:type="pct"/>
                  <w:vMerge w:val="continue"/>
                  <w:tcBorders>
                    <w:tl2br w:val="nil"/>
                    <w:tr2bl w:val="nil"/>
                  </w:tcBorders>
                  <w:vAlign w:val="center"/>
                </w:tcPr>
                <w:p w14:paraId="39FC6DC1">
                  <w:pPr>
                    <w:spacing w:line="240" w:lineRule="auto"/>
                    <w:ind w:left="0" w:leftChars="0" w:firstLine="0" w:firstLineChars="0"/>
                    <w:jc w:val="center"/>
                    <w:rPr>
                      <w:rFonts w:hint="default" w:ascii="Times New Roman" w:hAnsi="Times New Roman" w:eastAsia="新宋体" w:cs="Times New Roman"/>
                      <w:color w:val="000000" w:themeColor="text1"/>
                      <w:sz w:val="21"/>
                      <w:szCs w:val="21"/>
                      <w14:textFill>
                        <w14:solidFill>
                          <w14:schemeClr w14:val="tx1"/>
                        </w14:solidFill>
                      </w14:textFill>
                    </w:rPr>
                  </w:pPr>
                </w:p>
              </w:tc>
              <w:tc>
                <w:tcPr>
                  <w:tcW w:w="478" w:type="pct"/>
                  <w:vMerge w:val="continue"/>
                  <w:tcBorders>
                    <w:tl2br w:val="nil"/>
                    <w:tr2bl w:val="nil"/>
                  </w:tcBorders>
                  <w:vAlign w:val="center"/>
                </w:tcPr>
                <w:p w14:paraId="0A23331F">
                  <w:pPr>
                    <w:spacing w:line="240" w:lineRule="auto"/>
                    <w:ind w:left="0" w:leftChars="0" w:firstLine="0" w:firstLineChars="0"/>
                    <w:jc w:val="center"/>
                    <w:rPr>
                      <w:rFonts w:hint="default" w:ascii="Times New Roman" w:hAnsi="Times New Roman" w:eastAsia="新宋体" w:cs="Times New Roman"/>
                      <w:color w:val="000000" w:themeColor="text1"/>
                      <w:sz w:val="21"/>
                      <w:szCs w:val="21"/>
                      <w14:textFill>
                        <w14:solidFill>
                          <w14:schemeClr w14:val="tx1"/>
                        </w14:solidFill>
                      </w14:textFill>
                    </w:rPr>
                  </w:pPr>
                </w:p>
              </w:tc>
              <w:tc>
                <w:tcPr>
                  <w:tcW w:w="2903" w:type="pct"/>
                  <w:tcBorders>
                    <w:tl2br w:val="nil"/>
                    <w:tr2bl w:val="nil"/>
                  </w:tcBorders>
                  <w:vAlign w:val="center"/>
                </w:tcPr>
                <w:p w14:paraId="795FC294">
                  <w:pPr>
                    <w:spacing w:line="240" w:lineRule="auto"/>
                    <w:ind w:left="0" w:leftChars="0" w:firstLine="0" w:firstLineChars="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养护区、洗车区设置防渗沉淀池</w:t>
                  </w:r>
                </w:p>
              </w:tc>
              <w:tc>
                <w:tcPr>
                  <w:tcW w:w="607" w:type="pct"/>
                  <w:tcBorders>
                    <w:tl2br w:val="nil"/>
                    <w:tr2bl w:val="nil"/>
                  </w:tcBorders>
                  <w:vAlign w:val="center"/>
                </w:tcPr>
                <w:p w14:paraId="76F95FCF">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w:t>
                  </w:r>
                </w:p>
              </w:tc>
              <w:tc>
                <w:tcPr>
                  <w:tcW w:w="726" w:type="pct"/>
                  <w:tcBorders>
                    <w:tl2br w:val="nil"/>
                    <w:tr2bl w:val="nil"/>
                  </w:tcBorders>
                  <w:vAlign w:val="center"/>
                </w:tcPr>
                <w:p w14:paraId="4A29BB8B">
                  <w:pPr>
                    <w:spacing w:line="240" w:lineRule="auto"/>
                    <w:ind w:left="0" w:leftChars="0" w:firstLine="0" w:firstLineChars="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2.0</w:t>
                  </w:r>
                </w:p>
              </w:tc>
            </w:tr>
            <w:tr w14:paraId="356B04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284" w:type="pct"/>
                  <w:vMerge w:val="restart"/>
                  <w:tcBorders>
                    <w:tl2br w:val="nil"/>
                    <w:tr2bl w:val="nil"/>
                  </w:tcBorders>
                  <w:vAlign w:val="center"/>
                </w:tcPr>
                <w:p w14:paraId="697D5AEE">
                  <w:pPr>
                    <w:spacing w:line="240" w:lineRule="auto"/>
                    <w:ind w:left="0" w:leftChars="0" w:firstLine="0" w:firstLineChars="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2</w:t>
                  </w:r>
                </w:p>
              </w:tc>
              <w:tc>
                <w:tcPr>
                  <w:tcW w:w="478" w:type="pct"/>
                  <w:vMerge w:val="restart"/>
                  <w:tcBorders>
                    <w:tl2br w:val="nil"/>
                    <w:tr2bl w:val="nil"/>
                  </w:tcBorders>
                  <w:vAlign w:val="center"/>
                </w:tcPr>
                <w:p w14:paraId="5C95457C">
                  <w:pPr>
                    <w:spacing w:line="240" w:lineRule="auto"/>
                    <w:ind w:left="0" w:leftChars="0" w:firstLine="0" w:firstLineChars="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无组织</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废气</w:t>
                  </w:r>
                </w:p>
              </w:tc>
              <w:tc>
                <w:tcPr>
                  <w:tcW w:w="2903" w:type="pct"/>
                  <w:tcBorders>
                    <w:tl2br w:val="nil"/>
                    <w:tr2bl w:val="nil"/>
                  </w:tcBorders>
                  <w:vAlign w:val="center"/>
                </w:tcPr>
                <w:p w14:paraId="7EBB0175">
                  <w:pPr>
                    <w:spacing w:line="240" w:lineRule="auto"/>
                    <w:ind w:left="0" w:leftChars="0" w:firstLine="0" w:firstLineChars="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水泥、沙子设置密闭原料厂房分区堆放</w:t>
                  </w:r>
                </w:p>
              </w:tc>
              <w:tc>
                <w:tcPr>
                  <w:tcW w:w="607" w:type="pct"/>
                  <w:tcBorders>
                    <w:tl2br w:val="nil"/>
                    <w:tr2bl w:val="nil"/>
                  </w:tcBorders>
                  <w:vAlign w:val="center"/>
                </w:tcPr>
                <w:p w14:paraId="467FD2A5">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新增投资</w:t>
                  </w:r>
                </w:p>
              </w:tc>
              <w:tc>
                <w:tcPr>
                  <w:tcW w:w="726" w:type="pct"/>
                  <w:tcBorders>
                    <w:tl2br w:val="nil"/>
                    <w:tr2bl w:val="nil"/>
                  </w:tcBorders>
                  <w:vAlign w:val="center"/>
                </w:tcPr>
                <w:p w14:paraId="7162AE20">
                  <w:pPr>
                    <w:spacing w:line="240" w:lineRule="auto"/>
                    <w:ind w:left="0" w:leftChars="0" w:firstLine="0" w:firstLineChars="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0.4</w:t>
                  </w:r>
                </w:p>
              </w:tc>
            </w:tr>
            <w:tr w14:paraId="53CA54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284" w:type="pct"/>
                  <w:vMerge w:val="continue"/>
                  <w:tcBorders>
                    <w:tl2br w:val="nil"/>
                    <w:tr2bl w:val="nil"/>
                  </w:tcBorders>
                  <w:vAlign w:val="center"/>
                </w:tcPr>
                <w:p w14:paraId="628423BD">
                  <w:pPr>
                    <w:spacing w:line="240" w:lineRule="auto"/>
                    <w:ind w:left="0" w:leftChars="0" w:firstLine="0" w:firstLineChars="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c>
                <w:tcPr>
                  <w:tcW w:w="478" w:type="pct"/>
                  <w:vMerge w:val="continue"/>
                  <w:tcBorders>
                    <w:tl2br w:val="nil"/>
                    <w:tr2bl w:val="nil"/>
                  </w:tcBorders>
                  <w:vAlign w:val="center"/>
                </w:tcPr>
                <w:p w14:paraId="1205FD87">
                  <w:pPr>
                    <w:spacing w:line="240" w:lineRule="auto"/>
                    <w:ind w:left="0" w:leftChars="0" w:firstLine="0" w:firstLineChars="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c>
                <w:tcPr>
                  <w:tcW w:w="2903" w:type="pct"/>
                  <w:tcBorders>
                    <w:tl2br w:val="nil"/>
                    <w:tr2bl w:val="nil"/>
                  </w:tcBorders>
                  <w:vAlign w:val="center"/>
                </w:tcPr>
                <w:p w14:paraId="28063B25">
                  <w:pPr>
                    <w:spacing w:line="240" w:lineRule="auto"/>
                    <w:ind w:left="0" w:leftChars="0" w:firstLine="0" w:firstLineChars="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石子堆场设置防风密目网100%覆盖</w:t>
                  </w:r>
                </w:p>
              </w:tc>
              <w:tc>
                <w:tcPr>
                  <w:tcW w:w="607" w:type="pct"/>
                  <w:tcBorders>
                    <w:tl2br w:val="nil"/>
                    <w:tr2bl w:val="nil"/>
                  </w:tcBorders>
                  <w:vAlign w:val="center"/>
                </w:tcPr>
                <w:p w14:paraId="524B9600">
                  <w:pPr>
                    <w:spacing w:line="240" w:lineRule="auto"/>
                    <w:ind w:left="0" w:leftChars="0" w:firstLine="0" w:firstLineChars="0"/>
                    <w:jc w:val="center"/>
                    <w:rPr>
                      <w:rFonts w:hint="eastAsia"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新增投资</w:t>
                  </w:r>
                </w:p>
              </w:tc>
              <w:tc>
                <w:tcPr>
                  <w:tcW w:w="726" w:type="pct"/>
                  <w:tcBorders>
                    <w:tl2br w:val="nil"/>
                    <w:tr2bl w:val="nil"/>
                  </w:tcBorders>
                  <w:vAlign w:val="center"/>
                </w:tcPr>
                <w:p w14:paraId="3647BE01">
                  <w:pPr>
                    <w:spacing w:line="240" w:lineRule="auto"/>
                    <w:ind w:left="0" w:leftChars="0" w:firstLine="0" w:firstLineChars="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0.8</w:t>
                  </w:r>
                </w:p>
              </w:tc>
            </w:tr>
            <w:tr w14:paraId="6E0A22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284" w:type="pct"/>
                  <w:vMerge w:val="continue"/>
                  <w:tcBorders>
                    <w:tl2br w:val="nil"/>
                    <w:tr2bl w:val="nil"/>
                  </w:tcBorders>
                  <w:vAlign w:val="center"/>
                </w:tcPr>
                <w:p w14:paraId="3D9E5615">
                  <w:pPr>
                    <w:spacing w:line="240" w:lineRule="auto"/>
                    <w:ind w:left="0" w:leftChars="0" w:firstLine="0" w:firstLineChars="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c>
                <w:tcPr>
                  <w:tcW w:w="478" w:type="pct"/>
                  <w:vMerge w:val="continue"/>
                  <w:tcBorders>
                    <w:tl2br w:val="nil"/>
                    <w:tr2bl w:val="nil"/>
                  </w:tcBorders>
                  <w:vAlign w:val="center"/>
                </w:tcPr>
                <w:p w14:paraId="56C713AE">
                  <w:pPr>
                    <w:spacing w:line="240" w:lineRule="auto"/>
                    <w:ind w:left="0" w:leftChars="0" w:firstLine="0" w:firstLineChars="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c>
                <w:tcPr>
                  <w:tcW w:w="2903" w:type="pct"/>
                  <w:tcBorders>
                    <w:tl2br w:val="nil"/>
                    <w:tr2bl w:val="nil"/>
                  </w:tcBorders>
                  <w:vAlign w:val="center"/>
                </w:tcPr>
                <w:p w14:paraId="419C3443">
                  <w:pPr>
                    <w:spacing w:line="240" w:lineRule="auto"/>
                    <w:ind w:left="0" w:leftChars="0" w:firstLine="0" w:firstLineChars="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4台雾炮降尘装置，生产作业、装卸作业、道路洒水降尘</w:t>
                  </w:r>
                </w:p>
              </w:tc>
              <w:tc>
                <w:tcPr>
                  <w:tcW w:w="607" w:type="pct"/>
                  <w:tcBorders>
                    <w:tl2br w:val="nil"/>
                    <w:tr2bl w:val="nil"/>
                  </w:tcBorders>
                  <w:vAlign w:val="center"/>
                </w:tcPr>
                <w:p w14:paraId="6A5D17E6">
                  <w:pPr>
                    <w:spacing w:line="240" w:lineRule="auto"/>
                    <w:ind w:left="0" w:leftChars="0" w:firstLine="0" w:firstLineChars="0"/>
                    <w:jc w:val="center"/>
                    <w:rPr>
                      <w:rFonts w:hint="eastAsia"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新增投资</w:t>
                  </w:r>
                </w:p>
              </w:tc>
              <w:tc>
                <w:tcPr>
                  <w:tcW w:w="726" w:type="pct"/>
                  <w:tcBorders>
                    <w:tl2br w:val="nil"/>
                    <w:tr2bl w:val="nil"/>
                  </w:tcBorders>
                  <w:vAlign w:val="center"/>
                </w:tcPr>
                <w:p w14:paraId="60A3E87D">
                  <w:pPr>
                    <w:spacing w:line="240" w:lineRule="auto"/>
                    <w:ind w:left="0" w:leftChars="0" w:firstLine="0" w:firstLineChars="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3.1</w:t>
                  </w:r>
                </w:p>
              </w:tc>
            </w:tr>
            <w:tr w14:paraId="6ABB0B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284" w:type="pct"/>
                  <w:vMerge w:val="continue"/>
                  <w:tcBorders>
                    <w:tl2br w:val="nil"/>
                    <w:tr2bl w:val="nil"/>
                  </w:tcBorders>
                  <w:vAlign w:val="center"/>
                </w:tcPr>
                <w:p w14:paraId="78AC6649">
                  <w:pPr>
                    <w:spacing w:line="240" w:lineRule="auto"/>
                    <w:ind w:left="0" w:leftChars="0" w:firstLine="0" w:firstLineChars="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c>
                <w:tcPr>
                  <w:tcW w:w="478" w:type="pct"/>
                  <w:tcBorders>
                    <w:tl2br w:val="nil"/>
                    <w:tr2bl w:val="nil"/>
                  </w:tcBorders>
                  <w:vAlign w:val="center"/>
                </w:tcPr>
                <w:p w14:paraId="519981DA">
                  <w:pPr>
                    <w:spacing w:line="240" w:lineRule="auto"/>
                    <w:ind w:left="0" w:leftChars="0" w:firstLine="0" w:firstLineChars="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有组织废气</w:t>
                  </w:r>
                </w:p>
              </w:tc>
              <w:tc>
                <w:tcPr>
                  <w:tcW w:w="2903" w:type="pct"/>
                  <w:tcBorders>
                    <w:tl2br w:val="nil"/>
                    <w:tr2bl w:val="nil"/>
                  </w:tcBorders>
                  <w:vAlign w:val="center"/>
                </w:tcPr>
                <w:p w14:paraId="59AEC0DB">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搅拌、投料过程顶部设置顶吸式集气罩+布袋除尘器15m排放</w:t>
                  </w:r>
                </w:p>
              </w:tc>
              <w:tc>
                <w:tcPr>
                  <w:tcW w:w="607" w:type="pct"/>
                  <w:tcBorders>
                    <w:tl2br w:val="nil"/>
                    <w:tr2bl w:val="nil"/>
                  </w:tcBorders>
                  <w:vAlign w:val="center"/>
                </w:tcPr>
                <w:p w14:paraId="20F22AB9">
                  <w:pPr>
                    <w:spacing w:line="240" w:lineRule="auto"/>
                    <w:ind w:left="0" w:leftChars="0" w:firstLine="0" w:firstLineChars="0"/>
                    <w:jc w:val="center"/>
                    <w:rPr>
                      <w:rFonts w:hint="eastAsia"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新增投资</w:t>
                  </w:r>
                </w:p>
              </w:tc>
              <w:tc>
                <w:tcPr>
                  <w:tcW w:w="726" w:type="pct"/>
                  <w:tcBorders>
                    <w:tl2br w:val="nil"/>
                    <w:tr2bl w:val="nil"/>
                  </w:tcBorders>
                  <w:vAlign w:val="center"/>
                </w:tcPr>
                <w:p w14:paraId="0A65B441">
                  <w:pPr>
                    <w:spacing w:line="240" w:lineRule="auto"/>
                    <w:ind w:left="0" w:leftChars="0" w:firstLine="0" w:firstLineChars="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8.5</w:t>
                  </w:r>
                </w:p>
              </w:tc>
            </w:tr>
            <w:tr w14:paraId="131444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284" w:type="pct"/>
                  <w:tcBorders>
                    <w:tl2br w:val="nil"/>
                    <w:tr2bl w:val="nil"/>
                  </w:tcBorders>
                  <w:vAlign w:val="center"/>
                </w:tcPr>
                <w:p w14:paraId="0F495361">
                  <w:pPr>
                    <w:spacing w:line="240" w:lineRule="auto"/>
                    <w:ind w:left="0" w:leftChars="0" w:firstLine="0" w:firstLineChars="0"/>
                    <w:jc w:val="center"/>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3</w:t>
                  </w:r>
                </w:p>
              </w:tc>
              <w:tc>
                <w:tcPr>
                  <w:tcW w:w="478" w:type="pct"/>
                  <w:tcBorders>
                    <w:tl2br w:val="nil"/>
                    <w:tr2bl w:val="nil"/>
                  </w:tcBorders>
                  <w:vAlign w:val="center"/>
                </w:tcPr>
                <w:p w14:paraId="6E554146">
                  <w:pPr>
                    <w:spacing w:line="240" w:lineRule="auto"/>
                    <w:ind w:left="0" w:leftChars="0" w:firstLine="0" w:firstLineChars="0"/>
                    <w:jc w:val="center"/>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噪声</w:t>
                  </w:r>
                </w:p>
              </w:tc>
              <w:tc>
                <w:tcPr>
                  <w:tcW w:w="2903" w:type="pct"/>
                  <w:tcBorders>
                    <w:tl2br w:val="nil"/>
                    <w:tr2bl w:val="nil"/>
                  </w:tcBorders>
                  <w:vAlign w:val="center"/>
                </w:tcPr>
                <w:p w14:paraId="56B420B2">
                  <w:pPr>
                    <w:spacing w:line="240" w:lineRule="auto"/>
                    <w:ind w:left="0" w:leftChars="0" w:firstLine="0" w:firstLineChars="0"/>
                    <w:jc w:val="center"/>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设备基础设置减振垫等综合降噪措施</w:t>
                  </w:r>
                </w:p>
              </w:tc>
              <w:tc>
                <w:tcPr>
                  <w:tcW w:w="607" w:type="pct"/>
                  <w:tcBorders>
                    <w:tl2br w:val="nil"/>
                    <w:tr2bl w:val="nil"/>
                  </w:tcBorders>
                  <w:vAlign w:val="center"/>
                </w:tcPr>
                <w:p w14:paraId="3A731967">
                  <w:pPr>
                    <w:spacing w:line="240" w:lineRule="auto"/>
                    <w:ind w:left="0" w:leftChars="0" w:firstLine="0" w:firstLineChars="0"/>
                    <w:jc w:val="center"/>
                    <w:rPr>
                      <w:rFonts w:hint="default" w:ascii="Times New Roman" w:hAnsi="Times New Roman" w:eastAsia="新宋体" w:cs="Times New Roman"/>
                      <w:color w:val="000000" w:themeColor="text1"/>
                      <w:sz w:val="21"/>
                      <w:szCs w:val="21"/>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新增投资</w:t>
                  </w:r>
                </w:p>
              </w:tc>
              <w:tc>
                <w:tcPr>
                  <w:tcW w:w="726" w:type="pct"/>
                  <w:tcBorders>
                    <w:tl2br w:val="nil"/>
                    <w:tr2bl w:val="nil"/>
                  </w:tcBorders>
                  <w:vAlign w:val="center"/>
                </w:tcPr>
                <w:p w14:paraId="028A78E3">
                  <w:pPr>
                    <w:spacing w:line="240" w:lineRule="auto"/>
                    <w:ind w:left="0" w:leftChars="0" w:firstLine="0" w:firstLineChars="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1.4</w:t>
                  </w:r>
                </w:p>
              </w:tc>
            </w:tr>
            <w:tr w14:paraId="2560A6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284" w:type="pct"/>
                  <w:vMerge w:val="restart"/>
                  <w:tcBorders>
                    <w:tl2br w:val="nil"/>
                    <w:tr2bl w:val="nil"/>
                  </w:tcBorders>
                  <w:vAlign w:val="center"/>
                </w:tcPr>
                <w:p w14:paraId="2383C9AA">
                  <w:pPr>
                    <w:spacing w:line="240" w:lineRule="auto"/>
                    <w:ind w:left="0" w:leftChars="0" w:firstLine="0" w:firstLineChars="0"/>
                    <w:jc w:val="center"/>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4</w:t>
                  </w:r>
                </w:p>
              </w:tc>
              <w:tc>
                <w:tcPr>
                  <w:tcW w:w="478" w:type="pct"/>
                  <w:vMerge w:val="restart"/>
                  <w:tcBorders>
                    <w:tl2br w:val="nil"/>
                    <w:tr2bl w:val="nil"/>
                  </w:tcBorders>
                  <w:vAlign w:val="center"/>
                </w:tcPr>
                <w:p w14:paraId="42A8999B">
                  <w:pPr>
                    <w:spacing w:line="240" w:lineRule="auto"/>
                    <w:ind w:left="0" w:leftChars="0" w:firstLine="0" w:firstLineChars="0"/>
                    <w:jc w:val="center"/>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固体废物</w:t>
                  </w:r>
                </w:p>
              </w:tc>
              <w:tc>
                <w:tcPr>
                  <w:tcW w:w="2903" w:type="pct"/>
                  <w:tcBorders>
                    <w:tl2br w:val="nil"/>
                    <w:tr2bl w:val="nil"/>
                  </w:tcBorders>
                  <w:vAlign w:val="center"/>
                </w:tcPr>
                <w:p w14:paraId="5AFFB623">
                  <w:pPr>
                    <w:spacing w:line="240" w:lineRule="auto"/>
                    <w:ind w:left="0" w:leftChars="0" w:firstLine="0" w:firstLineChars="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一般固废堆场</w:t>
                  </w:r>
                </w:p>
              </w:tc>
              <w:tc>
                <w:tcPr>
                  <w:tcW w:w="607" w:type="pct"/>
                  <w:tcBorders>
                    <w:tl2br w:val="nil"/>
                    <w:tr2bl w:val="nil"/>
                  </w:tcBorders>
                  <w:vAlign w:val="center"/>
                </w:tcPr>
                <w:p w14:paraId="68970941">
                  <w:pPr>
                    <w:spacing w:line="240" w:lineRule="auto"/>
                    <w:ind w:left="0" w:leftChars="0" w:firstLine="0" w:firstLineChars="0"/>
                    <w:jc w:val="center"/>
                    <w:rPr>
                      <w:rFonts w:hint="eastAsia"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新增投资</w:t>
                  </w:r>
                </w:p>
              </w:tc>
              <w:tc>
                <w:tcPr>
                  <w:tcW w:w="726" w:type="pct"/>
                  <w:tcBorders>
                    <w:tl2br w:val="nil"/>
                    <w:tr2bl w:val="nil"/>
                  </w:tcBorders>
                  <w:vAlign w:val="center"/>
                </w:tcPr>
                <w:p w14:paraId="1FD44976">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0.3</w:t>
                  </w:r>
                </w:p>
              </w:tc>
            </w:tr>
            <w:tr w14:paraId="08CD49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284" w:type="pct"/>
                  <w:vMerge w:val="continue"/>
                  <w:tcBorders>
                    <w:tl2br w:val="nil"/>
                    <w:tr2bl w:val="nil"/>
                  </w:tcBorders>
                  <w:vAlign w:val="center"/>
                </w:tcPr>
                <w:p w14:paraId="09D43E86">
                  <w:pPr>
                    <w:spacing w:line="240" w:lineRule="auto"/>
                    <w:ind w:left="0" w:leftChars="0" w:firstLine="0" w:firstLineChars="0"/>
                    <w:jc w:val="center"/>
                    <w:rPr>
                      <w:rFonts w:hint="default" w:ascii="Times New Roman" w:hAnsi="Times New Roman" w:eastAsia="新宋体" w:cs="Times New Roman"/>
                      <w:color w:val="000000" w:themeColor="text1"/>
                      <w:sz w:val="21"/>
                      <w:szCs w:val="21"/>
                      <w14:textFill>
                        <w14:solidFill>
                          <w14:schemeClr w14:val="tx1"/>
                        </w14:solidFill>
                      </w14:textFill>
                    </w:rPr>
                  </w:pPr>
                </w:p>
              </w:tc>
              <w:tc>
                <w:tcPr>
                  <w:tcW w:w="478" w:type="pct"/>
                  <w:vMerge w:val="continue"/>
                  <w:tcBorders>
                    <w:tl2br w:val="nil"/>
                    <w:tr2bl w:val="nil"/>
                  </w:tcBorders>
                  <w:vAlign w:val="center"/>
                </w:tcPr>
                <w:p w14:paraId="4320F278">
                  <w:pPr>
                    <w:spacing w:line="240" w:lineRule="auto"/>
                    <w:ind w:left="0" w:leftChars="0" w:firstLine="0" w:firstLineChars="0"/>
                    <w:jc w:val="center"/>
                    <w:rPr>
                      <w:rFonts w:hint="default" w:ascii="Times New Roman" w:hAnsi="Times New Roman" w:eastAsia="新宋体" w:cs="Times New Roman"/>
                      <w:color w:val="000000" w:themeColor="text1"/>
                      <w:sz w:val="21"/>
                      <w:szCs w:val="21"/>
                      <w14:textFill>
                        <w14:solidFill>
                          <w14:schemeClr w14:val="tx1"/>
                        </w14:solidFill>
                      </w14:textFill>
                    </w:rPr>
                  </w:pPr>
                </w:p>
              </w:tc>
              <w:tc>
                <w:tcPr>
                  <w:tcW w:w="2903" w:type="pct"/>
                  <w:tcBorders>
                    <w:tl2br w:val="nil"/>
                    <w:tr2bl w:val="nil"/>
                  </w:tcBorders>
                  <w:vAlign w:val="center"/>
                </w:tcPr>
                <w:p w14:paraId="570E12A9">
                  <w:pPr>
                    <w:spacing w:line="240" w:lineRule="auto"/>
                    <w:ind w:left="0" w:leftChars="0" w:firstLine="0" w:firstLineChars="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垃圾收集</w:t>
                  </w:r>
                  <w:r>
                    <w:rPr>
                      <w:rFonts w:hint="eastAsia" w:eastAsia="新宋体" w:cs="Times New Roman"/>
                      <w:color w:val="000000" w:themeColor="text1"/>
                      <w:sz w:val="21"/>
                      <w:szCs w:val="21"/>
                      <w:lang w:val="en-US" w:eastAsia="zh-CN"/>
                      <w14:textFill>
                        <w14:solidFill>
                          <w14:schemeClr w14:val="tx1"/>
                        </w14:solidFill>
                      </w14:textFill>
                    </w:rPr>
                    <w:t>船</w:t>
                  </w:r>
                </w:p>
              </w:tc>
              <w:tc>
                <w:tcPr>
                  <w:tcW w:w="607" w:type="pct"/>
                  <w:tcBorders>
                    <w:tl2br w:val="nil"/>
                    <w:tr2bl w:val="nil"/>
                  </w:tcBorders>
                  <w:vAlign w:val="center"/>
                </w:tcPr>
                <w:p w14:paraId="79470FB8">
                  <w:pPr>
                    <w:spacing w:line="240" w:lineRule="auto"/>
                    <w:ind w:left="0" w:leftChars="0" w:firstLine="0" w:firstLineChars="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已投资</w:t>
                  </w:r>
                </w:p>
              </w:tc>
              <w:tc>
                <w:tcPr>
                  <w:tcW w:w="726" w:type="pct"/>
                  <w:tcBorders>
                    <w:tl2br w:val="nil"/>
                    <w:tr2bl w:val="nil"/>
                  </w:tcBorders>
                  <w:vAlign w:val="center"/>
                </w:tcPr>
                <w:p w14:paraId="32AC0E2A">
                  <w:pPr>
                    <w:spacing w:line="240" w:lineRule="auto"/>
                    <w:ind w:left="0" w:leftChars="0" w:firstLine="0" w:firstLineChars="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w:t>
                  </w:r>
                </w:p>
              </w:tc>
            </w:tr>
            <w:tr w14:paraId="27F1E7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284" w:type="pct"/>
                  <w:vMerge w:val="continue"/>
                  <w:tcBorders>
                    <w:tl2br w:val="nil"/>
                    <w:tr2bl w:val="nil"/>
                  </w:tcBorders>
                  <w:vAlign w:val="center"/>
                </w:tcPr>
                <w:p w14:paraId="4B7F2D4E">
                  <w:pPr>
                    <w:spacing w:line="240" w:lineRule="auto"/>
                    <w:ind w:left="0" w:leftChars="0" w:firstLine="0" w:firstLineChars="0"/>
                    <w:jc w:val="center"/>
                    <w:rPr>
                      <w:rFonts w:hint="default" w:ascii="Times New Roman" w:hAnsi="Times New Roman" w:eastAsia="新宋体" w:cs="Times New Roman"/>
                      <w:color w:val="000000" w:themeColor="text1"/>
                      <w:sz w:val="21"/>
                      <w:szCs w:val="21"/>
                      <w14:textFill>
                        <w14:solidFill>
                          <w14:schemeClr w14:val="tx1"/>
                        </w14:solidFill>
                      </w14:textFill>
                    </w:rPr>
                  </w:pPr>
                </w:p>
              </w:tc>
              <w:tc>
                <w:tcPr>
                  <w:tcW w:w="478" w:type="pct"/>
                  <w:vMerge w:val="continue"/>
                  <w:tcBorders>
                    <w:tl2br w:val="nil"/>
                    <w:tr2bl w:val="nil"/>
                  </w:tcBorders>
                  <w:vAlign w:val="center"/>
                </w:tcPr>
                <w:p w14:paraId="1454A51C">
                  <w:pPr>
                    <w:spacing w:line="240" w:lineRule="auto"/>
                    <w:ind w:left="0" w:leftChars="0" w:firstLine="0" w:firstLineChars="0"/>
                    <w:jc w:val="center"/>
                    <w:rPr>
                      <w:rFonts w:hint="default" w:ascii="Times New Roman" w:hAnsi="Times New Roman" w:eastAsia="新宋体" w:cs="Times New Roman"/>
                      <w:color w:val="000000" w:themeColor="text1"/>
                      <w:sz w:val="21"/>
                      <w:szCs w:val="21"/>
                      <w14:textFill>
                        <w14:solidFill>
                          <w14:schemeClr w14:val="tx1"/>
                        </w14:solidFill>
                      </w14:textFill>
                    </w:rPr>
                  </w:pPr>
                </w:p>
              </w:tc>
              <w:tc>
                <w:tcPr>
                  <w:tcW w:w="2903" w:type="pct"/>
                  <w:tcBorders>
                    <w:tl2br w:val="nil"/>
                    <w:tr2bl w:val="nil"/>
                  </w:tcBorders>
                  <w:vAlign w:val="center"/>
                </w:tcPr>
                <w:p w14:paraId="40CEDA0A">
                  <w:pPr>
                    <w:spacing w:line="240" w:lineRule="auto"/>
                    <w:ind w:left="0" w:leftChars="0" w:firstLine="0" w:firstLineChars="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防渗托盘，</w:t>
                  </w:r>
                  <w:r>
                    <w:rPr>
                      <w:rFonts w:hint="default" w:ascii="Times New Roman" w:hAnsi="Times New Roman" w:eastAsia="新宋体" w:cs="Times New Roman"/>
                      <w:color w:val="000000" w:themeColor="text1"/>
                      <w:sz w:val="21"/>
                      <w:szCs w:val="21"/>
                      <w14:textFill>
                        <w14:solidFill>
                          <w14:schemeClr w14:val="tx1"/>
                        </w14:solidFill>
                      </w14:textFill>
                    </w:rPr>
                    <w:t>危险废物</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委托处置</w:t>
                  </w:r>
                </w:p>
              </w:tc>
              <w:tc>
                <w:tcPr>
                  <w:tcW w:w="607" w:type="pct"/>
                  <w:tcBorders>
                    <w:tl2br w:val="nil"/>
                    <w:tr2bl w:val="nil"/>
                  </w:tcBorders>
                  <w:vAlign w:val="center"/>
                </w:tcPr>
                <w:p w14:paraId="2771A4E8">
                  <w:pPr>
                    <w:spacing w:line="240" w:lineRule="auto"/>
                    <w:ind w:left="0" w:leftChars="0" w:firstLine="0" w:firstLineChars="0"/>
                    <w:jc w:val="center"/>
                    <w:rPr>
                      <w:rFonts w:hint="eastAsia"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新增投资</w:t>
                  </w:r>
                </w:p>
              </w:tc>
              <w:tc>
                <w:tcPr>
                  <w:tcW w:w="726" w:type="pct"/>
                  <w:tcBorders>
                    <w:tl2br w:val="nil"/>
                    <w:tr2bl w:val="nil"/>
                  </w:tcBorders>
                  <w:vAlign w:val="center"/>
                </w:tcPr>
                <w:p w14:paraId="119B8C6E">
                  <w:pPr>
                    <w:spacing w:line="240" w:lineRule="auto"/>
                    <w:ind w:left="0" w:leftChars="0" w:firstLine="0" w:firstLineChars="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0.4</w:t>
                  </w:r>
                </w:p>
              </w:tc>
            </w:tr>
            <w:tr w14:paraId="42D00E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284" w:type="pct"/>
                  <w:tcBorders>
                    <w:tl2br w:val="nil"/>
                    <w:tr2bl w:val="nil"/>
                  </w:tcBorders>
                  <w:vAlign w:val="center"/>
                </w:tcPr>
                <w:p w14:paraId="566BBA88">
                  <w:pPr>
                    <w:spacing w:line="240" w:lineRule="auto"/>
                    <w:ind w:left="0" w:leftChars="0" w:firstLine="0" w:firstLineChars="0"/>
                    <w:jc w:val="center"/>
                    <w:rPr>
                      <w:rFonts w:hint="eastAsia"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5</w:t>
                  </w:r>
                </w:p>
              </w:tc>
              <w:tc>
                <w:tcPr>
                  <w:tcW w:w="478" w:type="pct"/>
                  <w:tcBorders>
                    <w:tl2br w:val="nil"/>
                    <w:tr2bl w:val="nil"/>
                  </w:tcBorders>
                  <w:vAlign w:val="center"/>
                </w:tcPr>
                <w:p w14:paraId="583168C1">
                  <w:pPr>
                    <w:spacing w:line="240" w:lineRule="auto"/>
                    <w:ind w:left="0" w:leftChars="0" w:firstLine="0" w:firstLineChars="0"/>
                    <w:jc w:val="center"/>
                    <w:rPr>
                      <w:rFonts w:hint="eastAsia"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生态</w:t>
                  </w:r>
                </w:p>
              </w:tc>
              <w:tc>
                <w:tcPr>
                  <w:tcW w:w="2903" w:type="pct"/>
                  <w:tcBorders>
                    <w:tl2br w:val="nil"/>
                    <w:tr2bl w:val="nil"/>
                  </w:tcBorders>
                  <w:vAlign w:val="center"/>
                </w:tcPr>
                <w:p w14:paraId="38D8A6F0">
                  <w:pPr>
                    <w:spacing w:line="240" w:lineRule="auto"/>
                    <w:ind w:left="0" w:leftChars="0" w:firstLine="0" w:firstLineChars="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绿化面积2</w:t>
                  </w:r>
                  <w:r>
                    <w:rPr>
                      <w:rFonts w:hint="eastAsia" w:eastAsia="新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0m</w:t>
                  </w:r>
                  <w:r>
                    <w:rPr>
                      <w:rFonts w:hint="default" w:ascii="Times New Roman" w:hAnsi="Times New Roman" w:eastAsia="新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，绿化率</w:t>
                  </w:r>
                  <w:r>
                    <w:rPr>
                      <w:rFonts w:hint="eastAsia" w:eastAsia="新宋体" w:cs="Times New Roman"/>
                      <w:color w:val="000000" w:themeColor="text1"/>
                      <w:sz w:val="21"/>
                      <w:szCs w:val="21"/>
                      <w:lang w:val="en-US" w:eastAsia="zh-CN"/>
                      <w14:textFill>
                        <w14:solidFill>
                          <w14:schemeClr w14:val="tx1"/>
                        </w14:solidFill>
                      </w14:textFill>
                    </w:rPr>
                    <w:t>0.8</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p>
              </w:tc>
              <w:tc>
                <w:tcPr>
                  <w:tcW w:w="607" w:type="pct"/>
                  <w:tcBorders>
                    <w:tl2br w:val="nil"/>
                    <w:tr2bl w:val="nil"/>
                  </w:tcBorders>
                  <w:vAlign w:val="center"/>
                </w:tcPr>
                <w:p w14:paraId="4A7D7587">
                  <w:pPr>
                    <w:spacing w:line="240" w:lineRule="auto"/>
                    <w:ind w:left="0" w:leftChars="0" w:firstLine="0" w:firstLineChars="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新增投资</w:t>
                  </w:r>
                </w:p>
              </w:tc>
              <w:tc>
                <w:tcPr>
                  <w:tcW w:w="726" w:type="pct"/>
                  <w:tcBorders>
                    <w:tl2br w:val="nil"/>
                    <w:tr2bl w:val="nil"/>
                  </w:tcBorders>
                  <w:vAlign w:val="center"/>
                </w:tcPr>
                <w:p w14:paraId="571E5168">
                  <w:pPr>
                    <w:spacing w:line="240" w:lineRule="auto"/>
                    <w:ind w:left="0" w:leftChars="0" w:firstLine="0" w:firstLineChars="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1.2</w:t>
                  </w:r>
                </w:p>
              </w:tc>
            </w:tr>
            <w:tr w14:paraId="6DFC97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284" w:type="pct"/>
                  <w:tcBorders>
                    <w:tl2br w:val="nil"/>
                    <w:tr2bl w:val="nil"/>
                  </w:tcBorders>
                  <w:vAlign w:val="center"/>
                </w:tcPr>
                <w:p w14:paraId="78DED4CD">
                  <w:pPr>
                    <w:spacing w:line="240" w:lineRule="auto"/>
                    <w:ind w:left="0" w:leftChars="0" w:firstLine="0" w:firstLineChars="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6</w:t>
                  </w:r>
                </w:p>
              </w:tc>
              <w:tc>
                <w:tcPr>
                  <w:tcW w:w="478" w:type="pct"/>
                  <w:tcBorders>
                    <w:tl2br w:val="nil"/>
                    <w:tr2bl w:val="nil"/>
                  </w:tcBorders>
                  <w:vAlign w:val="center"/>
                </w:tcPr>
                <w:p w14:paraId="6B9829E0">
                  <w:pPr>
                    <w:spacing w:line="240" w:lineRule="auto"/>
                    <w:ind w:left="0" w:leftChars="0" w:firstLine="0" w:firstLineChars="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土壤/地下水</w:t>
                  </w:r>
                </w:p>
              </w:tc>
              <w:tc>
                <w:tcPr>
                  <w:tcW w:w="2903" w:type="pct"/>
                  <w:tcBorders>
                    <w:tl2br w:val="nil"/>
                    <w:tr2bl w:val="nil"/>
                  </w:tcBorders>
                  <w:vAlign w:val="center"/>
                </w:tcPr>
                <w:p w14:paraId="3A7CD086">
                  <w:pPr>
                    <w:spacing w:line="240" w:lineRule="auto"/>
                    <w:ind w:left="0" w:leftChars="0" w:firstLine="0" w:firstLineChars="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危废暂存间重点防渗，生产区简单硬化，进出口道路水泥硬化</w:t>
                  </w:r>
                </w:p>
              </w:tc>
              <w:tc>
                <w:tcPr>
                  <w:tcW w:w="607" w:type="pct"/>
                  <w:tcBorders>
                    <w:tl2br w:val="nil"/>
                    <w:tr2bl w:val="nil"/>
                  </w:tcBorders>
                  <w:vAlign w:val="center"/>
                </w:tcPr>
                <w:p w14:paraId="6DAF3F48">
                  <w:pPr>
                    <w:spacing w:line="240" w:lineRule="auto"/>
                    <w:ind w:left="0" w:leftChars="0" w:firstLine="0" w:firstLineChars="0"/>
                    <w:jc w:val="center"/>
                    <w:rPr>
                      <w:rFonts w:hint="eastAsia"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新增投资</w:t>
                  </w:r>
                </w:p>
              </w:tc>
              <w:tc>
                <w:tcPr>
                  <w:tcW w:w="726" w:type="pct"/>
                  <w:tcBorders>
                    <w:tl2br w:val="nil"/>
                    <w:tr2bl w:val="nil"/>
                  </w:tcBorders>
                  <w:vAlign w:val="center"/>
                </w:tcPr>
                <w:p w14:paraId="26E8CDF8">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0.9</w:t>
                  </w:r>
                </w:p>
              </w:tc>
            </w:tr>
            <w:tr w14:paraId="61DE53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284" w:type="pct"/>
                  <w:tcBorders>
                    <w:tl2br w:val="nil"/>
                    <w:tr2bl w:val="nil"/>
                  </w:tcBorders>
                  <w:vAlign w:val="center"/>
                </w:tcPr>
                <w:p w14:paraId="72CD1B80">
                  <w:pPr>
                    <w:spacing w:line="240" w:lineRule="auto"/>
                    <w:ind w:left="0" w:leftChars="0" w:firstLine="0" w:firstLineChars="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7</w:t>
                  </w:r>
                </w:p>
              </w:tc>
              <w:tc>
                <w:tcPr>
                  <w:tcW w:w="478" w:type="pct"/>
                  <w:tcBorders>
                    <w:tl2br w:val="nil"/>
                    <w:tr2bl w:val="nil"/>
                  </w:tcBorders>
                  <w:vAlign w:val="center"/>
                </w:tcPr>
                <w:p w14:paraId="54ED5AE5">
                  <w:pPr>
                    <w:spacing w:line="240" w:lineRule="auto"/>
                    <w:ind w:left="0" w:leftChars="0" w:firstLine="0" w:firstLineChars="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环境风险</w:t>
                  </w:r>
                </w:p>
              </w:tc>
              <w:tc>
                <w:tcPr>
                  <w:tcW w:w="2903" w:type="pct"/>
                  <w:tcBorders>
                    <w:tl2br w:val="nil"/>
                    <w:tr2bl w:val="nil"/>
                  </w:tcBorders>
                  <w:vAlign w:val="center"/>
                </w:tcPr>
                <w:p w14:paraId="593DC1B8">
                  <w:pPr>
                    <w:spacing w:line="240" w:lineRule="auto"/>
                    <w:ind w:left="0" w:leftChars="0" w:firstLine="0" w:firstLineChars="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分区配置灭火器及堵漏物资</w:t>
                  </w:r>
                </w:p>
              </w:tc>
              <w:tc>
                <w:tcPr>
                  <w:tcW w:w="607" w:type="pct"/>
                  <w:tcBorders>
                    <w:tl2br w:val="nil"/>
                    <w:tr2bl w:val="nil"/>
                  </w:tcBorders>
                  <w:vAlign w:val="center"/>
                </w:tcPr>
                <w:p w14:paraId="705229CF">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已投资</w:t>
                  </w:r>
                </w:p>
              </w:tc>
              <w:tc>
                <w:tcPr>
                  <w:tcW w:w="726" w:type="pct"/>
                  <w:tcBorders>
                    <w:tl2br w:val="nil"/>
                    <w:tr2bl w:val="nil"/>
                  </w:tcBorders>
                  <w:vAlign w:val="center"/>
                </w:tcPr>
                <w:p w14:paraId="165444A0">
                  <w:pPr>
                    <w:spacing w:line="240" w:lineRule="auto"/>
                    <w:ind w:left="0" w:leftChars="0" w:firstLine="0" w:firstLineChars="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w:t>
                  </w:r>
                </w:p>
              </w:tc>
            </w:tr>
            <w:tr w14:paraId="6BBE4C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4273" w:type="pct"/>
                  <w:gridSpan w:val="4"/>
                  <w:tcBorders>
                    <w:tl2br w:val="nil"/>
                    <w:tr2bl w:val="nil"/>
                  </w:tcBorders>
                  <w:vAlign w:val="center"/>
                </w:tcPr>
                <w:p w14:paraId="0E01F82C">
                  <w:pPr>
                    <w:spacing w:line="240" w:lineRule="auto"/>
                    <w:ind w:left="0" w:leftChars="0" w:firstLine="0" w:firstLineChars="0"/>
                    <w:jc w:val="center"/>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合计</w:t>
                  </w:r>
                </w:p>
              </w:tc>
              <w:tc>
                <w:tcPr>
                  <w:tcW w:w="726" w:type="pct"/>
                  <w:tcBorders>
                    <w:tl2br w:val="nil"/>
                    <w:tr2bl w:val="nil"/>
                  </w:tcBorders>
                  <w:vAlign w:val="center"/>
                </w:tcPr>
                <w:p w14:paraId="69571754">
                  <w:pPr>
                    <w:spacing w:line="240" w:lineRule="auto"/>
                    <w:ind w:left="0" w:leftChars="0" w:firstLine="0" w:firstLineChars="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20.5</w:t>
                  </w:r>
                </w:p>
              </w:tc>
            </w:tr>
          </w:tbl>
          <w:p w14:paraId="7EE05F54">
            <w:pPr>
              <w:keepNext w:val="0"/>
              <w:keepLines w:val="0"/>
              <w:widowControl/>
              <w:suppressLineNumbers w:val="0"/>
              <w:jc w:val="left"/>
              <w:rPr>
                <w:rFonts w:hint="default" w:ascii="Times New Roman" w:hAnsi="Times New Roman" w:eastAsia="新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本次项目环保工程投资估算约为</w:t>
            </w:r>
            <w:r>
              <w:rPr>
                <w:rFonts w:hint="eastAsia" w:eastAsia="新宋体" w:cs="Times New Roman"/>
                <w:color w:val="000000" w:themeColor="text1"/>
                <w:kern w:val="0"/>
                <w:sz w:val="24"/>
                <w:szCs w:val="24"/>
                <w:lang w:val="en-US" w:eastAsia="zh-CN" w:bidi="ar"/>
                <w14:textFill>
                  <w14:solidFill>
                    <w14:schemeClr w14:val="tx1"/>
                  </w14:solidFill>
                </w14:textFill>
              </w:rPr>
              <w:t>20.5</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万元，占总投资额</w:t>
            </w:r>
            <w:r>
              <w:rPr>
                <w:rFonts w:hint="eastAsia" w:eastAsia="新宋体" w:cs="Times New Roman"/>
                <w:color w:val="000000" w:themeColor="text1"/>
                <w:kern w:val="0"/>
                <w:sz w:val="24"/>
                <w:szCs w:val="24"/>
                <w:lang w:val="en-US" w:eastAsia="zh-CN" w:bidi="ar"/>
                <w14:textFill>
                  <w14:solidFill>
                    <w14:schemeClr w14:val="tx1"/>
                  </w14:solidFill>
                </w14:textFill>
              </w:rPr>
              <w:t>100</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万元的</w:t>
            </w:r>
            <w:r>
              <w:rPr>
                <w:rFonts w:hint="eastAsia" w:eastAsia="新宋体" w:cs="Times New Roman"/>
                <w:color w:val="000000" w:themeColor="text1"/>
                <w:kern w:val="0"/>
                <w:sz w:val="24"/>
                <w:szCs w:val="24"/>
                <w:lang w:val="en-US" w:eastAsia="zh-CN" w:bidi="ar"/>
                <w14:textFill>
                  <w14:solidFill>
                    <w14:schemeClr w14:val="tx1"/>
                  </w14:solidFill>
                </w14:textFill>
              </w:rPr>
              <w:t>20.5</w:t>
            </w:r>
            <w:r>
              <w:rPr>
                <w:rFonts w:hint="default" w:ascii="Times New Roman" w:hAnsi="Times New Roman" w:eastAsia="新宋体" w:cs="Times New Roman"/>
                <w:color w:val="000000" w:themeColor="text1"/>
                <w:kern w:val="0"/>
                <w:sz w:val="24"/>
                <w:szCs w:val="24"/>
                <w:lang w:val="en-US" w:eastAsia="zh-CN" w:bidi="ar"/>
                <w14:textFill>
                  <w14:solidFill>
                    <w14:schemeClr w14:val="tx1"/>
                  </w14:solidFill>
                </w14:textFill>
              </w:rPr>
              <w:t>%。</w:t>
            </w:r>
          </w:p>
        </w:tc>
      </w:tr>
    </w:tbl>
    <w:p w14:paraId="3324068F">
      <w:pPr>
        <w:pStyle w:val="3"/>
        <w:bidi w:val="0"/>
        <w:jc w:val="center"/>
        <w:rPr>
          <w:rFonts w:hint="default" w:ascii="Times New Roman" w:hAnsi="Times New Roman" w:eastAsia="新宋体" w:cs="Times New Roman"/>
          <w:b/>
          <w:bCs/>
          <w:snapToGrid w:val="0"/>
          <w:color w:val="000000" w:themeColor="text1"/>
          <w:sz w:val="30"/>
          <w:szCs w:val="30"/>
          <w14:textFill>
            <w14:solidFill>
              <w14:schemeClr w14:val="tx1"/>
            </w14:solidFill>
          </w14:textFill>
        </w:rPr>
      </w:pPr>
      <w:r>
        <w:rPr>
          <w:rFonts w:hint="default" w:ascii="Times New Roman" w:hAnsi="Times New Roman" w:eastAsia="新宋体" w:cs="Times New Roman"/>
          <w:b/>
          <w:color w:val="000000" w:themeColor="text1"/>
          <w:kern w:val="0"/>
          <w:sz w:val="28"/>
          <w:szCs w:val="28"/>
          <w14:textFill>
            <w14:solidFill>
              <w14:schemeClr w14:val="tx1"/>
            </w14:solidFill>
          </w14:textFill>
        </w:rPr>
        <w:br w:type="page"/>
      </w:r>
      <w:r>
        <w:rPr>
          <w:rFonts w:hint="default" w:ascii="Times New Roman" w:hAnsi="Times New Roman" w:eastAsia="新宋体" w:cs="Times New Roman"/>
          <w:b/>
          <w:bCs/>
          <w:snapToGrid w:val="0"/>
          <w:color w:val="000000" w:themeColor="text1"/>
          <w:sz w:val="30"/>
          <w:szCs w:val="30"/>
          <w14:textFill>
            <w14:solidFill>
              <w14:schemeClr w14:val="tx1"/>
            </w14:solidFill>
          </w14:textFill>
        </w:rPr>
        <w:t>五</w:t>
      </w:r>
      <w:bookmarkStart w:id="5" w:name="_Hlk54167917"/>
      <w:r>
        <w:rPr>
          <w:rFonts w:hint="default" w:ascii="Times New Roman" w:hAnsi="Times New Roman" w:eastAsia="新宋体" w:cs="Times New Roman"/>
          <w:b/>
          <w:bCs/>
          <w:snapToGrid w:val="0"/>
          <w:color w:val="000000" w:themeColor="text1"/>
          <w:sz w:val="30"/>
          <w:szCs w:val="30"/>
          <w:lang w:eastAsia="zh-CN"/>
          <w14:textFill>
            <w14:solidFill>
              <w14:schemeClr w14:val="tx1"/>
            </w14:solidFill>
          </w14:textFill>
        </w:rPr>
        <w:t>、</w:t>
      </w:r>
      <w:r>
        <w:rPr>
          <w:rFonts w:hint="default" w:ascii="Times New Roman" w:hAnsi="Times New Roman" w:eastAsia="新宋体" w:cs="Times New Roman"/>
          <w:b/>
          <w:bCs/>
          <w:snapToGrid w:val="0"/>
          <w:color w:val="000000" w:themeColor="text1"/>
          <w:sz w:val="30"/>
          <w:szCs w:val="30"/>
          <w14:textFill>
            <w14:solidFill>
              <w14:schemeClr w14:val="tx1"/>
            </w14:solidFill>
          </w14:textFill>
        </w:rPr>
        <w:t>环境保护措施监督检查清单</w:t>
      </w:r>
      <w:bookmarkEnd w:id="5"/>
    </w:p>
    <w:tbl>
      <w:tblPr>
        <w:tblStyle w:val="28"/>
        <w:tblW w:w="880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71"/>
        <w:gridCol w:w="1446"/>
        <w:gridCol w:w="1306"/>
        <w:gridCol w:w="2046"/>
        <w:gridCol w:w="3031"/>
      </w:tblGrid>
      <w:tr w14:paraId="45AA864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971" w:type="dxa"/>
            <w:tcBorders>
              <w:tl2br w:val="nil"/>
              <w:tr2bl w:val="nil"/>
            </w:tcBorders>
          </w:tcPr>
          <w:p w14:paraId="5AA18C76">
            <w:pPr>
              <w:pStyle w:val="41"/>
              <w:jc w:val="right"/>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内容</w:t>
            </w:r>
          </w:p>
          <w:p w14:paraId="037CA0E1">
            <w:pPr>
              <w:pStyle w:val="41"/>
              <w:rPr>
                <w:rFonts w:hint="default" w:ascii="Times New Roman" w:hAnsi="Times New Roman" w:eastAsia="新宋体" w:cs="Times New Roman"/>
                <w:color w:val="000000" w:themeColor="text1"/>
                <w:sz w:val="24"/>
                <w:szCs w:val="24"/>
                <w14:textFill>
                  <w14:solidFill>
                    <w14:schemeClr w14:val="tx1"/>
                  </w14:solidFill>
                </w14:textFill>
              </w:rPr>
            </w:pPr>
          </w:p>
          <w:p w14:paraId="4FEC7938">
            <w:pPr>
              <w:pStyle w:val="41"/>
              <w:rPr>
                <w:rFonts w:hint="default" w:ascii="Times New Roman" w:hAnsi="Times New Roman" w:eastAsia="新宋体" w:cs="Times New Roman"/>
                <w:color w:val="000000" w:themeColor="text1"/>
                <w:sz w:val="24"/>
                <w:szCs w:val="24"/>
                <w14:textFill>
                  <w14:solidFill>
                    <w14:schemeClr w14:val="tx1"/>
                  </w14:solidFill>
                </w14:textFill>
              </w:rPr>
            </w:pPr>
          </w:p>
          <w:p w14:paraId="255D9970">
            <w:pPr>
              <w:pStyle w:val="41"/>
              <w:jc w:val="left"/>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要素</w:t>
            </w:r>
          </w:p>
        </w:tc>
        <w:tc>
          <w:tcPr>
            <w:tcW w:w="1446" w:type="dxa"/>
            <w:tcBorders>
              <w:tl2br w:val="nil"/>
              <w:tr2bl w:val="nil"/>
            </w:tcBorders>
            <w:vAlign w:val="center"/>
          </w:tcPr>
          <w:p w14:paraId="4B912789">
            <w:pPr>
              <w:pStyle w:val="41"/>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排放口</w:t>
            </w:r>
            <w:r>
              <w:rPr>
                <w:rFonts w:hint="default" w:ascii="Times New Roman" w:hAnsi="Times New Roman" w:eastAsia="新宋体" w:cs="Times New Roman"/>
                <w:color w:val="000000" w:themeColor="text1"/>
                <w:sz w:val="24"/>
                <w:szCs w:val="24"/>
                <w:lang w:eastAsia="zh-CN"/>
                <w14:textFill>
                  <w14:solidFill>
                    <w14:schemeClr w14:val="tx1"/>
                  </w14:solidFill>
                </w14:textFill>
              </w:rPr>
              <w:t>（</w:t>
            </w:r>
            <w:r>
              <w:rPr>
                <w:rFonts w:hint="default" w:ascii="Times New Roman" w:hAnsi="Times New Roman" w:eastAsia="新宋体" w:cs="Times New Roman"/>
                <w:color w:val="000000" w:themeColor="text1"/>
                <w:sz w:val="24"/>
                <w:szCs w:val="24"/>
                <w14:textFill>
                  <w14:solidFill>
                    <w14:schemeClr w14:val="tx1"/>
                  </w14:solidFill>
                </w14:textFill>
              </w:rPr>
              <w:t>编号、名称</w:t>
            </w:r>
            <w:r>
              <w:rPr>
                <w:rFonts w:hint="default" w:ascii="Times New Roman" w:hAnsi="Times New Roman" w:eastAsia="新宋体" w:cs="Times New Roman"/>
                <w:color w:val="000000" w:themeColor="text1"/>
                <w:sz w:val="24"/>
                <w:szCs w:val="24"/>
                <w:lang w:eastAsia="zh-CN"/>
                <w14:textFill>
                  <w14:solidFill>
                    <w14:schemeClr w14:val="tx1"/>
                  </w14:solidFill>
                </w14:textFill>
              </w:rPr>
              <w:t>）</w:t>
            </w:r>
            <w:r>
              <w:rPr>
                <w:rFonts w:hint="default" w:ascii="Times New Roman" w:hAnsi="Times New Roman" w:eastAsia="新宋体" w:cs="Times New Roman"/>
                <w:color w:val="000000" w:themeColor="text1"/>
                <w:sz w:val="24"/>
                <w:szCs w:val="24"/>
                <w14:textFill>
                  <w14:solidFill>
                    <w14:schemeClr w14:val="tx1"/>
                  </w14:solidFill>
                </w14:textFill>
              </w:rPr>
              <w:t>/污染源</w:t>
            </w:r>
          </w:p>
        </w:tc>
        <w:tc>
          <w:tcPr>
            <w:tcW w:w="1306" w:type="dxa"/>
            <w:tcBorders>
              <w:tl2br w:val="nil"/>
              <w:tr2bl w:val="nil"/>
            </w:tcBorders>
            <w:vAlign w:val="center"/>
          </w:tcPr>
          <w:p w14:paraId="7C8FA2FA">
            <w:pPr>
              <w:pStyle w:val="41"/>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污染物项目</w:t>
            </w:r>
          </w:p>
        </w:tc>
        <w:tc>
          <w:tcPr>
            <w:tcW w:w="2046" w:type="dxa"/>
            <w:tcBorders>
              <w:tl2br w:val="nil"/>
              <w:tr2bl w:val="nil"/>
            </w:tcBorders>
            <w:vAlign w:val="center"/>
          </w:tcPr>
          <w:p w14:paraId="3C8CC1E9">
            <w:pPr>
              <w:pStyle w:val="41"/>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环境保护措施</w:t>
            </w:r>
          </w:p>
        </w:tc>
        <w:tc>
          <w:tcPr>
            <w:tcW w:w="3031" w:type="dxa"/>
            <w:tcBorders>
              <w:tl2br w:val="nil"/>
              <w:tr2bl w:val="nil"/>
            </w:tcBorders>
            <w:vAlign w:val="center"/>
          </w:tcPr>
          <w:p w14:paraId="437F5753">
            <w:pPr>
              <w:pStyle w:val="41"/>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执行标准</w:t>
            </w:r>
          </w:p>
        </w:tc>
      </w:tr>
      <w:tr w14:paraId="63FEF5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971" w:type="dxa"/>
            <w:vMerge w:val="restart"/>
            <w:tcBorders>
              <w:tl2br w:val="nil"/>
              <w:tr2bl w:val="nil"/>
            </w:tcBorders>
            <w:vAlign w:val="center"/>
          </w:tcPr>
          <w:p w14:paraId="5BB79D34">
            <w:pPr>
              <w:pStyle w:val="41"/>
              <w:rPr>
                <w:rFonts w:hint="eastAsia" w:ascii="Times New Roman" w:hAnsi="Times New Roman" w:eastAsia="新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大气环境</w:t>
            </w:r>
          </w:p>
        </w:tc>
        <w:tc>
          <w:tcPr>
            <w:tcW w:w="1446" w:type="dxa"/>
            <w:tcBorders>
              <w:tl2br w:val="nil"/>
              <w:tr2bl w:val="nil"/>
            </w:tcBorders>
            <w:vAlign w:val="center"/>
          </w:tcPr>
          <w:p w14:paraId="2E7D9B6C">
            <w:pPr>
              <w:pStyle w:val="41"/>
              <w:jc w:val="center"/>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运输</w:t>
            </w:r>
          </w:p>
        </w:tc>
        <w:tc>
          <w:tcPr>
            <w:tcW w:w="1306" w:type="dxa"/>
            <w:tcBorders>
              <w:tl2br w:val="nil"/>
              <w:tr2bl w:val="nil"/>
            </w:tcBorders>
            <w:vAlign w:val="center"/>
          </w:tcPr>
          <w:p w14:paraId="4F863237">
            <w:pPr>
              <w:pStyle w:val="41"/>
              <w:jc w:val="center"/>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颗粒物</w:t>
            </w:r>
          </w:p>
        </w:tc>
        <w:tc>
          <w:tcPr>
            <w:tcW w:w="2046" w:type="dxa"/>
            <w:tcBorders>
              <w:tl2br w:val="nil"/>
              <w:tr2bl w:val="nil"/>
            </w:tcBorders>
            <w:vAlign w:val="center"/>
          </w:tcPr>
          <w:p w14:paraId="3EAFC88E">
            <w:pPr>
              <w:pStyle w:val="41"/>
              <w:jc w:val="center"/>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车辆</w:t>
            </w:r>
            <w:r>
              <w:rPr>
                <w:rFonts w:hint="default" w:ascii="Times New Roman" w:hAnsi="Times New Roman" w:eastAsia="新宋体" w:cs="Times New Roman"/>
                <w:color w:val="000000" w:themeColor="text1"/>
                <w:sz w:val="24"/>
                <w:szCs w:val="24"/>
                <w14:textFill>
                  <w14:solidFill>
                    <w14:schemeClr w14:val="tx1"/>
                  </w14:solidFill>
                </w14:textFill>
              </w:rPr>
              <w:t>加盖篷布、洒水降尘</w:t>
            </w:r>
          </w:p>
        </w:tc>
        <w:tc>
          <w:tcPr>
            <w:tcW w:w="3031" w:type="dxa"/>
            <w:vMerge w:val="restart"/>
            <w:tcBorders>
              <w:tl2br w:val="nil"/>
              <w:tr2bl w:val="nil"/>
            </w:tcBorders>
            <w:vAlign w:val="center"/>
          </w:tcPr>
          <w:p w14:paraId="2F92EFDD">
            <w:pPr>
              <w:pStyle w:val="41"/>
              <w:jc w:val="center"/>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《水泥工业大气污染物排放标准》（GB4915-2013</w:t>
            </w:r>
            <w:r>
              <w:rPr>
                <w:rFonts w:hint="eastAsia" w:ascii="Times New Roman" w:hAnsi="Times New Roman" w:eastAsia="新宋体" w:cs="Times New Roman"/>
                <w:color w:val="000000" w:themeColor="text1"/>
                <w:sz w:val="24"/>
                <w:szCs w:val="24"/>
                <w:lang w:eastAsia="zh-CN"/>
                <w14:textFill>
                  <w14:solidFill>
                    <w14:schemeClr w14:val="tx1"/>
                  </w14:solidFill>
                </w14:textFill>
              </w:rPr>
              <w:t>）</w:t>
            </w:r>
            <w:r>
              <w:rPr>
                <w:rFonts w:hint="default" w:ascii="Times New Roman" w:hAnsi="Times New Roman" w:eastAsia="新宋体" w:cs="Times New Roman"/>
                <w:color w:val="000000" w:themeColor="text1"/>
                <w:sz w:val="24"/>
                <w:szCs w:val="24"/>
                <w14:textFill>
                  <w14:solidFill>
                    <w14:schemeClr w14:val="tx1"/>
                  </w14:solidFill>
                </w14:textFill>
              </w:rPr>
              <w:t>表3中颗粒物</w:t>
            </w: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0.5</w:t>
            </w:r>
            <w:r>
              <w:rPr>
                <w:rFonts w:hint="default" w:ascii="Times New Roman" w:hAnsi="Times New Roman" w:eastAsia="新宋体" w:cs="Times New Roman"/>
                <w:color w:val="000000" w:themeColor="text1"/>
                <w:sz w:val="24"/>
                <w:szCs w:val="24"/>
                <w14:textFill>
                  <w14:solidFill>
                    <w14:schemeClr w14:val="tx1"/>
                  </w14:solidFill>
                </w14:textFill>
              </w:rPr>
              <w:t>mg/m</w:t>
            </w:r>
            <w:r>
              <w:rPr>
                <w:rFonts w:hint="default" w:ascii="Times New Roman" w:hAnsi="Times New Roman" w:eastAsia="新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新宋体" w:cs="Times New Roman"/>
                <w:color w:val="000000" w:themeColor="text1"/>
                <w:sz w:val="24"/>
                <w:szCs w:val="24"/>
                <w14:textFill>
                  <w14:solidFill>
                    <w14:schemeClr w14:val="tx1"/>
                  </w14:solidFill>
                </w14:textFill>
              </w:rPr>
              <w:t>无组织排放限值</w:t>
            </w:r>
          </w:p>
        </w:tc>
      </w:tr>
      <w:tr w14:paraId="42D70FB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971" w:type="dxa"/>
            <w:vMerge w:val="continue"/>
            <w:tcBorders>
              <w:tl2br w:val="nil"/>
              <w:tr2bl w:val="nil"/>
            </w:tcBorders>
            <w:vAlign w:val="center"/>
          </w:tcPr>
          <w:p w14:paraId="182A2A73">
            <w:pPr>
              <w:pStyle w:val="41"/>
              <w:rPr>
                <w:rFonts w:hint="eastAsia" w:ascii="Times New Roman" w:hAnsi="Times New Roman" w:eastAsia="新宋体" w:cs="Times New Roman"/>
                <w:color w:val="000000" w:themeColor="text1"/>
                <w:sz w:val="24"/>
                <w:szCs w:val="24"/>
                <w:lang w:val="en-US" w:eastAsia="zh-CN"/>
                <w14:textFill>
                  <w14:solidFill>
                    <w14:schemeClr w14:val="tx1"/>
                  </w14:solidFill>
                </w14:textFill>
              </w:rPr>
            </w:pPr>
          </w:p>
        </w:tc>
        <w:tc>
          <w:tcPr>
            <w:tcW w:w="1446" w:type="dxa"/>
            <w:tcBorders>
              <w:tl2br w:val="nil"/>
              <w:tr2bl w:val="nil"/>
            </w:tcBorders>
            <w:vAlign w:val="center"/>
          </w:tcPr>
          <w:p w14:paraId="7163C6FA">
            <w:pPr>
              <w:pStyle w:val="41"/>
              <w:jc w:val="center"/>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汽车装卸</w:t>
            </w:r>
          </w:p>
        </w:tc>
        <w:tc>
          <w:tcPr>
            <w:tcW w:w="1306" w:type="dxa"/>
            <w:tcBorders>
              <w:tl2br w:val="nil"/>
              <w:tr2bl w:val="nil"/>
            </w:tcBorders>
            <w:vAlign w:val="center"/>
          </w:tcPr>
          <w:p w14:paraId="279A0850">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颗粒物</w:t>
            </w:r>
          </w:p>
        </w:tc>
        <w:tc>
          <w:tcPr>
            <w:tcW w:w="2046" w:type="dxa"/>
            <w:tcBorders>
              <w:tl2br w:val="nil"/>
              <w:tr2bl w:val="nil"/>
            </w:tcBorders>
            <w:vAlign w:val="center"/>
          </w:tcPr>
          <w:p w14:paraId="00262EDC">
            <w:pPr>
              <w:pStyle w:val="41"/>
              <w:jc w:val="center"/>
              <w:rPr>
                <w:rFonts w:hint="eastAsia" w:ascii="Times New Roman" w:hAnsi="Times New Roman" w:eastAsia="新宋体" w:cs="Times New Roman"/>
                <w:color w:val="000000" w:themeColor="text1"/>
                <w:sz w:val="24"/>
                <w:szCs w:val="24"/>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装卸点进行洒水抑尘</w:t>
            </w:r>
          </w:p>
        </w:tc>
        <w:tc>
          <w:tcPr>
            <w:tcW w:w="3031" w:type="dxa"/>
            <w:vMerge w:val="continue"/>
            <w:tcBorders>
              <w:tl2br w:val="nil"/>
              <w:tr2bl w:val="nil"/>
            </w:tcBorders>
            <w:vAlign w:val="center"/>
          </w:tcPr>
          <w:p w14:paraId="79619B1B">
            <w:pPr>
              <w:pStyle w:val="41"/>
              <w:jc w:val="center"/>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p>
        </w:tc>
      </w:tr>
      <w:tr w14:paraId="27FF19A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971" w:type="dxa"/>
            <w:vMerge w:val="continue"/>
            <w:tcBorders>
              <w:tl2br w:val="nil"/>
              <w:tr2bl w:val="nil"/>
            </w:tcBorders>
            <w:vAlign w:val="center"/>
          </w:tcPr>
          <w:p w14:paraId="0FA19230">
            <w:pPr>
              <w:pStyle w:val="41"/>
              <w:rPr>
                <w:rFonts w:hint="eastAsia" w:ascii="Times New Roman" w:hAnsi="Times New Roman" w:eastAsia="新宋体" w:cs="Times New Roman"/>
                <w:color w:val="000000" w:themeColor="text1"/>
                <w:sz w:val="24"/>
                <w:szCs w:val="24"/>
                <w:lang w:val="en-US" w:eastAsia="zh-CN"/>
                <w14:textFill>
                  <w14:solidFill>
                    <w14:schemeClr w14:val="tx1"/>
                  </w14:solidFill>
                </w14:textFill>
              </w:rPr>
            </w:pPr>
          </w:p>
        </w:tc>
        <w:tc>
          <w:tcPr>
            <w:tcW w:w="1446" w:type="dxa"/>
            <w:tcBorders>
              <w:tl2br w:val="nil"/>
              <w:tr2bl w:val="nil"/>
            </w:tcBorders>
            <w:vAlign w:val="center"/>
          </w:tcPr>
          <w:p w14:paraId="24E47E2E">
            <w:pPr>
              <w:pStyle w:val="41"/>
              <w:jc w:val="center"/>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输送</w:t>
            </w:r>
          </w:p>
        </w:tc>
        <w:tc>
          <w:tcPr>
            <w:tcW w:w="1306" w:type="dxa"/>
            <w:tcBorders>
              <w:tl2br w:val="nil"/>
              <w:tr2bl w:val="nil"/>
            </w:tcBorders>
            <w:vAlign w:val="center"/>
          </w:tcPr>
          <w:p w14:paraId="641F745C">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新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颗粒物</w:t>
            </w:r>
          </w:p>
        </w:tc>
        <w:tc>
          <w:tcPr>
            <w:tcW w:w="2046" w:type="dxa"/>
            <w:tcBorders>
              <w:tl2br w:val="nil"/>
              <w:tr2bl w:val="nil"/>
            </w:tcBorders>
            <w:vAlign w:val="center"/>
          </w:tcPr>
          <w:p w14:paraId="3A95122B">
            <w:pPr>
              <w:pStyle w:val="41"/>
              <w:jc w:val="center"/>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密闭传送带、封闭车间内输送</w:t>
            </w:r>
          </w:p>
        </w:tc>
        <w:tc>
          <w:tcPr>
            <w:tcW w:w="3031" w:type="dxa"/>
            <w:vMerge w:val="continue"/>
            <w:tcBorders>
              <w:tl2br w:val="nil"/>
              <w:tr2bl w:val="nil"/>
            </w:tcBorders>
            <w:vAlign w:val="center"/>
          </w:tcPr>
          <w:p w14:paraId="0BE6F983">
            <w:pPr>
              <w:pStyle w:val="41"/>
              <w:jc w:val="center"/>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p>
        </w:tc>
      </w:tr>
      <w:tr w14:paraId="38B8829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971" w:type="dxa"/>
            <w:vMerge w:val="continue"/>
            <w:tcBorders>
              <w:tl2br w:val="nil"/>
              <w:tr2bl w:val="nil"/>
            </w:tcBorders>
            <w:vAlign w:val="center"/>
          </w:tcPr>
          <w:p w14:paraId="0396AE05">
            <w:pPr>
              <w:pStyle w:val="41"/>
              <w:rPr>
                <w:rFonts w:hint="eastAsia" w:ascii="Times New Roman" w:hAnsi="Times New Roman" w:eastAsia="新宋体" w:cs="Times New Roman"/>
                <w:color w:val="000000" w:themeColor="text1"/>
                <w:sz w:val="24"/>
                <w:szCs w:val="24"/>
                <w:lang w:val="en-US" w:eastAsia="zh-CN"/>
                <w14:textFill>
                  <w14:solidFill>
                    <w14:schemeClr w14:val="tx1"/>
                  </w14:solidFill>
                </w14:textFill>
              </w:rPr>
            </w:pPr>
          </w:p>
        </w:tc>
        <w:tc>
          <w:tcPr>
            <w:tcW w:w="1446" w:type="dxa"/>
            <w:tcBorders>
              <w:tl2br w:val="nil"/>
              <w:tr2bl w:val="nil"/>
            </w:tcBorders>
            <w:vAlign w:val="center"/>
          </w:tcPr>
          <w:p w14:paraId="603B0874">
            <w:pPr>
              <w:pStyle w:val="41"/>
              <w:jc w:val="center"/>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水泥沙子堆场</w:t>
            </w:r>
          </w:p>
        </w:tc>
        <w:tc>
          <w:tcPr>
            <w:tcW w:w="1306" w:type="dxa"/>
            <w:tcBorders>
              <w:tl2br w:val="nil"/>
              <w:tr2bl w:val="nil"/>
            </w:tcBorders>
            <w:vAlign w:val="center"/>
          </w:tcPr>
          <w:p w14:paraId="1F108DF9">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颗粒物</w:t>
            </w:r>
          </w:p>
        </w:tc>
        <w:tc>
          <w:tcPr>
            <w:tcW w:w="2046" w:type="dxa"/>
            <w:tcBorders>
              <w:tl2br w:val="nil"/>
              <w:tr2bl w:val="nil"/>
            </w:tcBorders>
            <w:vAlign w:val="center"/>
          </w:tcPr>
          <w:p w14:paraId="0D079EEE">
            <w:pPr>
              <w:pStyle w:val="41"/>
              <w:jc w:val="center"/>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全封闭性</w:t>
            </w: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厂房</w:t>
            </w:r>
            <w:r>
              <w:rPr>
                <w:rFonts w:hint="default" w:ascii="Times New Roman" w:hAnsi="Times New Roman" w:eastAsia="新宋体" w:cs="Times New Roman"/>
                <w:color w:val="000000" w:themeColor="text1"/>
                <w:sz w:val="24"/>
                <w:szCs w:val="24"/>
                <w14:textFill>
                  <w14:solidFill>
                    <w14:schemeClr w14:val="tx1"/>
                  </w14:solidFill>
                </w14:textFill>
              </w:rPr>
              <w:t>+</w:t>
            </w: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雾炮洒水降尘</w:t>
            </w:r>
          </w:p>
        </w:tc>
        <w:tc>
          <w:tcPr>
            <w:tcW w:w="3031" w:type="dxa"/>
            <w:vMerge w:val="continue"/>
            <w:tcBorders>
              <w:tl2br w:val="nil"/>
              <w:tr2bl w:val="nil"/>
            </w:tcBorders>
            <w:vAlign w:val="center"/>
          </w:tcPr>
          <w:p w14:paraId="61393E97">
            <w:pPr>
              <w:pStyle w:val="41"/>
              <w:jc w:val="center"/>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p>
        </w:tc>
      </w:tr>
      <w:tr w14:paraId="144ACFF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971" w:type="dxa"/>
            <w:vMerge w:val="continue"/>
            <w:tcBorders>
              <w:tl2br w:val="nil"/>
              <w:tr2bl w:val="nil"/>
            </w:tcBorders>
            <w:vAlign w:val="center"/>
          </w:tcPr>
          <w:p w14:paraId="38938DAB">
            <w:pPr>
              <w:pStyle w:val="41"/>
              <w:rPr>
                <w:rFonts w:hint="eastAsia" w:ascii="Times New Roman" w:hAnsi="Times New Roman" w:eastAsia="新宋体" w:cs="Times New Roman"/>
                <w:color w:val="000000" w:themeColor="text1"/>
                <w:sz w:val="24"/>
                <w:szCs w:val="24"/>
                <w:lang w:val="en-US" w:eastAsia="zh-CN"/>
                <w14:textFill>
                  <w14:solidFill>
                    <w14:schemeClr w14:val="tx1"/>
                  </w14:solidFill>
                </w14:textFill>
              </w:rPr>
            </w:pPr>
          </w:p>
        </w:tc>
        <w:tc>
          <w:tcPr>
            <w:tcW w:w="1446" w:type="dxa"/>
            <w:tcBorders>
              <w:tl2br w:val="nil"/>
              <w:tr2bl w:val="nil"/>
            </w:tcBorders>
            <w:vAlign w:val="center"/>
          </w:tcPr>
          <w:p w14:paraId="25E2C941">
            <w:pPr>
              <w:pStyle w:val="41"/>
              <w:jc w:val="center"/>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投料、搅拌工序</w:t>
            </w:r>
          </w:p>
        </w:tc>
        <w:tc>
          <w:tcPr>
            <w:tcW w:w="1306" w:type="dxa"/>
            <w:tcBorders>
              <w:tl2br w:val="nil"/>
              <w:tr2bl w:val="nil"/>
            </w:tcBorders>
            <w:vAlign w:val="center"/>
          </w:tcPr>
          <w:p w14:paraId="3BECEC52">
            <w:pPr>
              <w:pStyle w:val="41"/>
              <w:jc w:val="center"/>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颗粒物</w:t>
            </w:r>
          </w:p>
        </w:tc>
        <w:tc>
          <w:tcPr>
            <w:tcW w:w="2046" w:type="dxa"/>
            <w:tcBorders>
              <w:tl2br w:val="nil"/>
              <w:tr2bl w:val="nil"/>
            </w:tcBorders>
            <w:vAlign w:val="center"/>
          </w:tcPr>
          <w:p w14:paraId="3A8F8B9E">
            <w:pPr>
              <w:pStyle w:val="41"/>
              <w:jc w:val="center"/>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集气罩+布袋除尘器引至15m高排放</w:t>
            </w:r>
          </w:p>
        </w:tc>
        <w:tc>
          <w:tcPr>
            <w:tcW w:w="3031" w:type="dxa"/>
            <w:tcBorders>
              <w:tl2br w:val="nil"/>
              <w:tr2bl w:val="nil"/>
            </w:tcBorders>
            <w:vAlign w:val="center"/>
          </w:tcPr>
          <w:p w14:paraId="7768A69C">
            <w:pPr>
              <w:pStyle w:val="41"/>
              <w:jc w:val="center"/>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《水泥工业大气污染物排放标准》（GB4915-2013</w:t>
            </w:r>
            <w:r>
              <w:rPr>
                <w:rFonts w:hint="eastAsia" w:ascii="Times New Roman" w:hAnsi="Times New Roman" w:eastAsia="新宋体" w:cs="Times New Roman"/>
                <w:color w:val="000000" w:themeColor="text1"/>
                <w:sz w:val="24"/>
                <w:szCs w:val="24"/>
                <w:lang w:eastAsia="zh-CN"/>
                <w14:textFill>
                  <w14:solidFill>
                    <w14:schemeClr w14:val="tx1"/>
                  </w14:solidFill>
                </w14:textFill>
              </w:rPr>
              <w:t>）</w:t>
            </w:r>
            <w:r>
              <w:rPr>
                <w:rFonts w:hint="default" w:ascii="Times New Roman" w:hAnsi="Times New Roman" w:eastAsia="新宋体" w:cs="Times New Roman"/>
                <w:color w:val="000000" w:themeColor="text1"/>
                <w:sz w:val="24"/>
                <w:szCs w:val="24"/>
                <w14:textFill>
                  <w14:solidFill>
                    <w14:schemeClr w14:val="tx1"/>
                  </w14:solidFill>
                </w14:textFill>
              </w:rPr>
              <w:t>表1中“散装水泥中转站及水泥制品生产，水泥仓及其他通风生产设备，颗粒物20mg/m</w:t>
            </w:r>
            <w:r>
              <w:rPr>
                <w:rFonts w:hint="default" w:ascii="Times New Roman" w:hAnsi="Times New Roman" w:eastAsia="新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新宋体" w:cs="Times New Roman"/>
                <w:color w:val="000000" w:themeColor="text1"/>
                <w:sz w:val="24"/>
                <w:szCs w:val="24"/>
                <w14:textFill>
                  <w14:solidFill>
                    <w14:schemeClr w14:val="tx1"/>
                  </w14:solidFill>
                </w14:textFill>
              </w:rPr>
              <w:t>”</w:t>
            </w:r>
          </w:p>
        </w:tc>
      </w:tr>
      <w:tr w14:paraId="49C4471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971" w:type="dxa"/>
            <w:vMerge w:val="continue"/>
            <w:tcBorders>
              <w:tl2br w:val="nil"/>
              <w:tr2bl w:val="nil"/>
            </w:tcBorders>
            <w:vAlign w:val="center"/>
          </w:tcPr>
          <w:p w14:paraId="49B701B8">
            <w:pPr>
              <w:pStyle w:val="41"/>
              <w:rPr>
                <w:rFonts w:hint="eastAsia" w:ascii="Times New Roman" w:hAnsi="Times New Roman" w:eastAsia="新宋体" w:cs="Times New Roman"/>
                <w:color w:val="000000" w:themeColor="text1"/>
                <w:sz w:val="24"/>
                <w:szCs w:val="24"/>
                <w:lang w:val="en-US" w:eastAsia="zh-CN"/>
                <w14:textFill>
                  <w14:solidFill>
                    <w14:schemeClr w14:val="tx1"/>
                  </w14:solidFill>
                </w14:textFill>
              </w:rPr>
            </w:pPr>
          </w:p>
        </w:tc>
        <w:tc>
          <w:tcPr>
            <w:tcW w:w="1446" w:type="dxa"/>
            <w:vMerge w:val="restart"/>
            <w:tcBorders>
              <w:tl2br w:val="nil"/>
              <w:tr2bl w:val="nil"/>
            </w:tcBorders>
            <w:vAlign w:val="center"/>
          </w:tcPr>
          <w:p w14:paraId="4830B6A6">
            <w:pPr>
              <w:pStyle w:val="41"/>
              <w:ind w:firstLine="0" w:firstLineChars="0"/>
              <w:jc w:val="center"/>
              <w:rPr>
                <w:rFonts w:hint="eastAsia" w:ascii="Times New Roman" w:hAnsi="Times New Roman" w:eastAsia="新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施工期污染源</w:t>
            </w:r>
          </w:p>
        </w:tc>
        <w:tc>
          <w:tcPr>
            <w:tcW w:w="1306" w:type="dxa"/>
            <w:tcBorders>
              <w:tl2br w:val="nil"/>
              <w:tr2bl w:val="nil"/>
            </w:tcBorders>
            <w:vAlign w:val="center"/>
          </w:tcPr>
          <w:p w14:paraId="17D2E89B">
            <w:pPr>
              <w:pStyle w:val="41"/>
              <w:ind w:firstLine="0" w:firstLineChars="0"/>
              <w:jc w:val="center"/>
              <w:rPr>
                <w:rFonts w:hint="eastAsia" w:ascii="Times New Roman" w:hAnsi="Times New Roman" w:eastAsia="新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颗粒物</w:t>
            </w:r>
          </w:p>
        </w:tc>
        <w:tc>
          <w:tcPr>
            <w:tcW w:w="2046" w:type="dxa"/>
            <w:tcBorders>
              <w:tl2br w:val="nil"/>
              <w:tr2bl w:val="nil"/>
            </w:tcBorders>
            <w:vAlign w:val="center"/>
          </w:tcPr>
          <w:p w14:paraId="533848DE">
            <w:pPr>
              <w:pStyle w:val="41"/>
              <w:ind w:firstLine="0" w:firstLineChars="0"/>
              <w:jc w:val="center"/>
              <w:rPr>
                <w:rFonts w:hint="eastAsia" w:ascii="Times New Roman" w:hAnsi="Times New Roman" w:eastAsia="新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洒水抑尘、建筑垃圾苫盖及时清运，选用成品商混，车辆冲洗后出场</w:t>
            </w:r>
          </w:p>
        </w:tc>
        <w:tc>
          <w:tcPr>
            <w:tcW w:w="3031" w:type="dxa"/>
            <w:tcBorders>
              <w:tl2br w:val="nil"/>
              <w:tr2bl w:val="nil"/>
            </w:tcBorders>
            <w:vAlign w:val="center"/>
          </w:tcPr>
          <w:p w14:paraId="5A122840">
            <w:pPr>
              <w:pStyle w:val="41"/>
              <w:ind w:firstLine="0" w:firstLineChars="0"/>
              <w:jc w:val="center"/>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《大气污染物综合排放标准》（GB16297-1996）中无组织排放标准，颗粒物≤1mg/m</w:t>
            </w:r>
            <w:r>
              <w:rPr>
                <w:rFonts w:hint="default" w:ascii="Times New Roman" w:hAnsi="Times New Roman" w:eastAsia="新宋体" w:cs="Times New Roman"/>
                <w:color w:val="000000" w:themeColor="text1"/>
                <w:sz w:val="24"/>
                <w:szCs w:val="24"/>
                <w:vertAlign w:val="superscript"/>
                <w14:textFill>
                  <w14:solidFill>
                    <w14:schemeClr w14:val="tx1"/>
                  </w14:solidFill>
                </w14:textFill>
              </w:rPr>
              <w:t>3</w:t>
            </w:r>
          </w:p>
        </w:tc>
      </w:tr>
      <w:tr w14:paraId="6F149C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971" w:type="dxa"/>
            <w:vMerge w:val="continue"/>
            <w:tcBorders>
              <w:tl2br w:val="nil"/>
              <w:tr2bl w:val="nil"/>
            </w:tcBorders>
            <w:vAlign w:val="center"/>
          </w:tcPr>
          <w:p w14:paraId="48EA43D6">
            <w:pPr>
              <w:pStyle w:val="41"/>
              <w:rPr>
                <w:rFonts w:hint="eastAsia" w:ascii="Times New Roman" w:hAnsi="Times New Roman" w:eastAsia="新宋体" w:cs="Times New Roman"/>
                <w:color w:val="000000" w:themeColor="text1"/>
                <w:sz w:val="24"/>
                <w:szCs w:val="24"/>
                <w:lang w:val="en-US" w:eastAsia="zh-CN"/>
                <w14:textFill>
                  <w14:solidFill>
                    <w14:schemeClr w14:val="tx1"/>
                  </w14:solidFill>
                </w14:textFill>
              </w:rPr>
            </w:pPr>
          </w:p>
        </w:tc>
        <w:tc>
          <w:tcPr>
            <w:tcW w:w="1446" w:type="dxa"/>
            <w:vMerge w:val="continue"/>
            <w:tcBorders>
              <w:tl2br w:val="nil"/>
              <w:tr2bl w:val="nil"/>
            </w:tcBorders>
            <w:vAlign w:val="center"/>
          </w:tcPr>
          <w:p w14:paraId="30A95615">
            <w:pPr>
              <w:pStyle w:val="41"/>
              <w:ind w:firstLine="0" w:firstLineChars="0"/>
              <w:jc w:val="center"/>
              <w:rPr>
                <w:rFonts w:hint="eastAsia" w:ascii="Times New Roman" w:hAnsi="Times New Roman" w:eastAsia="新宋体" w:cs="Times New Roman"/>
                <w:color w:val="000000" w:themeColor="text1"/>
                <w:sz w:val="24"/>
                <w:szCs w:val="24"/>
                <w:lang w:val="en-US" w:eastAsia="zh-CN"/>
                <w14:textFill>
                  <w14:solidFill>
                    <w14:schemeClr w14:val="tx1"/>
                  </w14:solidFill>
                </w14:textFill>
              </w:rPr>
            </w:pPr>
          </w:p>
        </w:tc>
        <w:tc>
          <w:tcPr>
            <w:tcW w:w="1306" w:type="dxa"/>
            <w:tcBorders>
              <w:tl2br w:val="nil"/>
              <w:tr2bl w:val="nil"/>
            </w:tcBorders>
            <w:vAlign w:val="center"/>
          </w:tcPr>
          <w:p w14:paraId="5EEEC73C">
            <w:pPr>
              <w:pStyle w:val="41"/>
              <w:ind w:firstLine="0" w:firstLineChars="0"/>
              <w:jc w:val="center"/>
              <w:rPr>
                <w:rFonts w:hint="eastAsia" w:ascii="Times New Roman" w:hAnsi="Times New Roman" w:eastAsia="新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机械废气等</w:t>
            </w:r>
          </w:p>
        </w:tc>
        <w:tc>
          <w:tcPr>
            <w:tcW w:w="2046" w:type="dxa"/>
            <w:tcBorders>
              <w:tl2br w:val="nil"/>
              <w:tr2bl w:val="nil"/>
            </w:tcBorders>
            <w:vAlign w:val="center"/>
          </w:tcPr>
          <w:p w14:paraId="321AA15D">
            <w:pPr>
              <w:pStyle w:val="41"/>
              <w:ind w:firstLine="0" w:firstLineChars="0"/>
              <w:jc w:val="center"/>
              <w:rPr>
                <w:rFonts w:hint="eastAsia" w:ascii="Times New Roman" w:hAnsi="Times New Roman" w:eastAsia="新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禁止超载、禁用劣质燃料</w:t>
            </w:r>
          </w:p>
        </w:tc>
        <w:tc>
          <w:tcPr>
            <w:tcW w:w="3031" w:type="dxa"/>
            <w:tcBorders>
              <w:tl2br w:val="nil"/>
              <w:tr2bl w:val="nil"/>
            </w:tcBorders>
            <w:vAlign w:val="center"/>
          </w:tcPr>
          <w:p w14:paraId="5A68B649">
            <w:pPr>
              <w:pStyle w:val="41"/>
              <w:ind w:firstLine="0" w:firstLineChars="0"/>
              <w:jc w:val="center"/>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《非道路移动机械用柴油机排气污染物排放限值及测量方法（中国第三、四阶段）》（GB20891-2014）修改单及《非道路柴油移动机械排气烟度限值及测量方法》）（GB36886-2018）表1中Ⅲ类限值要求</w:t>
            </w:r>
          </w:p>
        </w:tc>
      </w:tr>
      <w:tr w14:paraId="63A3B8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971" w:type="dxa"/>
            <w:vMerge w:val="restart"/>
            <w:tcBorders>
              <w:tl2br w:val="nil"/>
              <w:tr2bl w:val="nil"/>
            </w:tcBorders>
            <w:vAlign w:val="center"/>
          </w:tcPr>
          <w:p w14:paraId="6704EE47">
            <w:pPr>
              <w:pStyle w:val="41"/>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水环境</w:t>
            </w:r>
          </w:p>
        </w:tc>
        <w:tc>
          <w:tcPr>
            <w:tcW w:w="1446" w:type="dxa"/>
            <w:tcBorders>
              <w:tl2br w:val="nil"/>
              <w:tr2bl w:val="nil"/>
            </w:tcBorders>
            <w:vAlign w:val="center"/>
          </w:tcPr>
          <w:p w14:paraId="13C24EF6">
            <w:pPr>
              <w:pStyle w:val="41"/>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生活污水</w:t>
            </w:r>
          </w:p>
        </w:tc>
        <w:tc>
          <w:tcPr>
            <w:tcW w:w="1306" w:type="dxa"/>
            <w:tcBorders>
              <w:tl2br w:val="nil"/>
              <w:tr2bl w:val="nil"/>
            </w:tcBorders>
            <w:vAlign w:val="center"/>
          </w:tcPr>
          <w:p w14:paraId="12CA02E6">
            <w:pPr>
              <w:pStyle w:val="41"/>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COD、氨氮、SS、BOD</w:t>
            </w:r>
            <w:r>
              <w:rPr>
                <w:rFonts w:hint="default" w:ascii="Times New Roman" w:hAnsi="Times New Roman" w:eastAsia="新宋体" w:cs="Times New Roman"/>
                <w:color w:val="000000" w:themeColor="text1"/>
                <w:sz w:val="24"/>
                <w:szCs w:val="24"/>
                <w:vertAlign w:val="subscript"/>
                <w:lang w:val="en-US" w:eastAsia="zh-CN"/>
                <w14:textFill>
                  <w14:solidFill>
                    <w14:schemeClr w14:val="tx1"/>
                  </w14:solidFill>
                </w14:textFill>
              </w:rPr>
              <w:t>5</w:t>
            </w:r>
            <w:r>
              <w:rPr>
                <w:rFonts w:hint="default" w:ascii="Times New Roman" w:hAnsi="Times New Roman" w:eastAsia="新宋体" w:cs="Times New Roman"/>
                <w:color w:val="000000" w:themeColor="text1"/>
                <w:sz w:val="24"/>
                <w:szCs w:val="24"/>
                <w14:textFill>
                  <w14:solidFill>
                    <w14:schemeClr w14:val="tx1"/>
                  </w14:solidFill>
                </w14:textFill>
              </w:rPr>
              <w:t>等</w:t>
            </w:r>
          </w:p>
        </w:tc>
        <w:tc>
          <w:tcPr>
            <w:tcW w:w="2046" w:type="dxa"/>
            <w:tcBorders>
              <w:tl2br w:val="nil"/>
              <w:tr2bl w:val="nil"/>
            </w:tcBorders>
            <w:vAlign w:val="center"/>
          </w:tcPr>
          <w:p w14:paraId="0C045694">
            <w:pPr>
              <w:pStyle w:val="41"/>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4"/>
                <w:lang w:val="en-US" w:eastAsia="zh-CN"/>
                <w14:textFill>
                  <w14:solidFill>
                    <w14:schemeClr w14:val="tx1"/>
                  </w14:solidFill>
                </w14:textFill>
              </w:rPr>
              <w:t>经</w:t>
            </w: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防渗收集池收集，委托清运</w:t>
            </w:r>
          </w:p>
        </w:tc>
        <w:tc>
          <w:tcPr>
            <w:tcW w:w="3031" w:type="dxa"/>
            <w:tcBorders>
              <w:tl2br w:val="nil"/>
              <w:tr2bl w:val="nil"/>
            </w:tcBorders>
            <w:vAlign w:val="center"/>
          </w:tcPr>
          <w:p w14:paraId="2CC94202">
            <w:pPr>
              <w:pStyle w:val="41"/>
              <w:rPr>
                <w:rFonts w:hint="eastAsia" w:ascii="Times New Roman" w:hAnsi="Times New Roman" w:eastAsia="新宋体" w:cs="Times New Roman"/>
                <w:color w:val="000000" w:themeColor="text1"/>
                <w:sz w:val="24"/>
                <w:szCs w:val="24"/>
                <w:lang w:eastAsia="zh-CN"/>
                <w14:textFill>
                  <w14:solidFill>
                    <w14:schemeClr w14:val="tx1"/>
                  </w14:solidFill>
                </w14:textFill>
              </w:rPr>
            </w:pP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w:t>
            </w:r>
          </w:p>
        </w:tc>
      </w:tr>
      <w:tr w14:paraId="172E2A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971" w:type="dxa"/>
            <w:vMerge w:val="continue"/>
            <w:tcBorders>
              <w:tl2br w:val="nil"/>
              <w:tr2bl w:val="nil"/>
            </w:tcBorders>
            <w:vAlign w:val="center"/>
          </w:tcPr>
          <w:p w14:paraId="63687E6B">
            <w:pPr>
              <w:pStyle w:val="41"/>
              <w:rPr>
                <w:rFonts w:hint="default" w:ascii="Times New Roman" w:hAnsi="Times New Roman" w:eastAsia="新宋体" w:cs="Times New Roman"/>
                <w:color w:val="000000" w:themeColor="text1"/>
                <w:sz w:val="24"/>
                <w:szCs w:val="24"/>
                <w14:textFill>
                  <w14:solidFill>
                    <w14:schemeClr w14:val="tx1"/>
                  </w14:solidFill>
                </w14:textFill>
              </w:rPr>
            </w:pPr>
          </w:p>
        </w:tc>
        <w:tc>
          <w:tcPr>
            <w:tcW w:w="1446" w:type="dxa"/>
            <w:tcBorders>
              <w:tl2br w:val="nil"/>
              <w:tr2bl w:val="nil"/>
            </w:tcBorders>
            <w:vAlign w:val="center"/>
          </w:tcPr>
          <w:p w14:paraId="70D3B205">
            <w:pPr>
              <w:pStyle w:val="41"/>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生产废水</w:t>
            </w:r>
          </w:p>
        </w:tc>
        <w:tc>
          <w:tcPr>
            <w:tcW w:w="1306" w:type="dxa"/>
            <w:tcBorders>
              <w:tl2br w:val="nil"/>
              <w:tr2bl w:val="nil"/>
            </w:tcBorders>
            <w:vAlign w:val="center"/>
          </w:tcPr>
          <w:p w14:paraId="14A18F8B">
            <w:pPr>
              <w:pStyle w:val="41"/>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SS</w:t>
            </w:r>
          </w:p>
        </w:tc>
        <w:tc>
          <w:tcPr>
            <w:tcW w:w="2046" w:type="dxa"/>
            <w:tcBorders>
              <w:tl2br w:val="nil"/>
              <w:tr2bl w:val="nil"/>
            </w:tcBorders>
            <w:vAlign w:val="center"/>
          </w:tcPr>
          <w:p w14:paraId="33761AF5">
            <w:pPr>
              <w:pStyle w:val="41"/>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防渗沉淀池沉淀后回用</w:t>
            </w:r>
          </w:p>
        </w:tc>
        <w:tc>
          <w:tcPr>
            <w:tcW w:w="3031" w:type="dxa"/>
            <w:tcBorders>
              <w:tl2br w:val="nil"/>
              <w:tr2bl w:val="nil"/>
            </w:tcBorders>
            <w:vAlign w:val="center"/>
          </w:tcPr>
          <w:p w14:paraId="072AEE0C">
            <w:pPr>
              <w:pStyle w:val="41"/>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w:t>
            </w:r>
          </w:p>
        </w:tc>
      </w:tr>
      <w:tr w14:paraId="2A06B0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971" w:type="dxa"/>
            <w:vMerge w:val="continue"/>
            <w:tcBorders>
              <w:tl2br w:val="nil"/>
              <w:tr2bl w:val="nil"/>
            </w:tcBorders>
            <w:vAlign w:val="center"/>
          </w:tcPr>
          <w:p w14:paraId="64E65188">
            <w:pPr>
              <w:pStyle w:val="41"/>
              <w:rPr>
                <w:rFonts w:hint="default" w:ascii="Times New Roman" w:hAnsi="Times New Roman" w:eastAsia="新宋体" w:cs="Times New Roman"/>
                <w:color w:val="000000" w:themeColor="text1"/>
                <w:sz w:val="24"/>
                <w:szCs w:val="24"/>
                <w14:textFill>
                  <w14:solidFill>
                    <w14:schemeClr w14:val="tx1"/>
                  </w14:solidFill>
                </w14:textFill>
              </w:rPr>
            </w:pPr>
          </w:p>
        </w:tc>
        <w:tc>
          <w:tcPr>
            <w:tcW w:w="1446" w:type="dxa"/>
            <w:tcBorders>
              <w:tl2br w:val="nil"/>
              <w:tr2bl w:val="nil"/>
            </w:tcBorders>
            <w:vAlign w:val="center"/>
          </w:tcPr>
          <w:p w14:paraId="7E5254A8">
            <w:pPr>
              <w:pStyle w:val="41"/>
              <w:ind w:firstLine="0" w:firstLineChars="0"/>
              <w:rPr>
                <w:rFonts w:hint="eastAsia" w:ascii="Times New Roman" w:hAnsi="Times New Roman" w:eastAsia="新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施工期污染源</w:t>
            </w:r>
          </w:p>
        </w:tc>
        <w:tc>
          <w:tcPr>
            <w:tcW w:w="1306" w:type="dxa"/>
            <w:tcBorders>
              <w:tl2br w:val="nil"/>
              <w:tr2bl w:val="nil"/>
            </w:tcBorders>
            <w:vAlign w:val="center"/>
          </w:tcPr>
          <w:p w14:paraId="656D3C33">
            <w:pPr>
              <w:pStyle w:val="41"/>
              <w:ind w:firstLine="0" w:firstLineChars="0"/>
              <w:rPr>
                <w:rFonts w:hint="eastAsia" w:ascii="Times New Roman" w:hAnsi="Times New Roman" w:eastAsia="新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SS</w:t>
            </w:r>
          </w:p>
        </w:tc>
        <w:tc>
          <w:tcPr>
            <w:tcW w:w="2046" w:type="dxa"/>
            <w:tcBorders>
              <w:tl2br w:val="nil"/>
              <w:tr2bl w:val="nil"/>
            </w:tcBorders>
            <w:vAlign w:val="center"/>
          </w:tcPr>
          <w:p w14:paraId="511A5123">
            <w:pPr>
              <w:pStyle w:val="41"/>
              <w:ind w:firstLine="0" w:firstLineChars="0"/>
              <w:rPr>
                <w:rFonts w:hint="eastAsia" w:ascii="Times New Roman" w:hAnsi="Times New Roman" w:eastAsia="新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新宋体" w:cs="Times New Roman"/>
                <w:bCs/>
                <w:color w:val="000000" w:themeColor="text1"/>
                <w:spacing w:val="5"/>
                <w:kern w:val="0"/>
                <w:sz w:val="24"/>
                <w:szCs w:val="24"/>
                <w:lang w:val="en-US" w:eastAsia="zh-CN" w:bidi="ar-SA"/>
                <w14:textFill>
                  <w14:solidFill>
                    <w14:schemeClr w14:val="tx1"/>
                  </w14:solidFill>
                </w14:textFill>
              </w:rPr>
              <w:t>临时防渗沉淀池沉淀后回用</w:t>
            </w:r>
          </w:p>
        </w:tc>
        <w:tc>
          <w:tcPr>
            <w:tcW w:w="3031" w:type="dxa"/>
            <w:tcBorders>
              <w:tl2br w:val="nil"/>
              <w:tr2bl w:val="nil"/>
            </w:tcBorders>
            <w:vAlign w:val="center"/>
          </w:tcPr>
          <w:p w14:paraId="45052155">
            <w:pPr>
              <w:pStyle w:val="41"/>
              <w:ind w:firstLine="0" w:firstLineChars="0"/>
              <w:rPr>
                <w:rFonts w:hint="eastAsia" w:ascii="Times New Roman" w:hAnsi="Times New Roman" w:eastAsia="新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w:t>
            </w:r>
          </w:p>
        </w:tc>
      </w:tr>
      <w:tr w14:paraId="71C9B32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971" w:type="dxa"/>
            <w:vMerge w:val="restart"/>
            <w:tcBorders>
              <w:tl2br w:val="nil"/>
              <w:tr2bl w:val="nil"/>
            </w:tcBorders>
            <w:vAlign w:val="center"/>
          </w:tcPr>
          <w:p w14:paraId="33DCA133">
            <w:pPr>
              <w:pStyle w:val="41"/>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声环境</w:t>
            </w:r>
          </w:p>
        </w:tc>
        <w:tc>
          <w:tcPr>
            <w:tcW w:w="1446" w:type="dxa"/>
            <w:tcBorders>
              <w:tl2br w:val="nil"/>
              <w:tr2bl w:val="nil"/>
            </w:tcBorders>
            <w:vAlign w:val="center"/>
          </w:tcPr>
          <w:p w14:paraId="325EB5C2">
            <w:pPr>
              <w:pStyle w:val="41"/>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生产设备</w:t>
            </w:r>
          </w:p>
        </w:tc>
        <w:tc>
          <w:tcPr>
            <w:tcW w:w="1306" w:type="dxa"/>
            <w:tcBorders>
              <w:tl2br w:val="nil"/>
              <w:tr2bl w:val="nil"/>
            </w:tcBorders>
            <w:vAlign w:val="center"/>
          </w:tcPr>
          <w:p w14:paraId="6E0F5400">
            <w:pPr>
              <w:pStyle w:val="41"/>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噪声</w:t>
            </w:r>
          </w:p>
        </w:tc>
        <w:tc>
          <w:tcPr>
            <w:tcW w:w="2046" w:type="dxa"/>
            <w:tcBorders>
              <w:tl2br w:val="nil"/>
              <w:tr2bl w:val="nil"/>
            </w:tcBorders>
            <w:vAlign w:val="center"/>
          </w:tcPr>
          <w:p w14:paraId="16E16C9E">
            <w:pPr>
              <w:pStyle w:val="41"/>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隔音、消音、</w:t>
            </w:r>
            <w:r>
              <w:rPr>
                <w:rFonts w:hint="default" w:ascii="Times New Roman" w:hAnsi="Times New Roman" w:eastAsia="新宋体" w:cs="Times New Roman"/>
                <w:color w:val="000000" w:themeColor="text1"/>
                <w:sz w:val="24"/>
                <w:szCs w:val="24"/>
                <w:lang w:eastAsia="zh-CN"/>
                <w14:textFill>
                  <w14:solidFill>
                    <w14:schemeClr w14:val="tx1"/>
                  </w14:solidFill>
                </w14:textFill>
              </w:rPr>
              <w:t>减振</w:t>
            </w:r>
            <w:r>
              <w:rPr>
                <w:rFonts w:hint="default" w:ascii="Times New Roman" w:hAnsi="Times New Roman" w:eastAsia="新宋体" w:cs="Times New Roman"/>
                <w:color w:val="000000" w:themeColor="text1"/>
                <w:sz w:val="24"/>
                <w:szCs w:val="24"/>
                <w14:textFill>
                  <w14:solidFill>
                    <w14:schemeClr w14:val="tx1"/>
                  </w14:solidFill>
                </w14:textFill>
              </w:rPr>
              <w:t>、绿化等</w:t>
            </w:r>
          </w:p>
        </w:tc>
        <w:tc>
          <w:tcPr>
            <w:tcW w:w="3031" w:type="dxa"/>
            <w:tcBorders>
              <w:tl2br w:val="nil"/>
              <w:tr2bl w:val="nil"/>
            </w:tcBorders>
            <w:vAlign w:val="center"/>
          </w:tcPr>
          <w:p w14:paraId="3D1A4067">
            <w:pPr>
              <w:pStyle w:val="41"/>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《工业企业厂界环境噪声排放标准》（GB12348</w:t>
            </w:r>
            <w:r>
              <w:rPr>
                <w:rFonts w:hint="default" w:ascii="Times New Roman" w:hAnsi="Times New Roman" w:eastAsia="新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新宋体" w:cs="Times New Roman"/>
                <w:color w:val="000000" w:themeColor="text1"/>
                <w:sz w:val="24"/>
                <w:szCs w:val="24"/>
                <w14:textFill>
                  <w14:solidFill>
                    <w14:schemeClr w14:val="tx1"/>
                  </w14:solidFill>
                </w14:textFill>
              </w:rPr>
              <w:t>2008）</w:t>
            </w: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新宋体" w:cs="Times New Roman"/>
                <w:color w:val="000000" w:themeColor="text1"/>
                <w:sz w:val="24"/>
                <w:szCs w:val="24"/>
                <w14:textFill>
                  <w14:solidFill>
                    <w14:schemeClr w14:val="tx1"/>
                  </w14:solidFill>
                </w14:textFill>
              </w:rPr>
              <w:t>类标准</w:t>
            </w:r>
          </w:p>
        </w:tc>
      </w:tr>
      <w:tr w14:paraId="5A700CB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971" w:type="dxa"/>
            <w:vMerge w:val="continue"/>
            <w:tcBorders>
              <w:tl2br w:val="nil"/>
              <w:tr2bl w:val="nil"/>
            </w:tcBorders>
            <w:vAlign w:val="center"/>
          </w:tcPr>
          <w:p w14:paraId="1E346331">
            <w:pPr>
              <w:pStyle w:val="41"/>
              <w:rPr>
                <w:rFonts w:hint="default" w:ascii="Times New Roman" w:hAnsi="Times New Roman" w:eastAsia="新宋体" w:cs="Times New Roman"/>
                <w:color w:val="000000" w:themeColor="text1"/>
                <w:sz w:val="24"/>
                <w:szCs w:val="24"/>
                <w14:textFill>
                  <w14:solidFill>
                    <w14:schemeClr w14:val="tx1"/>
                  </w14:solidFill>
                </w14:textFill>
              </w:rPr>
            </w:pPr>
          </w:p>
        </w:tc>
        <w:tc>
          <w:tcPr>
            <w:tcW w:w="1446" w:type="dxa"/>
            <w:tcBorders>
              <w:tl2br w:val="nil"/>
              <w:tr2bl w:val="nil"/>
            </w:tcBorders>
            <w:vAlign w:val="center"/>
          </w:tcPr>
          <w:p w14:paraId="56947BF8">
            <w:pPr>
              <w:pStyle w:val="41"/>
              <w:ind w:firstLine="0" w:firstLineChars="0"/>
              <w:rPr>
                <w:rFonts w:hint="default" w:ascii="Times New Roman" w:hAnsi="Times New Roman" w:eastAsia="新宋体" w:cs="Times New Roman"/>
                <w:color w:val="000000" w:themeColor="text1"/>
                <w:sz w:val="24"/>
                <w:szCs w:val="24"/>
                <w14:textFill>
                  <w14:solidFill>
                    <w14:schemeClr w14:val="tx1"/>
                  </w14:solidFill>
                </w14:textFill>
              </w:rPr>
            </w:pP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施工噪声</w:t>
            </w:r>
          </w:p>
        </w:tc>
        <w:tc>
          <w:tcPr>
            <w:tcW w:w="1306" w:type="dxa"/>
            <w:tcBorders>
              <w:tl2br w:val="nil"/>
              <w:tr2bl w:val="nil"/>
            </w:tcBorders>
            <w:vAlign w:val="center"/>
          </w:tcPr>
          <w:p w14:paraId="0812404C">
            <w:pPr>
              <w:pStyle w:val="41"/>
              <w:ind w:firstLine="0" w:firstLineChars="0"/>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噪声</w:t>
            </w:r>
          </w:p>
        </w:tc>
        <w:tc>
          <w:tcPr>
            <w:tcW w:w="2046" w:type="dxa"/>
            <w:tcBorders>
              <w:tl2br w:val="nil"/>
              <w:tr2bl w:val="nil"/>
            </w:tcBorders>
            <w:vAlign w:val="center"/>
          </w:tcPr>
          <w:p w14:paraId="7C943529">
            <w:pPr>
              <w:pStyle w:val="41"/>
              <w:ind w:firstLine="0" w:firstLineChars="0"/>
              <w:rPr>
                <w:rFonts w:hint="default" w:ascii="Times New Roman" w:hAnsi="Times New Roman" w:eastAsia="新宋体" w:cs="Times New Roman"/>
                <w:color w:val="000000" w:themeColor="text1"/>
                <w:sz w:val="24"/>
                <w:szCs w:val="24"/>
                <w14:textFill>
                  <w14:solidFill>
                    <w14:schemeClr w14:val="tx1"/>
                  </w14:solidFill>
                </w14:textFill>
              </w:rPr>
            </w:pP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防止集中作业，运输车辆严禁超速、途经居民区禁止鸣笛</w:t>
            </w:r>
          </w:p>
        </w:tc>
        <w:tc>
          <w:tcPr>
            <w:tcW w:w="3031" w:type="dxa"/>
            <w:tcBorders>
              <w:tl2br w:val="nil"/>
              <w:tr2bl w:val="nil"/>
            </w:tcBorders>
            <w:vAlign w:val="center"/>
          </w:tcPr>
          <w:p w14:paraId="3B4C479C">
            <w:pPr>
              <w:pStyle w:val="41"/>
              <w:ind w:firstLine="0" w:firstLineChars="0"/>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《建筑施工场界环境噪声排放标准》（GB12523-2011）</w:t>
            </w:r>
          </w:p>
        </w:tc>
      </w:tr>
      <w:tr w14:paraId="38CBC26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971" w:type="dxa"/>
            <w:vMerge w:val="restart"/>
            <w:tcBorders>
              <w:tl2br w:val="nil"/>
              <w:tr2bl w:val="nil"/>
            </w:tcBorders>
            <w:vAlign w:val="center"/>
          </w:tcPr>
          <w:p w14:paraId="7B079323">
            <w:pPr>
              <w:pStyle w:val="41"/>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固体废物</w:t>
            </w:r>
          </w:p>
        </w:tc>
        <w:tc>
          <w:tcPr>
            <w:tcW w:w="1446" w:type="dxa"/>
            <w:tcBorders>
              <w:tl2br w:val="nil"/>
              <w:tr2bl w:val="nil"/>
            </w:tcBorders>
            <w:vAlign w:val="center"/>
          </w:tcPr>
          <w:p w14:paraId="263F8CDA">
            <w:pPr>
              <w:pStyle w:val="41"/>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4"/>
                <w:lang w:val="en-US" w:eastAsia="zh-CN"/>
                <w14:textFill>
                  <w14:solidFill>
                    <w14:schemeClr w14:val="tx1"/>
                  </w14:solidFill>
                </w14:textFill>
              </w:rPr>
              <w:t>生活垃圾</w:t>
            </w:r>
          </w:p>
        </w:tc>
        <w:tc>
          <w:tcPr>
            <w:tcW w:w="1306" w:type="dxa"/>
            <w:tcBorders>
              <w:tl2br w:val="nil"/>
              <w:tr2bl w:val="nil"/>
            </w:tcBorders>
            <w:vAlign w:val="center"/>
          </w:tcPr>
          <w:p w14:paraId="27D2B0A4">
            <w:pPr>
              <w:pStyle w:val="41"/>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4"/>
                <w:lang w:val="en-US" w:eastAsia="zh-CN"/>
                <w14:textFill>
                  <w14:solidFill>
                    <w14:schemeClr w14:val="tx1"/>
                  </w14:solidFill>
                </w14:textFill>
              </w:rPr>
              <w:t>/</w:t>
            </w:r>
          </w:p>
        </w:tc>
        <w:tc>
          <w:tcPr>
            <w:tcW w:w="2046" w:type="dxa"/>
            <w:tcBorders>
              <w:tl2br w:val="nil"/>
              <w:tr2bl w:val="nil"/>
            </w:tcBorders>
            <w:vAlign w:val="center"/>
          </w:tcPr>
          <w:p w14:paraId="15BBDD5D">
            <w:pPr>
              <w:pStyle w:val="41"/>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县</w:t>
            </w:r>
            <w:r>
              <w:rPr>
                <w:rFonts w:hint="default" w:ascii="Times New Roman" w:hAnsi="Times New Roman" w:eastAsia="新宋体" w:cs="Times New Roman"/>
                <w:color w:val="000000" w:themeColor="text1"/>
                <w:sz w:val="24"/>
                <w:szCs w:val="24"/>
                <w:lang w:val="en-US" w:eastAsia="zh-CN"/>
                <w14:textFill>
                  <w14:solidFill>
                    <w14:schemeClr w14:val="tx1"/>
                  </w14:solidFill>
                </w14:textFill>
              </w:rPr>
              <w:t>环卫处置</w:t>
            </w:r>
          </w:p>
        </w:tc>
        <w:tc>
          <w:tcPr>
            <w:tcW w:w="3031" w:type="dxa"/>
            <w:vMerge w:val="restart"/>
            <w:tcBorders>
              <w:tl2br w:val="nil"/>
              <w:tr2bl w:val="nil"/>
            </w:tcBorders>
            <w:vAlign w:val="center"/>
          </w:tcPr>
          <w:p w14:paraId="1C8F2398">
            <w:pPr>
              <w:pStyle w:val="41"/>
              <w:rPr>
                <w:rFonts w:hint="default" w:ascii="Times New Roman" w:hAnsi="Times New Roman" w:eastAsia="新宋体" w:cs="Times New Roman"/>
                <w:b w:val="0"/>
                <w:bCs/>
                <w:color w:val="000000" w:themeColor="text1"/>
                <w:sz w:val="24"/>
                <w:szCs w:val="24"/>
                <w:lang w:val="en-US" w:eastAsia="zh-CN"/>
                <w14:textFill>
                  <w14:solidFill>
                    <w14:schemeClr w14:val="tx1"/>
                  </w14:solidFill>
                </w14:textFill>
              </w:rPr>
            </w:pPr>
            <w:r>
              <w:rPr>
                <w:rFonts w:hint="default" w:ascii="Times New Roman" w:hAnsi="Times New Roman" w:eastAsia="新宋体" w:cs="Times New Roman"/>
                <w:b w:val="0"/>
                <w:bCs/>
                <w:color w:val="000000" w:themeColor="text1"/>
                <w:sz w:val="24"/>
                <w:szCs w:val="24"/>
                <w:lang w:val="en-US" w:eastAsia="zh-CN"/>
                <w14:textFill>
                  <w14:solidFill>
                    <w14:schemeClr w14:val="tx1"/>
                  </w14:solidFill>
                </w14:textFill>
              </w:rPr>
              <w:t>处置合理</w:t>
            </w:r>
          </w:p>
        </w:tc>
      </w:tr>
      <w:tr w14:paraId="020D376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971" w:type="dxa"/>
            <w:vMerge w:val="continue"/>
            <w:tcBorders>
              <w:tl2br w:val="nil"/>
              <w:tr2bl w:val="nil"/>
            </w:tcBorders>
            <w:vAlign w:val="center"/>
          </w:tcPr>
          <w:p w14:paraId="350FBE65">
            <w:pPr>
              <w:pStyle w:val="41"/>
              <w:rPr>
                <w:rFonts w:hint="default" w:ascii="Times New Roman" w:hAnsi="Times New Roman" w:eastAsia="新宋体" w:cs="Times New Roman"/>
                <w:color w:val="000000" w:themeColor="text1"/>
                <w:sz w:val="24"/>
                <w:szCs w:val="24"/>
                <w14:textFill>
                  <w14:solidFill>
                    <w14:schemeClr w14:val="tx1"/>
                  </w14:solidFill>
                </w14:textFill>
              </w:rPr>
            </w:pPr>
          </w:p>
        </w:tc>
        <w:tc>
          <w:tcPr>
            <w:tcW w:w="1446" w:type="dxa"/>
            <w:tcBorders>
              <w:tl2br w:val="nil"/>
              <w:tr2bl w:val="nil"/>
            </w:tcBorders>
            <w:vAlign w:val="center"/>
          </w:tcPr>
          <w:p w14:paraId="3EF98B67">
            <w:pPr>
              <w:pStyle w:val="41"/>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4"/>
                <w:lang w:val="en-US" w:eastAsia="zh-CN"/>
                <w14:textFill>
                  <w14:solidFill>
                    <w14:schemeClr w14:val="tx1"/>
                  </w14:solidFill>
                </w14:textFill>
              </w:rPr>
              <w:t>废</w:t>
            </w: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机</w:t>
            </w:r>
            <w:r>
              <w:rPr>
                <w:rFonts w:hint="default" w:ascii="Times New Roman" w:hAnsi="Times New Roman" w:eastAsia="新宋体" w:cs="Times New Roman"/>
                <w:color w:val="000000" w:themeColor="text1"/>
                <w:sz w:val="24"/>
                <w:szCs w:val="24"/>
                <w:lang w:val="en-US" w:eastAsia="zh-CN"/>
                <w14:textFill>
                  <w14:solidFill>
                    <w14:schemeClr w14:val="tx1"/>
                  </w14:solidFill>
                </w14:textFill>
              </w:rPr>
              <w:t>油/废油桶</w:t>
            </w:r>
          </w:p>
        </w:tc>
        <w:tc>
          <w:tcPr>
            <w:tcW w:w="1306" w:type="dxa"/>
            <w:tcBorders>
              <w:tl2br w:val="nil"/>
              <w:tr2bl w:val="nil"/>
            </w:tcBorders>
            <w:vAlign w:val="center"/>
          </w:tcPr>
          <w:p w14:paraId="38F80EF0">
            <w:pPr>
              <w:pStyle w:val="41"/>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4"/>
                <w:lang w:val="en-US" w:eastAsia="zh-CN"/>
                <w14:textFill>
                  <w14:solidFill>
                    <w14:schemeClr w14:val="tx1"/>
                  </w14:solidFill>
                </w14:textFill>
              </w:rPr>
              <w:t>危险废物</w:t>
            </w:r>
          </w:p>
        </w:tc>
        <w:tc>
          <w:tcPr>
            <w:tcW w:w="2046" w:type="dxa"/>
            <w:tcBorders>
              <w:tl2br w:val="nil"/>
              <w:tr2bl w:val="nil"/>
            </w:tcBorders>
            <w:vAlign w:val="center"/>
          </w:tcPr>
          <w:p w14:paraId="75EA36E1">
            <w:pPr>
              <w:pStyle w:val="41"/>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4"/>
                <w:lang w:val="en-US" w:eastAsia="zh-CN"/>
                <w14:textFill>
                  <w14:solidFill>
                    <w14:schemeClr w14:val="tx1"/>
                  </w14:solidFill>
                </w14:textFill>
              </w:rPr>
              <w:t>危废暂存间暂存后交由有危废处置资质单位处理</w:t>
            </w:r>
          </w:p>
        </w:tc>
        <w:tc>
          <w:tcPr>
            <w:tcW w:w="3031" w:type="dxa"/>
            <w:vMerge w:val="continue"/>
            <w:tcBorders>
              <w:tl2br w:val="nil"/>
              <w:tr2bl w:val="nil"/>
            </w:tcBorders>
            <w:vAlign w:val="center"/>
          </w:tcPr>
          <w:p w14:paraId="2168A5B7">
            <w:pPr>
              <w:pStyle w:val="41"/>
              <w:rPr>
                <w:rFonts w:hint="default" w:ascii="Times New Roman" w:hAnsi="Times New Roman" w:eastAsia="新宋体" w:cs="Times New Roman"/>
                <w:b/>
                <w:bCs w:val="0"/>
                <w:color w:val="000000" w:themeColor="text1"/>
                <w:sz w:val="24"/>
                <w:szCs w:val="24"/>
                <w:lang w:val="en-US" w:eastAsia="zh-CN"/>
                <w14:textFill>
                  <w14:solidFill>
                    <w14:schemeClr w14:val="tx1"/>
                  </w14:solidFill>
                </w14:textFill>
              </w:rPr>
            </w:pPr>
          </w:p>
        </w:tc>
      </w:tr>
      <w:tr w14:paraId="7B1838C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971" w:type="dxa"/>
            <w:vMerge w:val="continue"/>
            <w:tcBorders>
              <w:tl2br w:val="nil"/>
              <w:tr2bl w:val="nil"/>
            </w:tcBorders>
            <w:vAlign w:val="center"/>
          </w:tcPr>
          <w:p w14:paraId="14922CFD">
            <w:pPr>
              <w:pStyle w:val="41"/>
              <w:rPr>
                <w:rFonts w:hint="default" w:ascii="Times New Roman" w:hAnsi="Times New Roman" w:eastAsia="新宋体" w:cs="Times New Roman"/>
                <w:color w:val="000000" w:themeColor="text1"/>
                <w:sz w:val="24"/>
                <w:szCs w:val="24"/>
                <w14:textFill>
                  <w14:solidFill>
                    <w14:schemeClr w14:val="tx1"/>
                  </w14:solidFill>
                </w14:textFill>
              </w:rPr>
            </w:pPr>
          </w:p>
        </w:tc>
        <w:tc>
          <w:tcPr>
            <w:tcW w:w="1446" w:type="dxa"/>
            <w:tcBorders>
              <w:tl2br w:val="nil"/>
              <w:tr2bl w:val="nil"/>
            </w:tcBorders>
            <w:vAlign w:val="center"/>
          </w:tcPr>
          <w:p w14:paraId="0EAC55C8">
            <w:pPr>
              <w:pStyle w:val="41"/>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生产固废</w:t>
            </w:r>
          </w:p>
        </w:tc>
        <w:tc>
          <w:tcPr>
            <w:tcW w:w="1306" w:type="dxa"/>
            <w:tcBorders>
              <w:tl2br w:val="nil"/>
              <w:tr2bl w:val="nil"/>
            </w:tcBorders>
            <w:vAlign w:val="center"/>
          </w:tcPr>
          <w:p w14:paraId="25727892">
            <w:pPr>
              <w:pStyle w:val="41"/>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除尘灰、废包装物、废模具</w:t>
            </w:r>
          </w:p>
        </w:tc>
        <w:tc>
          <w:tcPr>
            <w:tcW w:w="2046" w:type="dxa"/>
            <w:tcBorders>
              <w:tl2br w:val="nil"/>
              <w:tr2bl w:val="nil"/>
            </w:tcBorders>
            <w:vAlign w:val="center"/>
          </w:tcPr>
          <w:p w14:paraId="373C5959">
            <w:pPr>
              <w:pStyle w:val="41"/>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一般工业固体废物堆场</w:t>
            </w:r>
          </w:p>
        </w:tc>
        <w:tc>
          <w:tcPr>
            <w:tcW w:w="3031" w:type="dxa"/>
            <w:tcBorders>
              <w:tl2br w:val="nil"/>
              <w:tr2bl w:val="nil"/>
            </w:tcBorders>
            <w:vAlign w:val="center"/>
          </w:tcPr>
          <w:p w14:paraId="36C597BD">
            <w:pPr>
              <w:pStyle w:val="41"/>
              <w:rPr>
                <w:rFonts w:hint="default" w:ascii="Times New Roman" w:hAnsi="Times New Roman" w:eastAsia="新宋体" w:cs="Times New Roman"/>
                <w:b/>
                <w:bCs w:val="0"/>
                <w:color w:val="000000" w:themeColor="text1"/>
                <w:sz w:val="24"/>
                <w:szCs w:val="24"/>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资源化、减量化，除尘灰、不合格产品回用生产；其余外售回收站</w:t>
            </w:r>
          </w:p>
        </w:tc>
      </w:tr>
      <w:tr w14:paraId="11DAD49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971" w:type="dxa"/>
            <w:vMerge w:val="continue"/>
            <w:tcBorders>
              <w:tl2br w:val="nil"/>
              <w:tr2bl w:val="nil"/>
            </w:tcBorders>
            <w:vAlign w:val="center"/>
          </w:tcPr>
          <w:p w14:paraId="37463BC5">
            <w:pPr>
              <w:pStyle w:val="41"/>
              <w:rPr>
                <w:rFonts w:hint="default" w:ascii="Times New Roman" w:hAnsi="Times New Roman" w:eastAsia="新宋体" w:cs="Times New Roman"/>
                <w:color w:val="000000" w:themeColor="text1"/>
                <w:sz w:val="24"/>
                <w:szCs w:val="24"/>
                <w14:textFill>
                  <w14:solidFill>
                    <w14:schemeClr w14:val="tx1"/>
                  </w14:solidFill>
                </w14:textFill>
              </w:rPr>
            </w:pPr>
          </w:p>
        </w:tc>
        <w:tc>
          <w:tcPr>
            <w:tcW w:w="1446" w:type="dxa"/>
            <w:vMerge w:val="restart"/>
            <w:tcBorders>
              <w:tl2br w:val="nil"/>
              <w:tr2bl w:val="nil"/>
            </w:tcBorders>
            <w:vAlign w:val="center"/>
          </w:tcPr>
          <w:p w14:paraId="5A1D062C">
            <w:pPr>
              <w:pStyle w:val="41"/>
              <w:ind w:firstLine="0" w:firstLineChars="0"/>
              <w:rPr>
                <w:rFonts w:hint="eastAsia" w:ascii="Times New Roman" w:hAnsi="Times New Roman" w:eastAsia="新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施工固废</w:t>
            </w:r>
          </w:p>
        </w:tc>
        <w:tc>
          <w:tcPr>
            <w:tcW w:w="1306" w:type="dxa"/>
            <w:tcBorders>
              <w:tl2br w:val="nil"/>
              <w:tr2bl w:val="nil"/>
            </w:tcBorders>
            <w:vAlign w:val="center"/>
          </w:tcPr>
          <w:p w14:paraId="77558C21">
            <w:pPr>
              <w:pStyle w:val="41"/>
              <w:ind w:firstLine="0" w:firstLineChars="0"/>
              <w:rPr>
                <w:rFonts w:hint="eastAsia" w:ascii="Times New Roman" w:hAnsi="Times New Roman" w:eastAsia="新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建筑垃圾</w:t>
            </w:r>
          </w:p>
        </w:tc>
        <w:tc>
          <w:tcPr>
            <w:tcW w:w="2046" w:type="dxa"/>
            <w:tcBorders>
              <w:tl2br w:val="nil"/>
              <w:tr2bl w:val="nil"/>
            </w:tcBorders>
            <w:vAlign w:val="center"/>
          </w:tcPr>
          <w:p w14:paraId="0B71B50B">
            <w:pPr>
              <w:pStyle w:val="41"/>
              <w:ind w:firstLine="0" w:firstLineChars="0"/>
              <w:rPr>
                <w:rFonts w:hint="eastAsia" w:ascii="Times New Roman" w:hAnsi="Times New Roman" w:eastAsia="新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分类收集、资源化利用</w:t>
            </w:r>
          </w:p>
        </w:tc>
        <w:tc>
          <w:tcPr>
            <w:tcW w:w="3031" w:type="dxa"/>
            <w:tcBorders>
              <w:tl2br w:val="nil"/>
              <w:tr2bl w:val="nil"/>
            </w:tcBorders>
            <w:vAlign w:val="center"/>
          </w:tcPr>
          <w:p w14:paraId="3872F211">
            <w:pPr>
              <w:pStyle w:val="41"/>
              <w:ind w:firstLine="0" w:firstLineChars="0"/>
              <w:rPr>
                <w:rFonts w:hint="eastAsia" w:ascii="Times New Roman" w:hAnsi="Times New Roman" w:eastAsia="新宋体" w:cs="Times New Roman"/>
                <w:color w:val="000000" w:themeColor="text1"/>
                <w:sz w:val="24"/>
                <w:szCs w:val="24"/>
                <w:lang w:val="en-US" w:eastAsia="zh-CN"/>
                <w14:textFill>
                  <w14:solidFill>
                    <w14:schemeClr w14:val="tx1"/>
                  </w14:solidFill>
                </w14:textFill>
              </w:rPr>
            </w:pPr>
            <w:r>
              <w:rPr>
                <w:rFonts w:hint="default" w:ascii="Times New Roman" w:hAnsi="Times New Roman" w:eastAsia="新宋体" w:cs="Times New Roman"/>
                <w:b w:val="0"/>
                <w:bCs/>
                <w:color w:val="000000" w:themeColor="text1"/>
                <w:sz w:val="24"/>
                <w:szCs w:val="24"/>
                <w:lang w:val="en-US" w:eastAsia="zh-CN"/>
                <w14:textFill>
                  <w14:solidFill>
                    <w14:schemeClr w14:val="tx1"/>
                  </w14:solidFill>
                </w14:textFill>
              </w:rPr>
              <w:t>处置合理</w:t>
            </w:r>
          </w:p>
        </w:tc>
      </w:tr>
      <w:tr w14:paraId="0319B01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971" w:type="dxa"/>
            <w:vMerge w:val="continue"/>
            <w:tcBorders>
              <w:tl2br w:val="nil"/>
              <w:tr2bl w:val="nil"/>
            </w:tcBorders>
            <w:vAlign w:val="center"/>
          </w:tcPr>
          <w:p w14:paraId="7B1495AC">
            <w:pPr>
              <w:pStyle w:val="41"/>
              <w:rPr>
                <w:rFonts w:hint="default" w:ascii="Times New Roman" w:hAnsi="Times New Roman" w:eastAsia="新宋体" w:cs="Times New Roman"/>
                <w:color w:val="000000" w:themeColor="text1"/>
                <w:sz w:val="24"/>
                <w:szCs w:val="24"/>
                <w14:textFill>
                  <w14:solidFill>
                    <w14:schemeClr w14:val="tx1"/>
                  </w14:solidFill>
                </w14:textFill>
              </w:rPr>
            </w:pPr>
          </w:p>
        </w:tc>
        <w:tc>
          <w:tcPr>
            <w:tcW w:w="1446" w:type="dxa"/>
            <w:vMerge w:val="continue"/>
            <w:tcBorders>
              <w:tl2br w:val="nil"/>
              <w:tr2bl w:val="nil"/>
            </w:tcBorders>
            <w:vAlign w:val="center"/>
          </w:tcPr>
          <w:p w14:paraId="45E7AA73">
            <w:pPr>
              <w:pStyle w:val="41"/>
              <w:ind w:firstLine="0" w:firstLineChars="0"/>
              <w:rPr>
                <w:rFonts w:hint="eastAsia" w:ascii="Times New Roman" w:hAnsi="Times New Roman" w:eastAsia="新宋体" w:cs="Times New Roman"/>
                <w:color w:val="000000" w:themeColor="text1"/>
                <w:sz w:val="24"/>
                <w:szCs w:val="24"/>
                <w:lang w:val="en-US" w:eastAsia="zh-CN"/>
                <w14:textFill>
                  <w14:solidFill>
                    <w14:schemeClr w14:val="tx1"/>
                  </w14:solidFill>
                </w14:textFill>
              </w:rPr>
            </w:pPr>
          </w:p>
        </w:tc>
        <w:tc>
          <w:tcPr>
            <w:tcW w:w="1306" w:type="dxa"/>
            <w:tcBorders>
              <w:tl2br w:val="nil"/>
              <w:tr2bl w:val="nil"/>
            </w:tcBorders>
            <w:vAlign w:val="center"/>
          </w:tcPr>
          <w:p w14:paraId="6B6791F5">
            <w:pPr>
              <w:pStyle w:val="41"/>
              <w:ind w:firstLine="0" w:firstLineChars="0"/>
              <w:rPr>
                <w:rFonts w:hint="eastAsia" w:ascii="Times New Roman" w:hAnsi="Times New Roman" w:eastAsia="新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生活垃圾</w:t>
            </w:r>
          </w:p>
        </w:tc>
        <w:tc>
          <w:tcPr>
            <w:tcW w:w="2046" w:type="dxa"/>
            <w:tcBorders>
              <w:tl2br w:val="nil"/>
              <w:tr2bl w:val="nil"/>
            </w:tcBorders>
            <w:vAlign w:val="center"/>
          </w:tcPr>
          <w:p w14:paraId="6312419D">
            <w:pPr>
              <w:pStyle w:val="41"/>
              <w:ind w:firstLine="0" w:firstLineChars="0"/>
              <w:rPr>
                <w:rFonts w:hint="eastAsia" w:ascii="Times New Roman" w:hAnsi="Times New Roman" w:eastAsia="新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临时垃圾收集船收集后委托环卫部门统一处置</w:t>
            </w:r>
          </w:p>
        </w:tc>
        <w:tc>
          <w:tcPr>
            <w:tcW w:w="3031" w:type="dxa"/>
            <w:tcBorders>
              <w:tl2br w:val="nil"/>
              <w:tr2bl w:val="nil"/>
            </w:tcBorders>
            <w:vAlign w:val="center"/>
          </w:tcPr>
          <w:p w14:paraId="42C2EDB3">
            <w:pPr>
              <w:pStyle w:val="41"/>
              <w:ind w:firstLine="0" w:firstLineChars="0"/>
              <w:rPr>
                <w:rFonts w:hint="eastAsia" w:ascii="Times New Roman" w:hAnsi="Times New Roman" w:eastAsia="新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新宋体" w:cs="Times New Roman"/>
                <w:b w:val="0"/>
                <w:bCs/>
                <w:color w:val="000000" w:themeColor="text1"/>
                <w:sz w:val="24"/>
                <w:szCs w:val="24"/>
                <w:lang w:val="en-US" w:eastAsia="zh-CN"/>
                <w14:textFill>
                  <w14:solidFill>
                    <w14:schemeClr w14:val="tx1"/>
                  </w14:solidFill>
                </w14:textFill>
              </w:rPr>
              <w:t>/</w:t>
            </w:r>
          </w:p>
        </w:tc>
      </w:tr>
      <w:tr w14:paraId="61C477C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6" w:hRule="atLeast"/>
          <w:jc w:val="center"/>
        </w:trPr>
        <w:tc>
          <w:tcPr>
            <w:tcW w:w="971" w:type="dxa"/>
            <w:tcBorders>
              <w:tl2br w:val="nil"/>
              <w:tr2bl w:val="nil"/>
            </w:tcBorders>
            <w:vAlign w:val="center"/>
          </w:tcPr>
          <w:p w14:paraId="40AD320C">
            <w:pPr>
              <w:pStyle w:val="41"/>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土壤及地下水污染防治措施</w:t>
            </w:r>
          </w:p>
        </w:tc>
        <w:tc>
          <w:tcPr>
            <w:tcW w:w="7829" w:type="dxa"/>
            <w:gridSpan w:val="4"/>
            <w:tcBorders>
              <w:tl2br w:val="nil"/>
              <w:tr2bl w:val="nil"/>
            </w:tcBorders>
            <w:vAlign w:val="center"/>
          </w:tcPr>
          <w:p w14:paraId="5395FCFA">
            <w:pPr>
              <w:pStyle w:val="45"/>
              <w:spacing w:line="360" w:lineRule="auto"/>
              <w:ind w:firstLine="500"/>
              <w:rPr>
                <w:rFonts w:hint="default" w:ascii="Times New Roman" w:hAnsi="Times New Roman" w:eastAsia="新宋体" w:cs="Times New Roman"/>
                <w:color w:val="000000" w:themeColor="text1"/>
                <w:sz w:val="32"/>
                <w:szCs w:val="32"/>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合理进行防渗区域划分，危险暂存间等四周设置导流沟，地面采取防渗，按重点污染区防渗要求进行建设</w:t>
            </w:r>
            <w:r>
              <w:rPr>
                <w:rFonts w:hint="default" w:ascii="Times New Roman" w:hAnsi="Times New Roman" w:eastAsia="新宋体" w:cs="Times New Roman"/>
                <w:color w:val="000000" w:themeColor="text1"/>
                <w:sz w:val="24"/>
                <w:szCs w:val="24"/>
                <w:lang w:eastAsia="zh-CN"/>
                <w14:textFill>
                  <w14:solidFill>
                    <w14:schemeClr w14:val="tx1"/>
                  </w14:solidFill>
                </w14:textFill>
              </w:rPr>
              <w:t>，</w:t>
            </w:r>
            <w:r>
              <w:rPr>
                <w:rFonts w:hint="default" w:ascii="Times New Roman" w:hAnsi="Times New Roman" w:eastAsia="新宋体" w:cs="Times New Roman"/>
                <w:color w:val="000000" w:themeColor="text1"/>
                <w:sz w:val="24"/>
                <w:szCs w:val="24"/>
                <w14:textFill>
                  <w14:solidFill>
                    <w14:schemeClr w14:val="tx1"/>
                  </w14:solidFill>
                </w14:textFill>
              </w:rPr>
              <w:t>地面与裙角所围建的容积不低于堵截最大容器的最大储量或总储量的五分之一</w:t>
            </w:r>
            <w:r>
              <w:rPr>
                <w:rFonts w:hint="default" w:ascii="Times New Roman" w:hAnsi="Times New Roman" w:eastAsia="新宋体" w:cs="Times New Roman"/>
                <w:color w:val="000000" w:themeColor="text1"/>
                <w:sz w:val="24"/>
                <w:szCs w:val="24"/>
                <w:lang w:eastAsia="zh-CN"/>
                <w14:textFill>
                  <w14:solidFill>
                    <w14:schemeClr w14:val="tx1"/>
                  </w14:solidFill>
                </w14:textFill>
              </w:rPr>
              <w:t>，</w:t>
            </w:r>
            <w:r>
              <w:rPr>
                <w:rFonts w:hint="default" w:ascii="Times New Roman" w:hAnsi="Times New Roman" w:eastAsia="新宋体" w:cs="Times New Roman"/>
                <w:color w:val="000000" w:themeColor="text1"/>
                <w:sz w:val="24"/>
                <w:szCs w:val="24"/>
                <w:lang w:val="en-US" w:eastAsia="zh-CN"/>
                <w14:textFill>
                  <w14:solidFill>
                    <w14:schemeClr w14:val="tx1"/>
                  </w14:solidFill>
                </w14:textFill>
              </w:rPr>
              <w:t>底部设置1m</w:t>
            </w:r>
            <w:r>
              <w:rPr>
                <w:rFonts w:hint="default" w:ascii="Times New Roman" w:hAnsi="Times New Roman" w:eastAsia="新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新宋体" w:cs="Times New Roman"/>
                <w:color w:val="000000" w:themeColor="text1"/>
                <w:sz w:val="24"/>
                <w:szCs w:val="24"/>
                <w:lang w:val="en-US" w:eastAsia="zh-CN"/>
                <w14:textFill>
                  <w14:solidFill>
                    <w14:schemeClr w14:val="tx1"/>
                  </w14:solidFill>
                </w14:textFill>
              </w:rPr>
              <w:t>事故应急池</w:t>
            </w:r>
            <w:r>
              <w:rPr>
                <w:rFonts w:hint="default" w:ascii="Times New Roman" w:hAnsi="Times New Roman" w:eastAsia="新宋体" w:cs="Times New Roman"/>
                <w:color w:val="000000" w:themeColor="text1"/>
                <w:sz w:val="24"/>
                <w:szCs w:val="24"/>
                <w14:textFill>
                  <w14:solidFill>
                    <w14:schemeClr w14:val="tx1"/>
                  </w14:solidFill>
                </w14:textFill>
              </w:rPr>
              <w:t>。危废间</w:t>
            </w:r>
            <w:r>
              <w:rPr>
                <w:rFonts w:hint="default" w:ascii="Times New Roman" w:hAnsi="Times New Roman" w:eastAsia="新宋体" w:cs="Times New Roman"/>
                <w:color w:val="000000" w:themeColor="text1"/>
                <w:sz w:val="24"/>
                <w:szCs w:val="24"/>
                <w:lang w:eastAsia="zh-CN"/>
                <w14:textFill>
                  <w14:solidFill>
                    <w14:schemeClr w14:val="tx1"/>
                  </w14:solidFill>
                </w14:textFill>
              </w:rPr>
              <w:t>、</w:t>
            </w:r>
            <w:r>
              <w:rPr>
                <w:rFonts w:hint="eastAsia" w:eastAsia="新宋体" w:cs="Times New Roman"/>
                <w:color w:val="000000" w:themeColor="text1"/>
                <w:sz w:val="24"/>
                <w:szCs w:val="24"/>
                <w:lang w:val="en-US" w:eastAsia="zh-CN"/>
                <w14:textFill>
                  <w14:solidFill>
                    <w14:schemeClr w14:val="tx1"/>
                  </w14:solidFill>
                </w14:textFill>
              </w:rPr>
              <w:t>沉淀池、收集池</w:t>
            </w:r>
            <w:r>
              <w:rPr>
                <w:rFonts w:hint="default" w:ascii="Times New Roman" w:hAnsi="Times New Roman" w:eastAsia="新宋体" w:cs="Times New Roman"/>
                <w:color w:val="000000" w:themeColor="text1"/>
                <w:sz w:val="24"/>
                <w:szCs w:val="24"/>
                <w14:textFill>
                  <w14:solidFill>
                    <w14:schemeClr w14:val="tx1"/>
                  </w14:solidFill>
                </w14:textFill>
              </w:rPr>
              <w:t>必须有</w:t>
            </w:r>
            <w:r>
              <w:rPr>
                <w:rFonts w:hint="eastAsia" w:eastAsia="新宋体" w:cs="Times New Roman"/>
                <w:color w:val="000000" w:themeColor="text1"/>
                <w:sz w:val="24"/>
                <w:szCs w:val="24"/>
                <w:lang w:val="en-US" w:eastAsia="zh-CN"/>
                <w14:textFill>
                  <w14:solidFill>
                    <w14:schemeClr w14:val="tx1"/>
                  </w14:solidFill>
                </w14:textFill>
              </w:rPr>
              <w:t>对应程度</w:t>
            </w:r>
            <w:r>
              <w:rPr>
                <w:rFonts w:hint="default" w:ascii="Times New Roman" w:hAnsi="Times New Roman" w:eastAsia="新宋体" w:cs="Times New Roman"/>
                <w:color w:val="000000" w:themeColor="text1"/>
                <w:sz w:val="24"/>
                <w:szCs w:val="24"/>
                <w14:textFill>
                  <w14:solidFill>
                    <w14:schemeClr w14:val="tx1"/>
                  </w14:solidFill>
                </w14:textFill>
              </w:rPr>
              <w:t>的硬化地面，</w:t>
            </w:r>
            <w:r>
              <w:rPr>
                <w:rFonts w:hint="eastAsia" w:eastAsia="新宋体" w:cs="Times New Roman"/>
                <w:color w:val="000000" w:themeColor="text1"/>
                <w:sz w:val="24"/>
                <w:szCs w:val="24"/>
                <w:lang w:val="en-US" w:eastAsia="zh-CN"/>
                <w14:textFill>
                  <w14:solidFill>
                    <w14:schemeClr w14:val="tx1"/>
                  </w14:solidFill>
                </w14:textFill>
              </w:rPr>
              <w:t>养护区等</w:t>
            </w:r>
            <w:r>
              <w:rPr>
                <w:rFonts w:hint="default" w:ascii="Times New Roman" w:hAnsi="Times New Roman" w:eastAsia="新宋体" w:cs="Times New Roman"/>
                <w:color w:val="000000" w:themeColor="text1"/>
                <w:sz w:val="24"/>
                <w:szCs w:val="24"/>
                <w14:textFill>
                  <w14:solidFill>
                    <w14:schemeClr w14:val="tx1"/>
                  </w14:solidFill>
                </w14:textFill>
              </w:rPr>
              <w:t>厂区地面等为</w:t>
            </w:r>
            <w:r>
              <w:rPr>
                <w:rFonts w:hint="default" w:ascii="Times New Roman" w:hAnsi="Times New Roman" w:eastAsia="新宋体" w:cs="Times New Roman"/>
                <w:color w:val="000000" w:themeColor="text1"/>
                <w:sz w:val="24"/>
                <w:szCs w:val="24"/>
                <w:lang w:val="en-US" w:eastAsia="zh-CN"/>
                <w14:textFill>
                  <w14:solidFill>
                    <w14:schemeClr w14:val="tx1"/>
                  </w14:solidFill>
                </w14:textFill>
              </w:rPr>
              <w:t>简单</w:t>
            </w:r>
            <w:r>
              <w:rPr>
                <w:rFonts w:hint="default" w:ascii="Times New Roman" w:hAnsi="Times New Roman" w:eastAsia="新宋体" w:cs="Times New Roman"/>
                <w:color w:val="000000" w:themeColor="text1"/>
                <w:sz w:val="24"/>
                <w:szCs w:val="24"/>
                <w14:textFill>
                  <w14:solidFill>
                    <w14:schemeClr w14:val="tx1"/>
                  </w14:solidFill>
                </w14:textFill>
              </w:rPr>
              <w:t>防渗区。</w:t>
            </w:r>
          </w:p>
        </w:tc>
      </w:tr>
      <w:tr w14:paraId="23BDC6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3" w:hRule="atLeast"/>
          <w:jc w:val="center"/>
        </w:trPr>
        <w:tc>
          <w:tcPr>
            <w:tcW w:w="971" w:type="dxa"/>
            <w:tcBorders>
              <w:tl2br w:val="nil"/>
              <w:tr2bl w:val="nil"/>
            </w:tcBorders>
            <w:vAlign w:val="center"/>
          </w:tcPr>
          <w:p w14:paraId="09C38138">
            <w:pPr>
              <w:pStyle w:val="41"/>
              <w:rPr>
                <w:rFonts w:hint="default" w:ascii="Times New Roman" w:hAnsi="Times New Roman" w:eastAsia="新宋体" w:cs="Times New Roman"/>
                <w:color w:val="000000" w:themeColor="text1"/>
                <w:sz w:val="24"/>
                <w:szCs w:val="24"/>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生态保护措施</w:t>
            </w:r>
          </w:p>
        </w:tc>
        <w:tc>
          <w:tcPr>
            <w:tcW w:w="7829" w:type="dxa"/>
            <w:gridSpan w:val="4"/>
            <w:tcBorders>
              <w:tl2br w:val="nil"/>
              <w:tr2bl w:val="nil"/>
            </w:tcBorders>
            <w:vAlign w:val="center"/>
          </w:tcPr>
          <w:p w14:paraId="7B0B07A4">
            <w:pPr>
              <w:pStyle w:val="41"/>
              <w:keepNext w:val="0"/>
              <w:keepLines w:val="0"/>
              <w:pageBreakBefore w:val="0"/>
              <w:widowControl w:val="0"/>
              <w:kinsoku/>
              <w:wordWrap/>
              <w:overflowPunct/>
              <w:topLinePunct w:val="0"/>
              <w:autoSpaceDE/>
              <w:autoSpaceDN/>
              <w:bidi w:val="0"/>
              <w:adjustRightInd w:val="0"/>
              <w:snapToGrid/>
              <w:spacing w:line="360" w:lineRule="auto"/>
              <w:ind w:firstLine="500" w:firstLineChars="200"/>
              <w:jc w:val="left"/>
              <w:textAlignment w:val="auto"/>
              <w:rPr>
                <w:rFonts w:hint="default" w:ascii="Times New Roman" w:hAnsi="Times New Roman" w:eastAsia="新宋体" w:cs="Times New Roman"/>
                <w:color w:val="000000" w:themeColor="text1"/>
                <w:sz w:val="32"/>
                <w:szCs w:val="32"/>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4"/>
                <w:lang w:val="en-US" w:eastAsia="zh-CN"/>
                <w14:textFill>
                  <w14:solidFill>
                    <w14:schemeClr w14:val="tx1"/>
                  </w14:solidFill>
                </w14:textFill>
              </w:rPr>
              <w:t>合理布局，加强绿化</w:t>
            </w: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w:t>
            </w:r>
          </w:p>
        </w:tc>
      </w:tr>
      <w:tr w14:paraId="72F9F4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165" w:hRule="atLeast"/>
          <w:jc w:val="center"/>
        </w:trPr>
        <w:tc>
          <w:tcPr>
            <w:tcW w:w="971" w:type="dxa"/>
            <w:tcBorders>
              <w:tl2br w:val="nil"/>
              <w:tr2bl w:val="nil"/>
            </w:tcBorders>
            <w:vAlign w:val="center"/>
          </w:tcPr>
          <w:p w14:paraId="6EDBC363">
            <w:pPr>
              <w:pStyle w:val="41"/>
              <w:rPr>
                <w:rFonts w:hint="default" w:ascii="Times New Roman" w:hAnsi="Times New Roman" w:eastAsia="新宋体" w:cs="Times New Roman"/>
                <w:color w:val="000000" w:themeColor="text1"/>
                <w:spacing w:val="-8"/>
                <w:sz w:val="24"/>
                <w:szCs w:val="24"/>
                <w14:textFill>
                  <w14:solidFill>
                    <w14:schemeClr w14:val="tx1"/>
                  </w14:solidFill>
                </w14:textFill>
              </w:rPr>
            </w:pPr>
            <w:r>
              <w:rPr>
                <w:rFonts w:hint="default" w:ascii="Times New Roman" w:hAnsi="Times New Roman" w:eastAsia="新宋体" w:cs="Times New Roman"/>
                <w:color w:val="000000" w:themeColor="text1"/>
                <w:spacing w:val="-8"/>
                <w:sz w:val="24"/>
                <w:szCs w:val="24"/>
                <w14:textFill>
                  <w14:solidFill>
                    <w14:schemeClr w14:val="tx1"/>
                  </w14:solidFill>
                </w14:textFill>
              </w:rPr>
              <w:t>环境风险防范措施</w:t>
            </w:r>
          </w:p>
        </w:tc>
        <w:tc>
          <w:tcPr>
            <w:tcW w:w="7829" w:type="dxa"/>
            <w:gridSpan w:val="4"/>
            <w:tcBorders>
              <w:tl2br w:val="nil"/>
              <w:tr2bl w:val="nil"/>
            </w:tcBorders>
            <w:vAlign w:val="center"/>
          </w:tcPr>
          <w:p w14:paraId="27BAAE75">
            <w:pPr>
              <w:pStyle w:val="41"/>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right="0" w:firstLine="480" w:firstLineChars="200"/>
              <w:jc w:val="both"/>
              <w:textAlignment w:val="auto"/>
              <w:rPr>
                <w:rFonts w:hint="default" w:ascii="Times New Roman" w:hAnsi="Times New Roman" w:eastAsia="新宋体" w:cs="Times New Roman"/>
                <w:bCs w:val="0"/>
                <w:color w:val="000000" w:themeColor="text1"/>
                <w:spacing w:val="0"/>
                <w:kern w:val="0"/>
                <w:sz w:val="24"/>
                <w:szCs w:val="24"/>
                <w:lang w:val="en-US" w:eastAsia="zh-CN" w:bidi="ar-SA"/>
                <w14:textFill>
                  <w14:solidFill>
                    <w14:schemeClr w14:val="tx1"/>
                  </w14:solidFill>
                </w14:textFill>
              </w:rPr>
            </w:pPr>
            <w:r>
              <w:rPr>
                <w:rFonts w:hint="default" w:ascii="Times New Roman" w:hAnsi="Times New Roman" w:eastAsia="新宋体" w:cs="Times New Roman"/>
                <w:bCs w:val="0"/>
                <w:color w:val="000000" w:themeColor="text1"/>
                <w:spacing w:val="0"/>
                <w:kern w:val="0"/>
                <w:sz w:val="24"/>
                <w:szCs w:val="24"/>
                <w:lang w:val="en-US" w:eastAsia="zh-CN" w:bidi="ar-SA"/>
                <w14:textFill>
                  <w14:solidFill>
                    <w14:schemeClr w14:val="tx1"/>
                  </w14:solidFill>
                </w14:textFill>
              </w:rPr>
              <w:t>组织编制突发环境事件应急预案，相关责任</w:t>
            </w:r>
            <w:r>
              <w:rPr>
                <w:rFonts w:hint="default" w:ascii="Times New Roman" w:hAnsi="Times New Roman" w:eastAsia="新宋体" w:cs="Times New Roman"/>
                <w:color w:val="000000" w:themeColor="text1"/>
                <w:sz w:val="24"/>
                <w:szCs w:val="24"/>
                <w:lang w:eastAsia="zh-CN"/>
                <w14:textFill>
                  <w14:solidFill>
                    <w14:schemeClr w14:val="tx1"/>
                  </w14:solidFill>
                </w14:textFill>
              </w:rPr>
              <w:t>和硕县建司预制厂</w:t>
            </w:r>
            <w:r>
              <w:rPr>
                <w:rFonts w:hint="default" w:ascii="Times New Roman" w:hAnsi="Times New Roman" w:eastAsia="新宋体" w:cs="Times New Roman"/>
                <w:bCs w:val="0"/>
                <w:color w:val="000000" w:themeColor="text1"/>
                <w:spacing w:val="0"/>
                <w:kern w:val="0"/>
                <w:sz w:val="24"/>
                <w:szCs w:val="24"/>
                <w:lang w:val="en-US" w:eastAsia="zh-CN" w:bidi="ar-SA"/>
                <w14:textFill>
                  <w14:solidFill>
                    <w14:schemeClr w14:val="tx1"/>
                  </w14:solidFill>
                </w14:textFill>
              </w:rPr>
              <w:t>承担</w:t>
            </w:r>
            <w:r>
              <w:rPr>
                <w:rFonts w:hint="eastAsia" w:ascii="Times New Roman" w:hAnsi="Times New Roman" w:eastAsia="新宋体" w:cs="Times New Roman"/>
                <w:bCs w:val="0"/>
                <w:color w:val="000000" w:themeColor="text1"/>
                <w:spacing w:val="0"/>
                <w:kern w:val="0"/>
                <w:sz w:val="24"/>
                <w:szCs w:val="24"/>
                <w:lang w:val="en-US" w:eastAsia="zh-CN" w:bidi="ar-SA"/>
                <w14:textFill>
                  <w14:solidFill>
                    <w14:schemeClr w14:val="tx1"/>
                  </w14:solidFill>
                </w14:textFill>
              </w:rPr>
              <w:t>。</w:t>
            </w:r>
          </w:p>
          <w:p w14:paraId="6FF76018">
            <w:pPr>
              <w:pStyle w:val="84"/>
              <w:keepNext w:val="0"/>
              <w:keepLines w:val="0"/>
              <w:pageBreakBefore w:val="0"/>
              <w:widowControl w:val="0"/>
              <w:kinsoku/>
              <w:wordWrap/>
              <w:overflowPunct/>
              <w:topLinePunct w:val="0"/>
              <w:autoSpaceDE/>
              <w:autoSpaceDN/>
              <w:bidi w:val="0"/>
              <w:snapToGrid/>
              <w:spacing w:line="360" w:lineRule="auto"/>
              <w:ind w:left="0" w:leftChars="0" w:right="0" w:firstLine="480" w:firstLineChars="200"/>
              <w:jc w:val="both"/>
              <w:textAlignment w:val="auto"/>
              <w:rPr>
                <w:rFonts w:hint="default" w:ascii="Times New Roman" w:hAnsi="Times New Roman" w:eastAsia="新宋体" w:cs="Times New Roman"/>
                <w:bCs w:val="0"/>
                <w:color w:val="000000" w:themeColor="text1"/>
                <w:spacing w:val="0"/>
                <w:kern w:val="0"/>
                <w:sz w:val="24"/>
                <w:szCs w:val="24"/>
                <w:lang w:val="en-US" w:eastAsia="zh-CN" w:bidi="ar-SA"/>
                <w14:textFill>
                  <w14:solidFill>
                    <w14:schemeClr w14:val="tx1"/>
                  </w14:solidFill>
                </w14:textFill>
              </w:rPr>
            </w:pPr>
            <w:r>
              <w:rPr>
                <w:rFonts w:hint="eastAsia" w:ascii="Times New Roman" w:hAnsi="Times New Roman" w:eastAsia="新宋体" w:cs="Times New Roman"/>
                <w:bCs w:val="0"/>
                <w:color w:val="000000" w:themeColor="text1"/>
                <w:spacing w:val="0"/>
                <w:kern w:val="0"/>
                <w:sz w:val="24"/>
                <w:szCs w:val="24"/>
                <w:lang w:val="en-US" w:eastAsia="zh-CN" w:bidi="ar-SA"/>
                <w14:textFill>
                  <w14:solidFill>
                    <w14:schemeClr w14:val="tx1"/>
                  </w14:solidFill>
                </w14:textFill>
              </w:rPr>
              <w:t>1、</w:t>
            </w:r>
            <w:r>
              <w:rPr>
                <w:rFonts w:hint="default" w:ascii="Times New Roman" w:hAnsi="Times New Roman" w:eastAsia="新宋体" w:cs="Times New Roman"/>
                <w:bCs w:val="0"/>
                <w:color w:val="000000" w:themeColor="text1"/>
                <w:spacing w:val="0"/>
                <w:kern w:val="0"/>
                <w:sz w:val="24"/>
                <w:szCs w:val="24"/>
                <w:lang w:val="en-US" w:eastAsia="zh-CN" w:bidi="ar-SA"/>
                <w14:textFill>
                  <w14:solidFill>
                    <w14:schemeClr w14:val="tx1"/>
                  </w14:solidFill>
                </w14:textFill>
              </w:rPr>
              <w:t>成立专门的责任机构，保证事故发生时组织有关力量及时控制事故的危害，在第一时间，有效地控制事故污染，把事故危害减少到最小。</w:t>
            </w:r>
          </w:p>
          <w:p w14:paraId="52C69AC7">
            <w:pPr>
              <w:pStyle w:val="84"/>
              <w:keepNext w:val="0"/>
              <w:keepLines w:val="0"/>
              <w:pageBreakBefore w:val="0"/>
              <w:widowControl w:val="0"/>
              <w:kinsoku/>
              <w:wordWrap/>
              <w:overflowPunct/>
              <w:topLinePunct w:val="0"/>
              <w:autoSpaceDE/>
              <w:autoSpaceDN/>
              <w:bidi w:val="0"/>
              <w:snapToGrid/>
              <w:spacing w:line="360" w:lineRule="auto"/>
              <w:ind w:left="0" w:leftChars="0" w:right="0" w:firstLine="480" w:firstLineChars="200"/>
              <w:jc w:val="both"/>
              <w:textAlignment w:val="auto"/>
              <w:rPr>
                <w:rFonts w:hint="default" w:ascii="Times New Roman" w:hAnsi="Times New Roman" w:eastAsia="新宋体" w:cs="Times New Roman"/>
                <w:bCs w:val="0"/>
                <w:color w:val="000000" w:themeColor="text1"/>
                <w:spacing w:val="0"/>
                <w:kern w:val="0"/>
                <w:sz w:val="24"/>
                <w:szCs w:val="24"/>
                <w:lang w:val="en-US" w:eastAsia="zh-CN" w:bidi="ar-SA"/>
                <w14:textFill>
                  <w14:solidFill>
                    <w14:schemeClr w14:val="tx1"/>
                  </w14:solidFill>
                </w14:textFill>
              </w:rPr>
            </w:pPr>
            <w:r>
              <w:rPr>
                <w:rFonts w:hint="eastAsia" w:ascii="Times New Roman" w:hAnsi="Times New Roman" w:eastAsia="新宋体" w:cs="Times New Roman"/>
                <w:bCs w:val="0"/>
                <w:color w:val="000000" w:themeColor="text1"/>
                <w:spacing w:val="0"/>
                <w:kern w:val="0"/>
                <w:sz w:val="24"/>
                <w:szCs w:val="24"/>
                <w:lang w:val="en-US" w:eastAsia="zh-CN" w:bidi="ar-SA"/>
                <w14:textFill>
                  <w14:solidFill>
                    <w14:schemeClr w14:val="tx1"/>
                  </w14:solidFill>
                </w14:textFill>
              </w:rPr>
              <w:t>2、</w:t>
            </w:r>
            <w:r>
              <w:rPr>
                <w:rFonts w:hint="default" w:ascii="Times New Roman" w:hAnsi="Times New Roman" w:eastAsia="新宋体" w:cs="Times New Roman"/>
                <w:bCs w:val="0"/>
                <w:color w:val="000000" w:themeColor="text1"/>
                <w:spacing w:val="0"/>
                <w:kern w:val="0"/>
                <w:sz w:val="24"/>
                <w:szCs w:val="24"/>
                <w:lang w:val="en-US" w:eastAsia="zh-CN" w:bidi="ar-SA"/>
                <w14:textFill>
                  <w14:solidFill>
                    <w14:schemeClr w14:val="tx1"/>
                  </w14:solidFill>
                </w14:textFill>
              </w:rPr>
              <w:t>健全各项制度，强化安全管理意识，禁止烟火，落实各项安全措施，可有效避免环境风险事故发生，加强用电设备及线路的检修和管理；</w:t>
            </w:r>
          </w:p>
          <w:p w14:paraId="05F21DA6">
            <w:pPr>
              <w:pStyle w:val="84"/>
              <w:keepNext w:val="0"/>
              <w:keepLines w:val="0"/>
              <w:pageBreakBefore w:val="0"/>
              <w:widowControl w:val="0"/>
              <w:kinsoku/>
              <w:wordWrap/>
              <w:overflowPunct/>
              <w:topLinePunct w:val="0"/>
              <w:autoSpaceDE/>
              <w:autoSpaceDN/>
              <w:bidi w:val="0"/>
              <w:snapToGrid/>
              <w:spacing w:line="360" w:lineRule="auto"/>
              <w:ind w:left="0" w:leftChars="0" w:right="0" w:firstLine="480" w:firstLineChars="200"/>
              <w:jc w:val="both"/>
              <w:textAlignment w:val="auto"/>
              <w:rPr>
                <w:rFonts w:hint="default" w:ascii="Times New Roman" w:hAnsi="Times New Roman" w:eastAsia="新宋体" w:cs="Times New Roman"/>
                <w:bCs w:val="0"/>
                <w:color w:val="000000" w:themeColor="text1"/>
                <w:spacing w:val="0"/>
                <w:kern w:val="0"/>
                <w:sz w:val="24"/>
                <w:szCs w:val="24"/>
                <w:lang w:val="en-US" w:eastAsia="zh-CN" w:bidi="ar-SA"/>
                <w14:textFill>
                  <w14:solidFill>
                    <w14:schemeClr w14:val="tx1"/>
                  </w14:solidFill>
                </w14:textFill>
              </w:rPr>
            </w:pPr>
            <w:r>
              <w:rPr>
                <w:rFonts w:hint="eastAsia" w:ascii="Times New Roman" w:hAnsi="Times New Roman" w:eastAsia="新宋体" w:cs="Times New Roman"/>
                <w:bCs w:val="0"/>
                <w:color w:val="000000" w:themeColor="text1"/>
                <w:spacing w:val="0"/>
                <w:kern w:val="0"/>
                <w:sz w:val="24"/>
                <w:szCs w:val="24"/>
                <w:lang w:val="en-US" w:eastAsia="zh-CN" w:bidi="ar-SA"/>
                <w14:textFill>
                  <w14:solidFill>
                    <w14:schemeClr w14:val="tx1"/>
                  </w14:solidFill>
                </w14:textFill>
              </w:rPr>
              <w:t>3、</w:t>
            </w:r>
            <w:r>
              <w:rPr>
                <w:rFonts w:hint="default" w:ascii="Times New Roman" w:hAnsi="Times New Roman" w:eastAsia="新宋体" w:cs="Times New Roman"/>
                <w:bCs w:val="0"/>
                <w:color w:val="000000" w:themeColor="text1"/>
                <w:spacing w:val="0"/>
                <w:kern w:val="0"/>
                <w:sz w:val="24"/>
                <w:szCs w:val="24"/>
                <w:lang w:val="en-US" w:eastAsia="zh-CN" w:bidi="ar-SA"/>
                <w14:textFill>
                  <w14:solidFill>
                    <w14:schemeClr w14:val="tx1"/>
                  </w14:solidFill>
                </w14:textFill>
              </w:rPr>
              <w:t>严格按照消防部门要求，配备相关的应急设施、设备、器材和材料；在</w:t>
            </w:r>
            <w:r>
              <w:rPr>
                <w:rFonts w:hint="eastAsia" w:ascii="Times New Roman" w:hAnsi="Times New Roman" w:eastAsia="新宋体" w:cs="Times New Roman"/>
                <w:bCs w:val="0"/>
                <w:color w:val="000000" w:themeColor="text1"/>
                <w:spacing w:val="0"/>
                <w:kern w:val="0"/>
                <w:sz w:val="24"/>
                <w:szCs w:val="24"/>
                <w:lang w:val="en-US" w:eastAsia="zh-CN" w:bidi="ar-SA"/>
                <w14:textFill>
                  <w14:solidFill>
                    <w14:schemeClr w14:val="tx1"/>
                  </w14:solidFill>
                </w14:textFill>
              </w:rPr>
              <w:t>生产区、养护区</w:t>
            </w:r>
            <w:r>
              <w:rPr>
                <w:rFonts w:hint="default" w:ascii="Times New Roman" w:hAnsi="Times New Roman" w:eastAsia="新宋体" w:cs="Times New Roman"/>
                <w:bCs w:val="0"/>
                <w:color w:val="000000" w:themeColor="text1"/>
                <w:spacing w:val="0"/>
                <w:kern w:val="0"/>
                <w:sz w:val="24"/>
                <w:szCs w:val="24"/>
                <w:lang w:val="en-US" w:eastAsia="zh-CN" w:bidi="ar-SA"/>
                <w14:textFill>
                  <w14:solidFill>
                    <w14:schemeClr w14:val="tx1"/>
                  </w14:solidFill>
                </w14:textFill>
              </w:rPr>
              <w:t>配备适当数量的手提式或悬挂式干粉、泡沫灭火器，用于扑灭初期火源；</w:t>
            </w:r>
          </w:p>
          <w:p w14:paraId="68A722C7">
            <w:pPr>
              <w:pStyle w:val="84"/>
              <w:keepNext w:val="0"/>
              <w:keepLines w:val="0"/>
              <w:pageBreakBefore w:val="0"/>
              <w:widowControl w:val="0"/>
              <w:kinsoku/>
              <w:wordWrap/>
              <w:overflowPunct/>
              <w:topLinePunct w:val="0"/>
              <w:autoSpaceDE/>
              <w:autoSpaceDN/>
              <w:bidi w:val="0"/>
              <w:snapToGrid/>
              <w:spacing w:line="360" w:lineRule="auto"/>
              <w:ind w:left="0" w:leftChars="0" w:right="0" w:firstLine="480" w:firstLineChars="200"/>
              <w:jc w:val="both"/>
              <w:textAlignment w:val="auto"/>
              <w:rPr>
                <w:rFonts w:hint="default" w:ascii="Times New Roman" w:hAnsi="Times New Roman" w:eastAsia="新宋体" w:cs="Times New Roman"/>
                <w:bCs w:val="0"/>
                <w:color w:val="000000" w:themeColor="text1"/>
                <w:spacing w:val="0"/>
                <w:kern w:val="0"/>
                <w:sz w:val="24"/>
                <w:szCs w:val="24"/>
                <w:lang w:val="en-US" w:eastAsia="zh-CN" w:bidi="ar-SA"/>
                <w14:textFill>
                  <w14:solidFill>
                    <w14:schemeClr w14:val="tx1"/>
                  </w14:solidFill>
                </w14:textFill>
              </w:rPr>
            </w:pPr>
            <w:r>
              <w:rPr>
                <w:rFonts w:hint="eastAsia" w:ascii="Times New Roman" w:hAnsi="Times New Roman" w:eastAsia="新宋体" w:cs="Times New Roman"/>
                <w:bCs w:val="0"/>
                <w:color w:val="000000" w:themeColor="text1"/>
                <w:spacing w:val="0"/>
                <w:kern w:val="0"/>
                <w:sz w:val="24"/>
                <w:szCs w:val="24"/>
                <w:lang w:val="en-US" w:eastAsia="zh-CN" w:bidi="ar-SA"/>
                <w14:textFill>
                  <w14:solidFill>
                    <w14:schemeClr w14:val="tx1"/>
                  </w14:solidFill>
                </w14:textFill>
              </w:rPr>
              <w:t>4、</w:t>
            </w:r>
            <w:r>
              <w:rPr>
                <w:rFonts w:hint="default" w:ascii="Times New Roman" w:hAnsi="Times New Roman" w:eastAsia="新宋体" w:cs="Times New Roman"/>
                <w:bCs w:val="0"/>
                <w:color w:val="000000" w:themeColor="text1"/>
                <w:spacing w:val="0"/>
                <w:kern w:val="0"/>
                <w:sz w:val="24"/>
                <w:szCs w:val="24"/>
                <w:lang w:val="en-US" w:eastAsia="zh-CN" w:bidi="ar-SA"/>
                <w14:textFill>
                  <w14:solidFill>
                    <w14:schemeClr w14:val="tx1"/>
                  </w14:solidFill>
                </w14:textFill>
              </w:rPr>
              <w:t>加强各相关部门之间的联系，一旦出现环境风险事故，马上联络各相关部门，</w:t>
            </w:r>
            <w:r>
              <w:rPr>
                <w:rFonts w:hint="eastAsia" w:ascii="Times New Roman" w:hAnsi="Times New Roman" w:eastAsia="新宋体" w:cs="Times New Roman"/>
                <w:bCs w:val="0"/>
                <w:color w:val="000000" w:themeColor="text1"/>
                <w:spacing w:val="0"/>
                <w:kern w:val="0"/>
                <w:sz w:val="24"/>
                <w:szCs w:val="24"/>
                <w:lang w:val="en-US" w:eastAsia="zh-CN" w:bidi="ar-SA"/>
                <w14:textFill>
                  <w14:solidFill>
                    <w14:schemeClr w14:val="tx1"/>
                  </w14:solidFill>
                </w14:textFill>
              </w:rPr>
              <w:t>迅速</w:t>
            </w:r>
            <w:r>
              <w:rPr>
                <w:rFonts w:hint="default" w:ascii="Times New Roman" w:hAnsi="Times New Roman" w:eastAsia="新宋体" w:cs="Times New Roman"/>
                <w:bCs w:val="0"/>
                <w:color w:val="000000" w:themeColor="text1"/>
                <w:spacing w:val="0"/>
                <w:kern w:val="0"/>
                <w:sz w:val="24"/>
                <w:szCs w:val="24"/>
                <w:lang w:val="en-US" w:eastAsia="zh-CN" w:bidi="ar-SA"/>
                <w14:textFill>
                  <w14:solidFill>
                    <w14:schemeClr w14:val="tx1"/>
                  </w14:solidFill>
                </w14:textFill>
              </w:rPr>
              <w:t>做出反应；</w:t>
            </w:r>
          </w:p>
          <w:p w14:paraId="76A1A8D4">
            <w:pPr>
              <w:pStyle w:val="41"/>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right="0" w:rightChars="0" w:firstLine="480" w:firstLineChars="200"/>
              <w:jc w:val="both"/>
              <w:textAlignment w:val="auto"/>
              <w:rPr>
                <w:rFonts w:hint="default" w:ascii="Times New Roman" w:hAnsi="Times New Roman" w:eastAsia="新宋体" w:cs="Times New Roman"/>
                <w:color w:val="000000" w:themeColor="text1"/>
                <w:sz w:val="24"/>
                <w:szCs w:val="24"/>
                <w14:textFill>
                  <w14:solidFill>
                    <w14:schemeClr w14:val="tx1"/>
                  </w14:solidFill>
                </w14:textFill>
              </w:rPr>
            </w:pPr>
            <w:r>
              <w:rPr>
                <w:rFonts w:hint="eastAsia" w:ascii="Times New Roman" w:hAnsi="Times New Roman" w:eastAsia="新宋体" w:cs="Times New Roman"/>
                <w:bCs w:val="0"/>
                <w:color w:val="000000" w:themeColor="text1"/>
                <w:spacing w:val="0"/>
                <w:kern w:val="0"/>
                <w:sz w:val="24"/>
                <w:szCs w:val="24"/>
                <w:lang w:val="en-US" w:eastAsia="zh-CN" w:bidi="ar-SA"/>
                <w14:textFill>
                  <w14:solidFill>
                    <w14:schemeClr w14:val="tx1"/>
                  </w14:solidFill>
                </w14:textFill>
              </w:rPr>
              <w:t>5、</w:t>
            </w:r>
            <w:r>
              <w:rPr>
                <w:rFonts w:hint="default" w:ascii="Times New Roman" w:hAnsi="Times New Roman" w:eastAsia="新宋体" w:cs="Times New Roman"/>
                <w:bCs w:val="0"/>
                <w:color w:val="000000" w:themeColor="text1"/>
                <w:spacing w:val="0"/>
                <w:kern w:val="0"/>
                <w:sz w:val="24"/>
                <w:szCs w:val="24"/>
                <w:lang w:val="en-US" w:eastAsia="zh-CN" w:bidi="ar-SA"/>
                <w14:textFill>
                  <w14:solidFill>
                    <w14:schemeClr w14:val="tx1"/>
                  </w14:solidFill>
                </w14:textFill>
              </w:rPr>
              <w:t>加强人员的培训和事故应急演练；</w:t>
            </w:r>
          </w:p>
        </w:tc>
      </w:tr>
      <w:tr w14:paraId="408DB99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832" w:hRule="atLeast"/>
          <w:jc w:val="center"/>
        </w:trPr>
        <w:tc>
          <w:tcPr>
            <w:tcW w:w="971" w:type="dxa"/>
            <w:tcBorders>
              <w:tl2br w:val="nil"/>
              <w:tr2bl w:val="nil"/>
            </w:tcBorders>
            <w:vAlign w:val="center"/>
          </w:tcPr>
          <w:p w14:paraId="79309801">
            <w:pPr>
              <w:pStyle w:val="41"/>
              <w:rPr>
                <w:rFonts w:hint="default" w:ascii="Times New Roman" w:hAnsi="Times New Roman" w:eastAsia="新宋体" w:cs="Times New Roman"/>
                <w:color w:val="000000" w:themeColor="text1"/>
                <w:spacing w:val="-8"/>
                <w:sz w:val="24"/>
                <w:szCs w:val="24"/>
                <w14:textFill>
                  <w14:solidFill>
                    <w14:schemeClr w14:val="tx1"/>
                  </w14:solidFill>
                </w14:textFill>
              </w:rPr>
            </w:pPr>
            <w:r>
              <w:rPr>
                <w:rFonts w:hint="default" w:ascii="Times New Roman" w:hAnsi="Times New Roman" w:eastAsia="新宋体" w:cs="Times New Roman"/>
                <w:color w:val="000000" w:themeColor="text1"/>
                <w:spacing w:val="-8"/>
                <w:sz w:val="24"/>
                <w:szCs w:val="24"/>
                <w14:textFill>
                  <w14:solidFill>
                    <w14:schemeClr w14:val="tx1"/>
                  </w14:solidFill>
                </w14:textFill>
              </w:rPr>
              <w:t>其他环境管理要求</w:t>
            </w:r>
          </w:p>
        </w:tc>
        <w:tc>
          <w:tcPr>
            <w:tcW w:w="7829" w:type="dxa"/>
            <w:gridSpan w:val="4"/>
            <w:tcBorders>
              <w:tl2br w:val="nil"/>
              <w:tr2bl w:val="nil"/>
            </w:tcBorders>
            <w:vAlign w:val="center"/>
          </w:tcPr>
          <w:p w14:paraId="762E5F96">
            <w:pPr>
              <w:pStyle w:val="41"/>
              <w:keepNext w:val="0"/>
              <w:keepLines w:val="0"/>
              <w:pageBreakBefore w:val="0"/>
              <w:kinsoku/>
              <w:wordWrap/>
              <w:overflowPunct/>
              <w:topLinePunct w:val="0"/>
              <w:autoSpaceDE/>
              <w:autoSpaceDN/>
              <w:bidi w:val="0"/>
              <w:snapToGrid/>
              <w:spacing w:line="360" w:lineRule="auto"/>
              <w:ind w:leftChars="200" w:firstLine="0" w:firstLineChars="0"/>
              <w:jc w:val="left"/>
              <w:textAlignment w:val="auto"/>
              <w:rPr>
                <w:rFonts w:hint="default" w:ascii="Times New Roman" w:hAnsi="Times New Roman" w:eastAsia="新宋体" w:cs="Times New Roman"/>
                <w:b/>
                <w:bCs w:val="0"/>
                <w:color w:val="000000" w:themeColor="text1"/>
                <w:sz w:val="24"/>
                <w:szCs w:val="24"/>
                <w:lang w:val="en-US" w:eastAsia="zh-CN"/>
                <w14:textFill>
                  <w14:solidFill>
                    <w14:schemeClr w14:val="tx1"/>
                  </w14:solidFill>
                </w14:textFill>
              </w:rPr>
            </w:pPr>
            <w:r>
              <w:rPr>
                <w:rFonts w:hint="default" w:ascii="Times New Roman" w:hAnsi="Times New Roman" w:eastAsia="新宋体" w:cs="Times New Roman"/>
                <w:b/>
                <w:bCs w:val="0"/>
                <w:color w:val="000000" w:themeColor="text1"/>
                <w:sz w:val="24"/>
                <w:szCs w:val="24"/>
                <w:lang w:val="en-US" w:eastAsia="zh-CN"/>
                <w14:textFill>
                  <w14:solidFill>
                    <w14:schemeClr w14:val="tx1"/>
                  </w14:solidFill>
                </w14:textFill>
              </w:rPr>
              <w:t>1、排污口规范化管理要求</w:t>
            </w:r>
          </w:p>
          <w:p w14:paraId="2D82618A">
            <w:pPr>
              <w:pStyle w:val="41"/>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500" w:firstLineChars="200"/>
              <w:jc w:val="left"/>
              <w:textAlignment w:val="auto"/>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4"/>
                <w:lang w:val="en-US" w:eastAsia="zh-CN"/>
                <w14:textFill>
                  <w14:solidFill>
                    <w14:schemeClr w14:val="tx1"/>
                  </w14:solidFill>
                </w14:textFill>
              </w:rPr>
              <w:t>（1）向环境排放的污染物的排气筒必须规范化。</w:t>
            </w:r>
          </w:p>
          <w:p w14:paraId="7B033EFB">
            <w:pPr>
              <w:pStyle w:val="41"/>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500" w:firstLineChars="200"/>
              <w:jc w:val="left"/>
              <w:textAlignment w:val="auto"/>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4"/>
                <w:lang w:val="en-US" w:eastAsia="zh-CN"/>
                <w14:textFill>
                  <w14:solidFill>
                    <w14:schemeClr w14:val="tx1"/>
                  </w14:solidFill>
                </w14:textFill>
              </w:rPr>
              <w:t>（2）列入总量控制的污染物、排污口列为管理的重点。</w:t>
            </w:r>
          </w:p>
          <w:p w14:paraId="65D23AF4">
            <w:pPr>
              <w:pStyle w:val="41"/>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500" w:firstLineChars="200"/>
              <w:jc w:val="left"/>
              <w:textAlignment w:val="auto"/>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4"/>
                <w:lang w:val="en-US" w:eastAsia="zh-CN"/>
                <w14:textFill>
                  <w14:solidFill>
                    <w14:schemeClr w14:val="tx1"/>
                  </w14:solidFill>
                </w14:textFill>
              </w:rPr>
              <w:t>（3）排污口应便于采样与计量监测，便于日常现场监督检查。</w:t>
            </w:r>
          </w:p>
          <w:p w14:paraId="0D554365">
            <w:pPr>
              <w:pStyle w:val="41"/>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500" w:firstLineChars="200"/>
              <w:jc w:val="left"/>
              <w:textAlignment w:val="auto"/>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4"/>
                <w:lang w:val="en-US" w:eastAsia="zh-CN"/>
                <w14:textFill>
                  <w14:solidFill>
                    <w14:schemeClr w14:val="tx1"/>
                  </w14:solidFill>
                </w14:textFill>
              </w:rPr>
              <w:t>（4）如实向环保管理部门申报排污口数量、位置及所排放的主要污染物种类</w:t>
            </w: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新宋体" w:cs="Times New Roman"/>
                <w:color w:val="000000" w:themeColor="text1"/>
                <w:sz w:val="24"/>
                <w:szCs w:val="24"/>
                <w:lang w:val="en-US" w:eastAsia="zh-CN"/>
                <w14:textFill>
                  <w14:solidFill>
                    <w14:schemeClr w14:val="tx1"/>
                  </w14:solidFill>
                </w14:textFill>
              </w:rPr>
              <w:t>数量、浓度、排放去向等情况。</w:t>
            </w:r>
          </w:p>
          <w:p w14:paraId="47E9345F">
            <w:pPr>
              <w:pStyle w:val="41"/>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500" w:firstLineChars="200"/>
              <w:jc w:val="left"/>
              <w:textAlignment w:val="auto"/>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4"/>
                <w:lang w:val="en-US" w:eastAsia="zh-CN"/>
                <w14:textFill>
                  <w14:solidFill>
                    <w14:schemeClr w14:val="tx1"/>
                  </w14:solidFill>
                </w14:textFill>
              </w:rPr>
              <w:t>（5）废气排气装置应设置便于采样、监测的采样孔和采样平台，设置应符合《污染源监测技术规范》。</w:t>
            </w:r>
          </w:p>
          <w:p w14:paraId="075E535E">
            <w:pPr>
              <w:pStyle w:val="41"/>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500" w:firstLineChars="200"/>
              <w:jc w:val="left"/>
              <w:textAlignment w:val="auto"/>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4"/>
                <w:lang w:val="en-US" w:eastAsia="zh-CN"/>
                <w14:textFill>
                  <w14:solidFill>
                    <w14:schemeClr w14:val="tx1"/>
                  </w14:solidFill>
                </w14:textFill>
              </w:rPr>
              <w:t>拟建项目需要规范的排污口是废水总排放口、废气排放口、设备噪声源、固体废物贮放场所等。各污染源排放口应设置专项图标，执行《环境图形标准排污口（源）》（GB15563.1-1995）、《危险废物识别标志设置技术规范》（HJ1276-2022）相关要求各排污口标志牌设置示意图见下表。要求各排污口（源）提示标志形状采用正方形边框，背景颜色采用绿色，图形颜色采用白色。标志牌应设在与之功能相应的醒目处，并保持清晰完整。</w:t>
            </w:r>
          </w:p>
          <w:p w14:paraId="5E94C954">
            <w:pPr>
              <w:pStyle w:val="41"/>
              <w:keepNext w:val="0"/>
              <w:keepLines w:val="0"/>
              <w:pageBreakBefore w:val="0"/>
              <w:kinsoku/>
              <w:wordWrap/>
              <w:overflowPunct/>
              <w:topLinePunct w:val="0"/>
              <w:autoSpaceDE/>
              <w:autoSpaceDN/>
              <w:bidi w:val="0"/>
              <w:snapToGrid/>
              <w:spacing w:line="360" w:lineRule="auto"/>
              <w:jc w:val="left"/>
              <w:textAlignment w:val="auto"/>
              <w:rPr>
                <w:rFonts w:hint="default" w:ascii="Times New Roman" w:hAnsi="Times New Roman" w:eastAsia="新宋体" w:cs="Times New Roman"/>
                <w:b/>
                <w:bCs w:val="0"/>
                <w:color w:val="000000" w:themeColor="text1"/>
                <w:sz w:val="24"/>
                <w:szCs w:val="24"/>
                <w:lang w:val="en-US" w:eastAsia="zh-CN"/>
                <w14:textFill>
                  <w14:solidFill>
                    <w14:schemeClr w14:val="tx1"/>
                  </w14:solidFill>
                </w14:textFill>
              </w:rPr>
            </w:pPr>
            <w:r>
              <w:rPr>
                <w:rFonts w:hint="default" w:ascii="Times New Roman" w:hAnsi="Times New Roman" w:eastAsia="新宋体" w:cs="Times New Roman"/>
              </w:rPr>
              <w:drawing>
                <wp:inline distT="0" distB="0" distL="114300" distR="114300">
                  <wp:extent cx="4616450" cy="2395220"/>
                  <wp:effectExtent l="0" t="0" r="12700" b="508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0"/>
                          <a:stretch>
                            <a:fillRect/>
                          </a:stretch>
                        </pic:blipFill>
                        <pic:spPr>
                          <a:xfrm>
                            <a:off x="0" y="0"/>
                            <a:ext cx="4616450" cy="2395220"/>
                          </a:xfrm>
                          <a:prstGeom prst="rect">
                            <a:avLst/>
                          </a:prstGeom>
                          <a:noFill/>
                          <a:ln>
                            <a:noFill/>
                          </a:ln>
                        </pic:spPr>
                      </pic:pic>
                    </a:graphicData>
                  </a:graphic>
                </wp:inline>
              </w:drawing>
            </w:r>
          </w:p>
          <w:p w14:paraId="5B01D1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新宋体" w:cs="Times New Roman"/>
                <w:b/>
                <w:bCs/>
                <w:color w:val="000000" w:themeColor="text1"/>
                <w:spacing w:val="0"/>
                <w:kern w:val="2"/>
                <w:sz w:val="24"/>
                <w:szCs w:val="24"/>
                <w:lang w:val="en-US" w:eastAsia="zh-CN" w:bidi="ar-SA"/>
                <w14:textFill>
                  <w14:solidFill>
                    <w14:schemeClr w14:val="tx1"/>
                  </w14:solidFill>
                </w14:textFill>
              </w:rPr>
            </w:pPr>
            <w:r>
              <w:rPr>
                <w:rFonts w:hint="eastAsia" w:eastAsia="新宋体" w:cs="Times New Roman"/>
                <w:b/>
                <w:bCs/>
                <w:color w:val="000000" w:themeColor="text1"/>
                <w:spacing w:val="0"/>
                <w:kern w:val="2"/>
                <w:sz w:val="24"/>
                <w:szCs w:val="24"/>
                <w:lang w:val="en-US" w:eastAsia="zh-CN" w:bidi="ar-SA"/>
                <w14:textFill>
                  <w14:solidFill>
                    <w14:schemeClr w14:val="tx1"/>
                  </w14:solidFill>
                </w14:textFill>
              </w:rPr>
              <w:t>2、台账管理</w:t>
            </w:r>
          </w:p>
          <w:p w14:paraId="53DA8F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新宋体" w:cs="Times New Roman"/>
                <w:bCs w:val="0"/>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新宋体" w:cs="Times New Roman"/>
                <w:bCs w:val="0"/>
                <w:color w:val="000000" w:themeColor="text1"/>
                <w:spacing w:val="0"/>
                <w:kern w:val="2"/>
                <w:sz w:val="24"/>
                <w:szCs w:val="24"/>
                <w:lang w:val="en-US" w:eastAsia="zh-CN" w:bidi="ar-SA"/>
                <w14:textFill>
                  <w14:solidFill>
                    <w14:schemeClr w14:val="tx1"/>
                  </w14:solidFill>
                </w14:textFill>
              </w:rPr>
              <w:t>对照</w:t>
            </w:r>
            <w:r>
              <w:rPr>
                <w:rFonts w:hint="eastAsia" w:eastAsia="新宋体" w:cs="Times New Roman"/>
                <w:bCs w:val="0"/>
                <w:color w:val="000000" w:themeColor="text1"/>
                <w:spacing w:val="0"/>
                <w:kern w:val="2"/>
                <w:sz w:val="24"/>
                <w:szCs w:val="24"/>
                <w:lang w:val="en-US" w:eastAsia="zh-CN" w:bidi="ar-SA"/>
                <w14:textFill>
                  <w14:solidFill>
                    <w14:schemeClr w14:val="tx1"/>
                  </w14:solidFill>
                </w14:textFill>
              </w:rPr>
              <w:t>《</w:t>
            </w:r>
            <w:r>
              <w:rPr>
                <w:rFonts w:hint="eastAsia" w:ascii="Times New Roman" w:hAnsi="Times New Roman" w:eastAsia="宋体" w:cs="Times New Roman"/>
                <w:b w:val="0"/>
                <w:bCs w:val="0"/>
                <w:color w:val="auto"/>
                <w:sz w:val="24"/>
                <w:szCs w:val="32"/>
                <w:lang w:val="en-US" w:eastAsia="zh-CN"/>
              </w:rPr>
              <w:t>排污许可证申请与核发技术规范水泥工业》（HJ847-2017）</w:t>
            </w:r>
            <w:r>
              <w:rPr>
                <w:rFonts w:hint="default" w:ascii="Times New Roman" w:hAnsi="Times New Roman" w:eastAsia="新宋体" w:cs="Times New Roman"/>
                <w:bCs w:val="0"/>
                <w:color w:val="000000" w:themeColor="text1"/>
                <w:spacing w:val="0"/>
                <w:kern w:val="2"/>
                <w:sz w:val="24"/>
                <w:szCs w:val="24"/>
                <w:lang w:val="en-US" w:eastAsia="zh-CN" w:bidi="ar-SA"/>
                <w14:textFill>
                  <w14:solidFill>
                    <w14:schemeClr w14:val="tx1"/>
                  </w14:solidFill>
                </w14:textFill>
              </w:rPr>
              <w:t>台账记录管理要求如下：</w:t>
            </w:r>
          </w:p>
          <w:p w14:paraId="5366CC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新宋体" w:cs="Times New Roman"/>
                <w:bCs w:val="0"/>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新宋体" w:cs="Times New Roman"/>
                <w:bCs w:val="0"/>
                <w:color w:val="000000" w:themeColor="text1"/>
                <w:spacing w:val="0"/>
                <w:kern w:val="2"/>
                <w:sz w:val="24"/>
                <w:szCs w:val="24"/>
                <w:lang w:val="en-US" w:eastAsia="zh-CN" w:bidi="ar-SA"/>
                <w14:textFill>
                  <w14:solidFill>
                    <w14:schemeClr w14:val="tx1"/>
                  </w14:solidFill>
                </w14:textFill>
              </w:rPr>
              <w:t>（1）排污单位应按照HJ944要求建立环境管理台账制度，落实环境管理台账记录的责任单位和责任人，明确工作职责，包括台账的记录、整理、维护和管理等，台账记录频次和内容须满足排污许可证环境管理要求，并对台账记录结果的真实性、完整性和规范性负责。</w:t>
            </w:r>
          </w:p>
          <w:p w14:paraId="76CBAD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新宋体" w:cs="Times New Roman"/>
                <w:bCs w:val="0"/>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新宋体" w:cs="Times New Roman"/>
                <w:bCs w:val="0"/>
                <w:color w:val="000000" w:themeColor="text1"/>
                <w:spacing w:val="0"/>
                <w:kern w:val="2"/>
                <w:sz w:val="24"/>
                <w:szCs w:val="24"/>
                <w:lang w:val="en-US" w:eastAsia="zh-CN" w:bidi="ar-SA"/>
                <w14:textFill>
                  <w14:solidFill>
                    <w14:schemeClr w14:val="tx1"/>
                  </w14:solidFill>
                </w14:textFill>
              </w:rPr>
              <w:t>（2）排污单位环境管理台账应真实记录基本信息、生产设施运行管理信息、污染防治措施运行管理信息、监测记录信息及其他环境管理信息等。生产设施、污染防治设施、排放口编码应与排污许可证副本中载明的编码一致。</w:t>
            </w:r>
          </w:p>
          <w:p w14:paraId="3A909C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新宋体" w:cs="Times New Roman"/>
                <w:bCs w:val="0"/>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新宋体" w:cs="Times New Roman"/>
                <w:bCs w:val="0"/>
                <w:color w:val="000000" w:themeColor="text1"/>
                <w:spacing w:val="0"/>
                <w:kern w:val="2"/>
                <w:sz w:val="24"/>
                <w:szCs w:val="24"/>
                <w:lang w:val="en-US" w:eastAsia="zh-CN" w:bidi="ar-SA"/>
                <w14:textFill>
                  <w14:solidFill>
                    <w14:schemeClr w14:val="tx1"/>
                  </w14:solidFill>
                </w14:textFill>
              </w:rPr>
              <w:t>（3）重污染天气和应对期间特殊时段的台账记录频次原则上与正常生产记录频次一致，涉及特殊时段停产的排污单位或生产工序，该期间原则上仅对起始和结束当天进行1次记录，生态环境主管部门有特殊要求的，从其规定。</w:t>
            </w:r>
          </w:p>
          <w:p w14:paraId="3ACAAA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新宋体" w:cs="Times New Roman"/>
                <w:bCs w:val="0"/>
                <w:color w:val="000000" w:themeColor="text1"/>
                <w:spacing w:val="0"/>
                <w:kern w:val="2"/>
                <w:sz w:val="24"/>
                <w:szCs w:val="24"/>
                <w:lang w:val="en-US" w:eastAsia="zh-CN" w:bidi="ar-SA"/>
                <w14:textFill>
                  <w14:solidFill>
                    <w14:schemeClr w14:val="tx1"/>
                  </w14:solidFill>
                </w14:textFill>
              </w:rPr>
            </w:pPr>
            <w:r>
              <w:rPr>
                <w:rFonts w:hint="eastAsia" w:eastAsia="新宋体" w:cs="Times New Roman"/>
                <w:bCs w:val="0"/>
                <w:color w:val="000000" w:themeColor="text1"/>
                <w:spacing w:val="0"/>
                <w:kern w:val="2"/>
                <w:sz w:val="24"/>
                <w:szCs w:val="24"/>
                <w:lang w:val="en-US" w:eastAsia="zh-CN" w:bidi="ar-SA"/>
                <w14:textFill>
                  <w14:solidFill>
                    <w14:schemeClr w14:val="tx1"/>
                  </w14:solidFill>
                </w14:textFill>
              </w:rPr>
              <w:t>对照《危险废物贮存污染控制标准》（GB18597-2023）危废暂存间运行管理要求如下：</w:t>
            </w:r>
          </w:p>
          <w:p w14:paraId="296DD7D7">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eastAsia="新宋体" w:cs="Times New Roman"/>
                <w:bCs w:val="0"/>
                <w:color w:val="000000" w:themeColor="text1"/>
                <w:spacing w:val="0"/>
                <w:kern w:val="2"/>
                <w:sz w:val="24"/>
                <w:szCs w:val="24"/>
                <w:lang w:val="en-US" w:eastAsia="zh-CN" w:bidi="ar-SA"/>
                <w14:textFill>
                  <w14:solidFill>
                    <w14:schemeClr w14:val="tx1"/>
                  </w14:solidFill>
                </w14:textFill>
              </w:rPr>
            </w:pPr>
            <w:r>
              <w:rPr>
                <w:rFonts w:hint="eastAsia" w:eastAsia="新宋体" w:cs="Times New Roman"/>
                <w:bCs w:val="0"/>
                <w:color w:val="000000" w:themeColor="text1"/>
                <w:spacing w:val="0"/>
                <w:kern w:val="2"/>
                <w:sz w:val="24"/>
                <w:szCs w:val="24"/>
                <w:lang w:val="en-US" w:eastAsia="zh-CN" w:bidi="ar-SA"/>
                <w14:textFill>
                  <w14:solidFill>
                    <w14:schemeClr w14:val="tx1"/>
                  </w14:solidFill>
                </w14:textFill>
              </w:rPr>
              <w:t>（1）危险废物存入贮存设施前应对危险废物类别和特性与危险废物标签等危险废物识别标志的一致性进行核验，不一致的或类别、特性不明的不应存入。</w:t>
            </w:r>
          </w:p>
          <w:p w14:paraId="30F81026">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eastAsia="新宋体" w:cs="Times New Roman"/>
                <w:bCs w:val="0"/>
                <w:color w:val="000000" w:themeColor="text1"/>
                <w:spacing w:val="0"/>
                <w:kern w:val="2"/>
                <w:sz w:val="24"/>
                <w:szCs w:val="24"/>
                <w:lang w:val="en-US" w:eastAsia="zh-CN" w:bidi="ar-SA"/>
                <w14:textFill>
                  <w14:solidFill>
                    <w14:schemeClr w14:val="tx1"/>
                  </w14:solidFill>
                </w14:textFill>
              </w:rPr>
            </w:pPr>
            <w:r>
              <w:rPr>
                <w:rFonts w:hint="eastAsia" w:eastAsia="新宋体" w:cs="Times New Roman"/>
                <w:bCs w:val="0"/>
                <w:color w:val="000000" w:themeColor="text1"/>
                <w:spacing w:val="0"/>
                <w:kern w:val="2"/>
                <w:sz w:val="24"/>
                <w:szCs w:val="24"/>
                <w:lang w:val="en-US" w:eastAsia="zh-CN" w:bidi="ar-SA"/>
                <w14:textFill>
                  <w14:solidFill>
                    <w14:schemeClr w14:val="tx1"/>
                  </w14:solidFill>
                </w14:textFill>
              </w:rPr>
              <w:t>（2）应定期检查危险废物的贮存状况，及时清理贮存设施地面，更换破损泄漏的危险废物贮存容器和包装物，保证堆存危险废物的防雨、防风、防扬尘等设施功能完好。</w:t>
            </w:r>
          </w:p>
          <w:p w14:paraId="3C2C7CFE">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eastAsia="新宋体" w:cs="Times New Roman"/>
                <w:bCs w:val="0"/>
                <w:color w:val="000000" w:themeColor="text1"/>
                <w:spacing w:val="0"/>
                <w:kern w:val="2"/>
                <w:sz w:val="24"/>
                <w:szCs w:val="24"/>
                <w:lang w:val="en-US" w:eastAsia="zh-CN" w:bidi="ar-SA"/>
                <w14:textFill>
                  <w14:solidFill>
                    <w14:schemeClr w14:val="tx1"/>
                  </w14:solidFill>
                </w14:textFill>
              </w:rPr>
            </w:pPr>
            <w:r>
              <w:rPr>
                <w:rFonts w:hint="eastAsia" w:eastAsia="新宋体" w:cs="Times New Roman"/>
                <w:bCs w:val="0"/>
                <w:color w:val="000000" w:themeColor="text1"/>
                <w:spacing w:val="0"/>
                <w:kern w:val="2"/>
                <w:sz w:val="24"/>
                <w:szCs w:val="24"/>
                <w:lang w:val="en-US" w:eastAsia="zh-CN" w:bidi="ar-SA"/>
                <w14:textFill>
                  <w14:solidFill>
                    <w14:schemeClr w14:val="tx1"/>
                  </w14:solidFill>
                </w14:textFill>
              </w:rPr>
              <w:t>（3）作业设备及车辆等结束作业离开贮存设施时，应对其残留的危险废物进行清理，清理的废物或清洗废水应收集处理。</w:t>
            </w:r>
          </w:p>
          <w:p w14:paraId="3A0D08C2">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eastAsia="新宋体" w:cs="Times New Roman"/>
                <w:bCs w:val="0"/>
                <w:color w:val="000000" w:themeColor="text1"/>
                <w:spacing w:val="0"/>
                <w:kern w:val="2"/>
                <w:sz w:val="24"/>
                <w:szCs w:val="24"/>
                <w:lang w:val="en-US" w:eastAsia="zh-CN" w:bidi="ar-SA"/>
                <w14:textFill>
                  <w14:solidFill>
                    <w14:schemeClr w14:val="tx1"/>
                  </w14:solidFill>
                </w14:textFill>
              </w:rPr>
            </w:pPr>
            <w:r>
              <w:rPr>
                <w:rFonts w:hint="eastAsia" w:eastAsia="新宋体" w:cs="Times New Roman"/>
                <w:bCs w:val="0"/>
                <w:color w:val="000000" w:themeColor="text1"/>
                <w:spacing w:val="0"/>
                <w:kern w:val="2"/>
                <w:sz w:val="24"/>
                <w:szCs w:val="24"/>
                <w:lang w:val="en-US" w:eastAsia="zh-CN" w:bidi="ar-SA"/>
                <w14:textFill>
                  <w14:solidFill>
                    <w14:schemeClr w14:val="tx1"/>
                  </w14:solidFill>
                </w14:textFill>
              </w:rPr>
              <w:t>（4）贮存设施运行期间，应按国家有关标准和规定建立危险废物管理台账并保存。</w:t>
            </w:r>
          </w:p>
          <w:p w14:paraId="4A7C0145">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eastAsia="新宋体" w:cs="Times New Roman"/>
                <w:bCs w:val="0"/>
                <w:color w:val="000000" w:themeColor="text1"/>
                <w:spacing w:val="0"/>
                <w:kern w:val="2"/>
                <w:sz w:val="24"/>
                <w:szCs w:val="24"/>
                <w:lang w:val="en-US" w:eastAsia="zh-CN" w:bidi="ar-SA"/>
                <w14:textFill>
                  <w14:solidFill>
                    <w14:schemeClr w14:val="tx1"/>
                  </w14:solidFill>
                </w14:textFill>
              </w:rPr>
            </w:pPr>
            <w:r>
              <w:rPr>
                <w:rFonts w:hint="eastAsia" w:eastAsia="新宋体" w:cs="Times New Roman"/>
                <w:bCs w:val="0"/>
                <w:color w:val="000000" w:themeColor="text1"/>
                <w:spacing w:val="0"/>
                <w:kern w:val="2"/>
                <w:sz w:val="24"/>
                <w:szCs w:val="24"/>
                <w:lang w:val="en-US" w:eastAsia="zh-CN" w:bidi="ar-SA"/>
                <w14:textFill>
                  <w14:solidFill>
                    <w14:schemeClr w14:val="tx1"/>
                  </w14:solidFill>
                </w14:textFill>
              </w:rPr>
              <w:t>（5）贮存设施所有者或运营者应建立贮存设施环境管理制度、管理人员岗位职责制度、设施运行操作制度、人员岗位培训制度等。</w:t>
            </w:r>
          </w:p>
          <w:p w14:paraId="35DCAACA">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eastAsia="新宋体" w:cs="Times New Roman"/>
                <w:bCs w:val="0"/>
                <w:color w:val="000000" w:themeColor="text1"/>
                <w:spacing w:val="0"/>
                <w:kern w:val="2"/>
                <w:sz w:val="24"/>
                <w:szCs w:val="24"/>
                <w:lang w:val="en-US" w:eastAsia="zh-CN" w:bidi="ar-SA"/>
                <w14:textFill>
                  <w14:solidFill>
                    <w14:schemeClr w14:val="tx1"/>
                  </w14:solidFill>
                </w14:textFill>
              </w:rPr>
            </w:pPr>
            <w:r>
              <w:rPr>
                <w:rFonts w:hint="eastAsia" w:eastAsia="新宋体" w:cs="Times New Roman"/>
                <w:bCs w:val="0"/>
                <w:color w:val="000000" w:themeColor="text1"/>
                <w:spacing w:val="0"/>
                <w:kern w:val="2"/>
                <w:sz w:val="24"/>
                <w:szCs w:val="24"/>
                <w:lang w:val="en-US" w:eastAsia="zh-CN" w:bidi="ar-SA"/>
                <w14:textFill>
                  <w14:solidFill>
                    <w14:schemeClr w14:val="tx1"/>
                  </w14:solidFill>
                </w14:textFill>
              </w:rPr>
              <w:t>（6）贮存设施所有者或运营者应依据国家土壤和地下水污染防治的有关规定，结合贮存设施特点建立土壤和地下水污染隐患排查制度，并定期开展隐患排查；发现隐患应及时采取措施消除隐患，并建立档案。</w:t>
            </w:r>
          </w:p>
          <w:p w14:paraId="2A72BFBC">
            <w:pPr>
              <w:pStyle w:val="41"/>
              <w:keepNext w:val="0"/>
              <w:keepLines w:val="0"/>
              <w:pageBreakBefore w:val="0"/>
              <w:widowControl w:val="0"/>
              <w:kinsoku/>
              <w:wordWrap/>
              <w:overflowPunct/>
              <w:topLinePunct w:val="0"/>
              <w:autoSpaceDE/>
              <w:autoSpaceDN/>
              <w:bidi w:val="0"/>
              <w:adjustRightInd w:val="0"/>
              <w:snapToGrid/>
              <w:spacing w:line="360" w:lineRule="auto"/>
              <w:ind w:leftChars="0" w:firstLine="480" w:firstLineChars="200"/>
              <w:jc w:val="left"/>
              <w:textAlignment w:val="auto"/>
              <w:rPr>
                <w:rFonts w:hint="eastAsia" w:ascii="Times New Roman" w:hAnsi="Times New Roman" w:eastAsia="新宋体" w:cs="Times New Roman"/>
                <w:bCs w:val="0"/>
                <w:color w:val="000000" w:themeColor="text1"/>
                <w:spacing w:val="0"/>
                <w:kern w:val="2"/>
                <w:sz w:val="24"/>
                <w:szCs w:val="24"/>
                <w:lang w:val="en-US" w:eastAsia="zh-CN" w:bidi="ar-SA"/>
                <w14:textFill>
                  <w14:solidFill>
                    <w14:schemeClr w14:val="tx1"/>
                  </w14:solidFill>
                </w14:textFill>
              </w:rPr>
            </w:pPr>
            <w:r>
              <w:rPr>
                <w:rFonts w:hint="eastAsia" w:ascii="Times New Roman" w:hAnsi="Times New Roman" w:eastAsia="新宋体" w:cs="Times New Roman"/>
                <w:bCs w:val="0"/>
                <w:color w:val="000000" w:themeColor="text1"/>
                <w:spacing w:val="0"/>
                <w:kern w:val="2"/>
                <w:sz w:val="24"/>
                <w:szCs w:val="24"/>
                <w:lang w:val="en-US" w:eastAsia="zh-CN" w:bidi="ar-SA"/>
                <w14:textFill>
                  <w14:solidFill>
                    <w14:schemeClr w14:val="tx1"/>
                  </w14:solidFill>
                </w14:textFill>
              </w:rPr>
              <w:t>（7）贮存设施所有者或运营者应建立贮存设施全部档案，包括设计、施工、验收、运行、监测和环境应急等，应按国家有关档案管理的法律法规进行整理和归档。</w:t>
            </w:r>
          </w:p>
          <w:p w14:paraId="00016D9F">
            <w:pPr>
              <w:pStyle w:val="41"/>
              <w:keepNext w:val="0"/>
              <w:keepLines w:val="0"/>
              <w:pageBreakBefore w:val="0"/>
              <w:kinsoku/>
              <w:wordWrap/>
              <w:overflowPunct/>
              <w:topLinePunct w:val="0"/>
              <w:autoSpaceDE/>
              <w:autoSpaceDN/>
              <w:bidi w:val="0"/>
              <w:snapToGrid/>
              <w:spacing w:line="360" w:lineRule="auto"/>
              <w:ind w:leftChars="200" w:firstLine="0" w:firstLineChars="0"/>
              <w:jc w:val="left"/>
              <w:textAlignment w:val="auto"/>
              <w:rPr>
                <w:rFonts w:hint="default" w:ascii="Times New Roman" w:hAnsi="Times New Roman" w:eastAsia="新宋体" w:cs="Times New Roman"/>
                <w:b/>
                <w:bCs w:val="0"/>
                <w:color w:val="000000" w:themeColor="text1"/>
                <w:sz w:val="24"/>
                <w:szCs w:val="24"/>
                <w:lang w:val="en-US" w:eastAsia="zh-CN"/>
                <w14:textFill>
                  <w14:solidFill>
                    <w14:schemeClr w14:val="tx1"/>
                  </w14:solidFill>
                </w14:textFill>
              </w:rPr>
            </w:pPr>
            <w:r>
              <w:rPr>
                <w:rFonts w:hint="eastAsia" w:ascii="Times New Roman" w:hAnsi="Times New Roman" w:eastAsia="新宋体" w:cs="Times New Roman"/>
                <w:b/>
                <w:bCs w:val="0"/>
                <w:color w:val="000000" w:themeColor="text1"/>
                <w:sz w:val="24"/>
                <w:szCs w:val="24"/>
                <w:lang w:val="en-US" w:eastAsia="zh-CN"/>
                <w14:textFill>
                  <w14:solidFill>
                    <w14:schemeClr w14:val="tx1"/>
                  </w14:solidFill>
                </w14:textFill>
              </w:rPr>
              <w:t>3</w:t>
            </w:r>
            <w:r>
              <w:rPr>
                <w:rFonts w:hint="default" w:ascii="Times New Roman" w:hAnsi="Times New Roman" w:eastAsia="新宋体" w:cs="Times New Roman"/>
                <w:b/>
                <w:bCs w:val="0"/>
                <w:color w:val="000000" w:themeColor="text1"/>
                <w:sz w:val="24"/>
                <w:szCs w:val="24"/>
                <w:lang w:val="en-US" w:eastAsia="zh-CN"/>
                <w14:textFill>
                  <w14:solidFill>
                    <w14:schemeClr w14:val="tx1"/>
                  </w14:solidFill>
                </w14:textFill>
              </w:rPr>
              <w:t>、与排污许可证衔接</w:t>
            </w:r>
          </w:p>
          <w:p w14:paraId="3EE20F7A">
            <w:pPr>
              <w:pStyle w:val="35"/>
              <w:spacing w:line="360" w:lineRule="auto"/>
              <w:ind w:firstLine="480" w:firstLineChars="200"/>
              <w:jc w:val="both"/>
              <w:rPr>
                <w:rFonts w:hint="default" w:ascii="Times New Roman" w:hAnsi="Times New Roman" w:eastAsia="新宋体" w:cs="Times New Roman"/>
                <w:b w:val="0"/>
                <w:bCs w:val="0"/>
                <w:color w:val="000000" w:themeColor="text1"/>
                <w:sz w:val="24"/>
                <w:szCs w:val="24"/>
                <w14:textFill>
                  <w14:solidFill>
                    <w14:schemeClr w14:val="tx1"/>
                  </w14:solidFill>
                </w14:textFill>
              </w:rPr>
            </w:pPr>
            <w:r>
              <w:rPr>
                <w:rFonts w:hint="default" w:ascii="Times New Roman" w:hAnsi="Times New Roman" w:eastAsia="新宋体" w:cs="Times New Roman"/>
                <w:b w:val="0"/>
                <w:bCs w:val="0"/>
                <w:color w:val="000000" w:themeColor="text1"/>
                <w:sz w:val="24"/>
                <w:szCs w:val="24"/>
                <w14:textFill>
                  <w14:solidFill>
                    <w14:schemeClr w14:val="tx1"/>
                  </w14:solidFill>
                </w14:textFill>
              </w:rPr>
              <w:t>《关于做好环境影响评价制度与排污许可制衔接相关工作的通知》中要求：环境影响评价审批部门要做好建设项目环境影响报告书（表）的审查，结合排污许可证申请与核发技术规范，核定建设项目的产排污环节、污染物种类及污染防治设施和措施等基本信息；依据国家或地方污染物排放标准、环境质量标准和总量控制要求等管理规定，按照污染源源强核算技术指南、环境影响评价要素导则等技术文件，严格核定排放口数量、位置以及每个排放口的污染物种类、允许排放浓度和允许排放量、排放方式、排放去向、自行监测计划等与污染物排放相关的主要内容。</w:t>
            </w:r>
          </w:p>
          <w:p w14:paraId="350EF9B8">
            <w:pPr>
              <w:pStyle w:val="84"/>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6"/>
                <w:sz w:val="21"/>
                <w:szCs w:val="21"/>
              </w:rPr>
              <w:t>表</w:t>
            </w:r>
            <w:r>
              <w:rPr>
                <w:rFonts w:hint="eastAsia" w:ascii="Times New Roman" w:hAnsi="Times New Roman" w:eastAsia="宋体" w:cs="Times New Roman"/>
                <w:b/>
                <w:bCs/>
                <w:spacing w:val="6"/>
                <w:sz w:val="21"/>
                <w:szCs w:val="21"/>
                <w:lang w:val="en-US" w:eastAsia="zh-CN"/>
              </w:rPr>
              <w:t>5-1</w:t>
            </w:r>
            <w:r>
              <w:rPr>
                <w:rFonts w:hint="default" w:ascii="Times New Roman" w:hAnsi="Times New Roman" w:eastAsia="宋体" w:cs="Times New Roman"/>
                <w:b/>
                <w:bCs/>
                <w:spacing w:val="6"/>
                <w:sz w:val="21"/>
                <w:szCs w:val="21"/>
              </w:rPr>
              <w:t>固定污染源排污许可证分类管理名录</w:t>
            </w:r>
            <w:r>
              <w:rPr>
                <w:rFonts w:hint="default" w:ascii="Times New Roman" w:hAnsi="Times New Roman" w:eastAsia="宋体" w:cs="Times New Roman"/>
                <w:b/>
                <w:bCs/>
                <w:spacing w:val="6"/>
                <w:sz w:val="21"/>
                <w:szCs w:val="21"/>
                <w:lang w:val="en-US" w:eastAsia="zh-CN"/>
              </w:rPr>
              <w:t>-</w:t>
            </w:r>
            <w:r>
              <w:rPr>
                <w:rFonts w:hint="default" w:ascii="Times New Roman" w:hAnsi="Times New Roman" w:eastAsia="宋体" w:cs="Times New Roman"/>
                <w:b/>
                <w:bCs/>
                <w:spacing w:val="7"/>
                <w:sz w:val="21"/>
                <w:szCs w:val="21"/>
              </w:rPr>
              <w:t>二十五、非金属矿物制品业30</w:t>
            </w:r>
          </w:p>
          <w:p w14:paraId="57A77458">
            <w:pPr>
              <w:spacing w:line="129" w:lineRule="exact"/>
            </w:pPr>
          </w:p>
          <w:tbl>
            <w:tblPr>
              <w:tblStyle w:val="83"/>
              <w:tblW w:w="4998"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912"/>
              <w:gridCol w:w="1276"/>
              <w:gridCol w:w="1238"/>
              <w:gridCol w:w="1364"/>
              <w:gridCol w:w="2820"/>
            </w:tblGrid>
            <w:tr w14:paraId="10A1D84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0" w:hRule="atLeast"/>
                <w:jc w:val="center"/>
              </w:trPr>
              <w:tc>
                <w:tcPr>
                  <w:tcW w:w="599" w:type="pct"/>
                  <w:tcBorders>
                    <w:tl2br w:val="nil"/>
                    <w:tr2bl w:val="nil"/>
                  </w:tcBorders>
                  <w:vAlign w:val="center"/>
                </w:tcPr>
                <w:p w14:paraId="2055E075">
                  <w:pPr>
                    <w:spacing w:line="240" w:lineRule="auto"/>
                    <w:ind w:left="0" w:leftChars="0" w:firstLine="0" w:firstLineChars="0"/>
                    <w:jc w:val="center"/>
                    <w:rPr>
                      <w:rFonts w:hint="eastAsia"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序号</w:t>
                  </w:r>
                </w:p>
              </w:tc>
              <w:tc>
                <w:tcPr>
                  <w:tcW w:w="838" w:type="pct"/>
                  <w:tcBorders>
                    <w:tl2br w:val="nil"/>
                    <w:tr2bl w:val="nil"/>
                  </w:tcBorders>
                  <w:vAlign w:val="center"/>
                </w:tcPr>
                <w:p w14:paraId="21228DA7">
                  <w:pPr>
                    <w:spacing w:line="240" w:lineRule="auto"/>
                    <w:ind w:left="0" w:leftChars="0" w:firstLine="0" w:firstLineChars="0"/>
                    <w:jc w:val="center"/>
                    <w:rPr>
                      <w:rFonts w:hint="eastAsia"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行业类别</w:t>
                  </w:r>
                </w:p>
              </w:tc>
              <w:tc>
                <w:tcPr>
                  <w:tcW w:w="813" w:type="pct"/>
                  <w:tcBorders>
                    <w:tl2br w:val="nil"/>
                    <w:tr2bl w:val="nil"/>
                  </w:tcBorders>
                  <w:vAlign w:val="center"/>
                </w:tcPr>
                <w:p w14:paraId="4C1E528F">
                  <w:pPr>
                    <w:spacing w:line="240" w:lineRule="auto"/>
                    <w:ind w:left="0" w:leftChars="0" w:firstLine="0" w:firstLineChars="0"/>
                    <w:jc w:val="center"/>
                    <w:rPr>
                      <w:rFonts w:hint="eastAsia"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重点管理</w:t>
                  </w:r>
                </w:p>
              </w:tc>
              <w:tc>
                <w:tcPr>
                  <w:tcW w:w="896" w:type="pct"/>
                  <w:tcBorders>
                    <w:tl2br w:val="nil"/>
                    <w:tr2bl w:val="nil"/>
                  </w:tcBorders>
                  <w:vAlign w:val="center"/>
                </w:tcPr>
                <w:p w14:paraId="1C709377">
                  <w:pPr>
                    <w:spacing w:line="240" w:lineRule="auto"/>
                    <w:ind w:left="0" w:leftChars="0" w:firstLine="0" w:firstLineChars="0"/>
                    <w:jc w:val="center"/>
                    <w:rPr>
                      <w:rFonts w:hint="eastAsia"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简化管理</w:t>
                  </w:r>
                </w:p>
              </w:tc>
              <w:tc>
                <w:tcPr>
                  <w:tcW w:w="1852" w:type="pct"/>
                  <w:tcBorders>
                    <w:tl2br w:val="nil"/>
                    <w:tr2bl w:val="nil"/>
                  </w:tcBorders>
                  <w:vAlign w:val="center"/>
                </w:tcPr>
                <w:p w14:paraId="0AEA6882">
                  <w:pPr>
                    <w:spacing w:line="240" w:lineRule="auto"/>
                    <w:ind w:left="0" w:leftChars="0" w:firstLine="0" w:firstLineChars="0"/>
                    <w:jc w:val="center"/>
                    <w:rPr>
                      <w:rFonts w:hint="eastAsia"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登记管理</w:t>
                  </w:r>
                </w:p>
              </w:tc>
            </w:tr>
            <w:tr w14:paraId="3FF2641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118" w:hRule="atLeast"/>
                <w:jc w:val="center"/>
              </w:trPr>
              <w:tc>
                <w:tcPr>
                  <w:tcW w:w="599" w:type="pct"/>
                  <w:tcBorders>
                    <w:tl2br w:val="nil"/>
                    <w:tr2bl w:val="nil"/>
                  </w:tcBorders>
                  <w:vAlign w:val="center"/>
                </w:tcPr>
                <w:p w14:paraId="42B54AF4">
                  <w:pPr>
                    <w:spacing w:line="240" w:lineRule="auto"/>
                    <w:ind w:left="0" w:leftChars="0" w:firstLine="0" w:firstLineChars="0"/>
                    <w:jc w:val="center"/>
                    <w:rPr>
                      <w:rFonts w:hint="eastAsia"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63</w:t>
                  </w:r>
                </w:p>
              </w:tc>
              <w:tc>
                <w:tcPr>
                  <w:tcW w:w="838" w:type="pct"/>
                  <w:tcBorders>
                    <w:tl2br w:val="nil"/>
                    <w:tr2bl w:val="nil"/>
                  </w:tcBorders>
                  <w:vAlign w:val="center"/>
                </w:tcPr>
                <w:p w14:paraId="7826F2F1">
                  <w:pPr>
                    <w:spacing w:line="240" w:lineRule="auto"/>
                    <w:ind w:left="0" w:leftChars="0" w:firstLine="0" w:firstLineChars="0"/>
                    <w:jc w:val="center"/>
                    <w:rPr>
                      <w:rFonts w:hint="eastAsia"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水泥、石灰和石膏制造，石膏、水泥制品及类似制品</w:t>
                  </w:r>
                </w:p>
                <w:p w14:paraId="4DF8AFD6">
                  <w:pPr>
                    <w:spacing w:line="240" w:lineRule="auto"/>
                    <w:ind w:left="0" w:leftChars="0" w:firstLine="0" w:firstLineChars="0"/>
                    <w:jc w:val="center"/>
                    <w:rPr>
                      <w:rFonts w:hint="eastAsia"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制造302</w:t>
                  </w:r>
                </w:p>
              </w:tc>
              <w:tc>
                <w:tcPr>
                  <w:tcW w:w="813" w:type="pct"/>
                  <w:tcBorders>
                    <w:tl2br w:val="nil"/>
                    <w:tr2bl w:val="nil"/>
                  </w:tcBorders>
                  <w:vAlign w:val="center"/>
                </w:tcPr>
                <w:p w14:paraId="27615E33">
                  <w:pPr>
                    <w:spacing w:line="240" w:lineRule="auto"/>
                    <w:ind w:left="0" w:leftChars="0" w:firstLine="0" w:firstLineChars="0"/>
                    <w:jc w:val="center"/>
                    <w:rPr>
                      <w:rFonts w:hint="eastAsia"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水泥（熟料）制造</w:t>
                  </w:r>
                </w:p>
              </w:tc>
              <w:tc>
                <w:tcPr>
                  <w:tcW w:w="896" w:type="pct"/>
                  <w:tcBorders>
                    <w:tl2br w:val="nil"/>
                    <w:tr2bl w:val="nil"/>
                  </w:tcBorders>
                  <w:vAlign w:val="center"/>
                </w:tcPr>
                <w:p w14:paraId="79F1A910">
                  <w:pPr>
                    <w:spacing w:line="240" w:lineRule="auto"/>
                    <w:ind w:left="0" w:leftChars="0" w:firstLine="0" w:firstLineChars="0"/>
                    <w:jc w:val="center"/>
                    <w:rPr>
                      <w:rFonts w:hint="eastAsia"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水泥粉磨站、石灰和石膏制造3012</w:t>
                  </w:r>
                </w:p>
              </w:tc>
              <w:tc>
                <w:tcPr>
                  <w:tcW w:w="1852" w:type="pct"/>
                  <w:tcBorders>
                    <w:tl2br w:val="nil"/>
                    <w:tr2bl w:val="nil"/>
                  </w:tcBorders>
                  <w:vAlign w:val="center"/>
                </w:tcPr>
                <w:p w14:paraId="20C3180B">
                  <w:pPr>
                    <w:spacing w:line="240" w:lineRule="auto"/>
                    <w:ind w:left="0" w:leftChars="0" w:firstLine="0" w:firstLineChars="0"/>
                    <w:jc w:val="center"/>
                    <w:rPr>
                      <w:rFonts w:hint="eastAsia"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水泥制品制造3021，砼结构构件制造3022，石棉水泥制品制造3023，轻质建筑材料制造3024，其他水泥类似制品制造3029</w:t>
                  </w:r>
                </w:p>
              </w:tc>
            </w:tr>
          </w:tbl>
          <w:p w14:paraId="7018CA3F">
            <w:pPr>
              <w:pStyle w:val="84"/>
              <w:spacing w:before="35" w:line="468" w:lineRule="exact"/>
              <w:rPr>
                <w:rFonts w:hint="default" w:ascii="Times New Roman" w:hAnsi="Times New Roman" w:eastAsia="新宋体" w:cs="Times New Roman"/>
                <w:bCs/>
                <w:color w:val="000000" w:themeColor="text1"/>
                <w:spacing w:val="5"/>
                <w:kern w:val="0"/>
                <w:sz w:val="24"/>
                <w:szCs w:val="24"/>
                <w:lang w:val="en-US" w:eastAsia="zh-CN" w:bidi="ar-SA"/>
                <w14:textFill>
                  <w14:solidFill>
                    <w14:schemeClr w14:val="tx1"/>
                  </w14:solidFill>
                </w14:textFill>
              </w:rPr>
            </w:pPr>
            <w:r>
              <w:rPr>
                <w:rFonts w:hint="default" w:ascii="Times New Roman" w:hAnsi="Times New Roman" w:eastAsia="新宋体" w:cs="Times New Roman"/>
                <w:bCs/>
                <w:color w:val="000000" w:themeColor="text1"/>
                <w:spacing w:val="5"/>
                <w:kern w:val="0"/>
                <w:sz w:val="24"/>
                <w:szCs w:val="24"/>
                <w:lang w:val="en-US" w:eastAsia="zh-CN" w:bidi="ar-SA"/>
                <w14:textFill>
                  <w14:solidFill>
                    <w14:schemeClr w14:val="tx1"/>
                  </w14:solidFill>
                </w14:textFill>
              </w:rPr>
              <w:t>本项目国民经济行业类别为C3022砼结构构件制造，则属于登记管理。</w:t>
            </w:r>
          </w:p>
          <w:p w14:paraId="49BB078C">
            <w:pPr>
              <w:pStyle w:val="41"/>
              <w:keepNext w:val="0"/>
              <w:keepLines w:val="0"/>
              <w:pageBreakBefore w:val="0"/>
              <w:kinsoku/>
              <w:wordWrap/>
              <w:overflowPunct/>
              <w:topLinePunct w:val="0"/>
              <w:autoSpaceDE/>
              <w:autoSpaceDN/>
              <w:bidi w:val="0"/>
              <w:snapToGrid/>
              <w:spacing w:line="360" w:lineRule="auto"/>
              <w:ind w:leftChars="200" w:firstLine="0" w:firstLineChars="0"/>
              <w:jc w:val="left"/>
              <w:textAlignment w:val="auto"/>
              <w:rPr>
                <w:rFonts w:hint="default" w:ascii="Times New Roman" w:hAnsi="Times New Roman" w:eastAsia="新宋体" w:cs="Times New Roman"/>
                <w:b/>
                <w:bCs w:val="0"/>
                <w:color w:val="000000" w:themeColor="text1"/>
                <w:sz w:val="24"/>
                <w:szCs w:val="24"/>
                <w:lang w:val="en-US" w:eastAsia="zh-CN"/>
                <w14:textFill>
                  <w14:solidFill>
                    <w14:schemeClr w14:val="tx1"/>
                  </w14:solidFill>
                </w14:textFill>
              </w:rPr>
            </w:pPr>
            <w:r>
              <w:rPr>
                <w:rFonts w:hint="eastAsia" w:ascii="Times New Roman" w:hAnsi="Times New Roman" w:eastAsia="新宋体" w:cs="Times New Roman"/>
                <w:b/>
                <w:bCs w:val="0"/>
                <w:color w:val="000000" w:themeColor="text1"/>
                <w:sz w:val="24"/>
                <w:szCs w:val="24"/>
                <w:lang w:val="en-US" w:eastAsia="zh-CN"/>
                <w14:textFill>
                  <w14:solidFill>
                    <w14:schemeClr w14:val="tx1"/>
                  </w14:solidFill>
                </w14:textFill>
              </w:rPr>
              <w:t>4</w:t>
            </w:r>
            <w:r>
              <w:rPr>
                <w:rFonts w:hint="default" w:ascii="Times New Roman" w:hAnsi="Times New Roman" w:eastAsia="新宋体" w:cs="Times New Roman"/>
                <w:b/>
                <w:bCs w:val="0"/>
                <w:color w:val="000000" w:themeColor="text1"/>
                <w:sz w:val="24"/>
                <w:szCs w:val="24"/>
                <w:lang w:val="en-US" w:eastAsia="zh-CN"/>
                <w14:textFill>
                  <w14:solidFill>
                    <w14:schemeClr w14:val="tx1"/>
                  </w14:solidFill>
                </w14:textFill>
              </w:rPr>
              <w:t>、“三同时”竣工验收</w:t>
            </w:r>
          </w:p>
          <w:p w14:paraId="657D687B">
            <w:pPr>
              <w:pStyle w:val="41"/>
              <w:keepNext w:val="0"/>
              <w:keepLines w:val="0"/>
              <w:pageBreakBefore w:val="0"/>
              <w:widowControl w:val="0"/>
              <w:kinsoku/>
              <w:wordWrap/>
              <w:overflowPunct/>
              <w:topLinePunct w:val="0"/>
              <w:autoSpaceDE/>
              <w:autoSpaceDN/>
              <w:bidi w:val="0"/>
              <w:adjustRightInd w:val="0"/>
              <w:snapToGrid/>
              <w:spacing w:line="360" w:lineRule="auto"/>
              <w:ind w:leftChars="0" w:firstLine="500" w:firstLineChars="200"/>
              <w:jc w:val="left"/>
              <w:textAlignment w:val="auto"/>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4"/>
                <w:lang w:val="en-US" w:eastAsia="zh-CN"/>
                <w14:textFill>
                  <w14:solidFill>
                    <w14:schemeClr w14:val="tx1"/>
                  </w14:solidFill>
                </w14:textFill>
              </w:rPr>
              <w:t>根据《建设项目竣工环境保护验收暂行办法》的规定，建设项目竣工后，建设单位应当如实查验、监测、记载建设项目环境保护设施的建设和调试情况，编制验收监测报告表。</w:t>
            </w:r>
          </w:p>
          <w:p w14:paraId="0B437C17">
            <w:pPr>
              <w:snapToGrid w:val="0"/>
              <w:spacing w:line="240" w:lineRule="auto"/>
              <w:jc w:val="center"/>
              <w:rPr>
                <w:rFonts w:hint="default" w:ascii="Times New Roman" w:hAnsi="Times New Roman" w:eastAsia="新宋体" w:cs="Times New Roman"/>
                <w:b/>
                <w:bCs/>
                <w:color w:val="000000" w:themeColor="text1"/>
                <w:highlight w:val="none"/>
                <w14:textFill>
                  <w14:solidFill>
                    <w14:schemeClr w14:val="tx1"/>
                  </w14:solidFill>
                </w14:textFill>
              </w:rPr>
            </w:pPr>
            <w:r>
              <w:rPr>
                <w:rFonts w:hint="default" w:ascii="Times New Roman" w:hAnsi="Times New Roman" w:eastAsia="新宋体" w:cs="Times New Roman"/>
                <w:b/>
                <w:bCs/>
                <w:color w:val="000000" w:themeColor="text1"/>
                <w:sz w:val="21"/>
                <w:szCs w:val="21"/>
                <w:highlight w:val="none"/>
                <w14:textFill>
                  <w14:solidFill>
                    <w14:schemeClr w14:val="tx1"/>
                  </w14:solidFill>
                </w14:textFill>
              </w:rPr>
              <w:t>表</w:t>
            </w:r>
            <w:r>
              <w:rPr>
                <w:rFonts w:hint="default" w:ascii="Times New Roman" w:hAnsi="Times New Roman" w:eastAsia="新宋体" w:cs="Times New Roman"/>
                <w:b/>
                <w:bCs/>
                <w:color w:val="000000" w:themeColor="text1"/>
                <w:sz w:val="21"/>
                <w:szCs w:val="21"/>
                <w:highlight w:val="none"/>
                <w:lang w:val="en-US" w:eastAsia="zh-CN"/>
                <w14:textFill>
                  <w14:solidFill>
                    <w14:schemeClr w14:val="tx1"/>
                  </w14:solidFill>
                </w14:textFill>
              </w:rPr>
              <w:t>5-</w:t>
            </w:r>
            <w:r>
              <w:rPr>
                <w:rFonts w:hint="eastAsia" w:eastAsia="新宋体" w:cs="Times New Roman"/>
                <w:b/>
                <w:bCs/>
                <w:color w:val="000000" w:themeColor="text1"/>
                <w:sz w:val="21"/>
                <w:szCs w:val="21"/>
                <w:highlight w:val="none"/>
                <w:lang w:val="en-US" w:eastAsia="zh-CN"/>
                <w14:textFill>
                  <w14:solidFill>
                    <w14:schemeClr w14:val="tx1"/>
                  </w14:solidFill>
                </w14:textFill>
              </w:rPr>
              <w:t>2</w:t>
            </w:r>
            <w:r>
              <w:rPr>
                <w:rFonts w:hint="default" w:ascii="Times New Roman" w:hAnsi="Times New Roman" w:eastAsia="新宋体" w:cs="Times New Roman"/>
                <w:b/>
                <w:bCs/>
                <w:color w:val="000000" w:themeColor="text1"/>
                <w:sz w:val="21"/>
                <w:szCs w:val="21"/>
                <w:highlight w:val="none"/>
                <w14:textFill>
                  <w14:solidFill>
                    <w14:schemeClr w14:val="tx1"/>
                  </w14:solidFill>
                </w14:textFill>
              </w:rPr>
              <w:t>项目</w:t>
            </w:r>
            <w:r>
              <w:rPr>
                <w:rFonts w:hint="default" w:ascii="Times New Roman" w:hAnsi="Times New Roman" w:eastAsia="新宋体" w:cs="Times New Roman"/>
                <w:b/>
                <w:bCs/>
                <w:color w:val="000000" w:themeColor="text1"/>
                <w:sz w:val="21"/>
                <w:szCs w:val="21"/>
                <w:highlight w:val="none"/>
                <w:lang w:eastAsia="zh-CN"/>
                <w14:textFill>
                  <w14:solidFill>
                    <w14:schemeClr w14:val="tx1"/>
                  </w14:solidFill>
                </w14:textFill>
              </w:rPr>
              <w:t>“</w:t>
            </w:r>
            <w:r>
              <w:rPr>
                <w:rFonts w:hint="default" w:ascii="Times New Roman" w:hAnsi="Times New Roman" w:eastAsia="新宋体" w:cs="Times New Roman"/>
                <w:b/>
                <w:bCs/>
                <w:color w:val="000000" w:themeColor="text1"/>
                <w:sz w:val="21"/>
                <w:szCs w:val="21"/>
                <w:highlight w:val="none"/>
                <w14:textFill>
                  <w14:solidFill>
                    <w14:schemeClr w14:val="tx1"/>
                  </w14:solidFill>
                </w14:textFill>
              </w:rPr>
              <w:t>三同时</w:t>
            </w:r>
            <w:r>
              <w:rPr>
                <w:rFonts w:hint="default" w:ascii="Times New Roman" w:hAnsi="Times New Roman" w:eastAsia="新宋体" w:cs="Times New Roman"/>
                <w:b/>
                <w:bCs/>
                <w:color w:val="000000" w:themeColor="text1"/>
                <w:sz w:val="21"/>
                <w:szCs w:val="21"/>
                <w:highlight w:val="none"/>
                <w:lang w:eastAsia="zh-CN"/>
                <w14:textFill>
                  <w14:solidFill>
                    <w14:schemeClr w14:val="tx1"/>
                  </w14:solidFill>
                </w14:textFill>
              </w:rPr>
              <w:t>”</w:t>
            </w:r>
            <w:r>
              <w:rPr>
                <w:rFonts w:hint="default" w:ascii="Times New Roman" w:hAnsi="Times New Roman" w:eastAsia="新宋体" w:cs="Times New Roman"/>
                <w:b/>
                <w:bCs/>
                <w:color w:val="000000" w:themeColor="text1"/>
                <w:sz w:val="21"/>
                <w:szCs w:val="21"/>
                <w:highlight w:val="none"/>
                <w14:textFill>
                  <w14:solidFill>
                    <w14:schemeClr w14:val="tx1"/>
                  </w14:solidFill>
                </w14:textFill>
              </w:rPr>
              <w:t>竣工验收检查表</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1"/>
              <w:gridCol w:w="828"/>
              <w:gridCol w:w="930"/>
              <w:gridCol w:w="900"/>
              <w:gridCol w:w="1775"/>
              <w:gridCol w:w="2386"/>
            </w:tblGrid>
            <w:tr w14:paraId="3A83B8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9" w:type="pct"/>
                  <w:tcBorders>
                    <w:tl2br w:val="nil"/>
                    <w:tr2bl w:val="nil"/>
                  </w:tcBorders>
                  <w:vAlign w:val="center"/>
                </w:tcPr>
                <w:p w14:paraId="6DBC7383">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环保工程</w:t>
                  </w:r>
                </w:p>
              </w:tc>
              <w:tc>
                <w:tcPr>
                  <w:tcW w:w="544" w:type="pct"/>
                  <w:tcBorders>
                    <w:tl2br w:val="nil"/>
                    <w:tr2bl w:val="nil"/>
                  </w:tcBorders>
                  <w:vAlign w:val="center"/>
                </w:tcPr>
                <w:p w14:paraId="2DDB871C">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污染工序</w:t>
                  </w:r>
                </w:p>
              </w:tc>
              <w:tc>
                <w:tcPr>
                  <w:tcW w:w="611" w:type="pct"/>
                  <w:tcBorders>
                    <w:tl2br w:val="nil"/>
                    <w:tr2bl w:val="nil"/>
                  </w:tcBorders>
                  <w:vAlign w:val="center"/>
                </w:tcPr>
                <w:p w14:paraId="104B2D8F">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污染物</w:t>
                  </w:r>
                </w:p>
              </w:tc>
              <w:tc>
                <w:tcPr>
                  <w:tcW w:w="591" w:type="pct"/>
                  <w:tcBorders>
                    <w:tl2br w:val="nil"/>
                    <w:tr2bl w:val="nil"/>
                  </w:tcBorders>
                  <w:vAlign w:val="center"/>
                </w:tcPr>
                <w:p w14:paraId="34B2F6A5">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监测点位</w:t>
                  </w:r>
                </w:p>
              </w:tc>
              <w:tc>
                <w:tcPr>
                  <w:tcW w:w="1166" w:type="pct"/>
                  <w:tcBorders>
                    <w:tl2br w:val="nil"/>
                    <w:tr2bl w:val="nil"/>
                  </w:tcBorders>
                  <w:vAlign w:val="center"/>
                </w:tcPr>
                <w:p w14:paraId="3F477051">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污染防治措施</w:t>
                  </w:r>
                </w:p>
              </w:tc>
              <w:tc>
                <w:tcPr>
                  <w:tcW w:w="1567" w:type="pct"/>
                  <w:tcBorders>
                    <w:tl2br w:val="nil"/>
                    <w:tr2bl w:val="nil"/>
                  </w:tcBorders>
                  <w:vAlign w:val="center"/>
                </w:tcPr>
                <w:p w14:paraId="14E751BA">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验收标准</w:t>
                  </w:r>
                </w:p>
              </w:tc>
            </w:tr>
            <w:tr w14:paraId="41FAED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9" w:type="pct"/>
                  <w:vMerge w:val="restart"/>
                  <w:tcBorders>
                    <w:tl2br w:val="nil"/>
                    <w:tr2bl w:val="nil"/>
                  </w:tcBorders>
                  <w:vAlign w:val="center"/>
                </w:tcPr>
                <w:p w14:paraId="624EB780">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废气治理</w:t>
                  </w:r>
                </w:p>
              </w:tc>
              <w:tc>
                <w:tcPr>
                  <w:tcW w:w="544" w:type="pct"/>
                  <w:tcBorders>
                    <w:tl2br w:val="nil"/>
                    <w:tr2bl w:val="nil"/>
                  </w:tcBorders>
                  <w:vAlign w:val="center"/>
                </w:tcPr>
                <w:p w14:paraId="29DEAD2E">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运输工序</w:t>
                  </w:r>
                </w:p>
              </w:tc>
              <w:tc>
                <w:tcPr>
                  <w:tcW w:w="611" w:type="pct"/>
                  <w:tcBorders>
                    <w:tl2br w:val="nil"/>
                    <w:tr2bl w:val="nil"/>
                  </w:tcBorders>
                  <w:vAlign w:val="center"/>
                </w:tcPr>
                <w:p w14:paraId="447C58AF">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粉尘</w:t>
                  </w:r>
                </w:p>
              </w:tc>
              <w:tc>
                <w:tcPr>
                  <w:tcW w:w="591" w:type="pct"/>
                  <w:vMerge w:val="restart"/>
                  <w:tcBorders>
                    <w:tl2br w:val="nil"/>
                    <w:tr2bl w:val="nil"/>
                  </w:tcBorders>
                  <w:vAlign w:val="center"/>
                </w:tcPr>
                <w:p w14:paraId="2CBE0D96">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上风向1个对照点，下风向3个点位</w:t>
                  </w:r>
                </w:p>
              </w:tc>
              <w:tc>
                <w:tcPr>
                  <w:tcW w:w="1166" w:type="pct"/>
                  <w:tcBorders>
                    <w:tl2br w:val="nil"/>
                    <w:tr2bl w:val="nil"/>
                  </w:tcBorders>
                  <w:vAlign w:val="center"/>
                </w:tcPr>
                <w:p w14:paraId="2B08E7DA">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加盖篷布、洒水降尘</w:t>
                  </w:r>
                </w:p>
              </w:tc>
              <w:tc>
                <w:tcPr>
                  <w:tcW w:w="1567" w:type="pct"/>
                  <w:vMerge w:val="restart"/>
                  <w:tcBorders>
                    <w:tl2br w:val="nil"/>
                    <w:tr2bl w:val="nil"/>
                  </w:tcBorders>
                  <w:vAlign w:val="center"/>
                </w:tcPr>
                <w:p w14:paraId="71C87651">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《水泥工业大气污染物排放标准》（GB4915-2013）表3中颗粒物0.5mg/m</w:t>
                  </w:r>
                  <w:r>
                    <w:rPr>
                      <w:rFonts w:hint="eastAsia" w:eastAsia="新宋体" w:cs="Times New Roman"/>
                      <w:color w:val="000000" w:themeColor="text1"/>
                      <w:sz w:val="21"/>
                      <w:szCs w:val="21"/>
                      <w:vertAlign w:val="superscript"/>
                      <w:lang w:val="en-US" w:eastAsia="zh-CN"/>
                      <w14:textFill>
                        <w14:solidFill>
                          <w14:schemeClr w14:val="tx1"/>
                        </w14:solidFill>
                      </w14:textFill>
                    </w:rPr>
                    <w:t>3</w:t>
                  </w:r>
                  <w:r>
                    <w:rPr>
                      <w:rFonts w:hint="eastAsia" w:eastAsia="新宋体" w:cs="Times New Roman"/>
                      <w:color w:val="000000" w:themeColor="text1"/>
                      <w:sz w:val="21"/>
                      <w:szCs w:val="21"/>
                      <w:lang w:val="en-US" w:eastAsia="zh-CN"/>
                      <w14:textFill>
                        <w14:solidFill>
                          <w14:schemeClr w14:val="tx1"/>
                        </w14:solidFill>
                      </w14:textFill>
                    </w:rPr>
                    <w:t>无组织排放限值</w:t>
                  </w:r>
                </w:p>
              </w:tc>
            </w:tr>
            <w:tr w14:paraId="1B9F4D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9" w:type="pct"/>
                  <w:vMerge w:val="continue"/>
                  <w:tcBorders>
                    <w:tl2br w:val="nil"/>
                    <w:tr2bl w:val="nil"/>
                  </w:tcBorders>
                  <w:vAlign w:val="center"/>
                </w:tcPr>
                <w:p w14:paraId="1CE27665">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p>
              </w:tc>
              <w:tc>
                <w:tcPr>
                  <w:tcW w:w="544" w:type="pct"/>
                  <w:tcBorders>
                    <w:tl2br w:val="nil"/>
                    <w:tr2bl w:val="nil"/>
                  </w:tcBorders>
                  <w:vAlign w:val="center"/>
                </w:tcPr>
                <w:p w14:paraId="2DA40396">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汽车装卸</w:t>
                  </w:r>
                </w:p>
              </w:tc>
              <w:tc>
                <w:tcPr>
                  <w:tcW w:w="611" w:type="pct"/>
                  <w:tcBorders>
                    <w:tl2br w:val="nil"/>
                    <w:tr2bl w:val="nil"/>
                  </w:tcBorders>
                  <w:vAlign w:val="center"/>
                </w:tcPr>
                <w:p w14:paraId="5C7277E2">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粉尘</w:t>
                  </w:r>
                </w:p>
              </w:tc>
              <w:tc>
                <w:tcPr>
                  <w:tcW w:w="591" w:type="pct"/>
                  <w:vMerge w:val="continue"/>
                  <w:tcBorders>
                    <w:tl2br w:val="nil"/>
                    <w:tr2bl w:val="nil"/>
                  </w:tcBorders>
                  <w:vAlign w:val="center"/>
                </w:tcPr>
                <w:p w14:paraId="308C6E0F">
                  <w:pPr>
                    <w:spacing w:line="240" w:lineRule="auto"/>
                    <w:ind w:left="0" w:leftChars="0" w:firstLine="0" w:firstLineChars="0"/>
                    <w:jc w:val="center"/>
                    <w:rPr>
                      <w:rFonts w:hint="eastAsia" w:eastAsia="新宋体" w:cs="Times New Roman"/>
                      <w:color w:val="000000" w:themeColor="text1"/>
                      <w:sz w:val="21"/>
                      <w:szCs w:val="21"/>
                      <w:lang w:val="en-US" w:eastAsia="zh-CN"/>
                      <w14:textFill>
                        <w14:solidFill>
                          <w14:schemeClr w14:val="tx1"/>
                        </w14:solidFill>
                      </w14:textFill>
                    </w:rPr>
                  </w:pPr>
                </w:p>
              </w:tc>
              <w:tc>
                <w:tcPr>
                  <w:tcW w:w="1166" w:type="pct"/>
                  <w:tcBorders>
                    <w:tl2br w:val="nil"/>
                    <w:tr2bl w:val="nil"/>
                  </w:tcBorders>
                  <w:vAlign w:val="center"/>
                </w:tcPr>
                <w:p w14:paraId="643155B6">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装卸点进行洒水抑尘</w:t>
                  </w:r>
                </w:p>
              </w:tc>
              <w:tc>
                <w:tcPr>
                  <w:tcW w:w="1567" w:type="pct"/>
                  <w:vMerge w:val="continue"/>
                  <w:tcBorders>
                    <w:tl2br w:val="nil"/>
                    <w:tr2bl w:val="nil"/>
                  </w:tcBorders>
                  <w:vAlign w:val="center"/>
                </w:tcPr>
                <w:p w14:paraId="6AF70CAB">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p>
              </w:tc>
            </w:tr>
            <w:tr w14:paraId="492BC6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9" w:type="pct"/>
                  <w:vMerge w:val="continue"/>
                  <w:tcBorders>
                    <w:tl2br w:val="nil"/>
                    <w:tr2bl w:val="nil"/>
                  </w:tcBorders>
                  <w:vAlign w:val="center"/>
                </w:tcPr>
                <w:p w14:paraId="7340CEFA">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p>
              </w:tc>
              <w:tc>
                <w:tcPr>
                  <w:tcW w:w="544" w:type="pct"/>
                  <w:tcBorders>
                    <w:tl2br w:val="nil"/>
                    <w:tr2bl w:val="nil"/>
                  </w:tcBorders>
                  <w:vAlign w:val="center"/>
                </w:tcPr>
                <w:p w14:paraId="12CC074A">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堆场</w:t>
                  </w:r>
                </w:p>
              </w:tc>
              <w:tc>
                <w:tcPr>
                  <w:tcW w:w="611" w:type="pct"/>
                  <w:tcBorders>
                    <w:tl2br w:val="nil"/>
                    <w:tr2bl w:val="nil"/>
                  </w:tcBorders>
                  <w:vAlign w:val="center"/>
                </w:tcPr>
                <w:p w14:paraId="40F1BA08">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粉尘</w:t>
                  </w:r>
                </w:p>
              </w:tc>
              <w:tc>
                <w:tcPr>
                  <w:tcW w:w="591" w:type="pct"/>
                  <w:vMerge w:val="continue"/>
                  <w:tcBorders>
                    <w:tl2br w:val="nil"/>
                    <w:tr2bl w:val="nil"/>
                  </w:tcBorders>
                  <w:vAlign w:val="center"/>
                </w:tcPr>
                <w:p w14:paraId="7F876DF7">
                  <w:pPr>
                    <w:spacing w:line="240" w:lineRule="auto"/>
                    <w:ind w:left="0" w:leftChars="0" w:firstLine="0" w:firstLineChars="0"/>
                    <w:jc w:val="center"/>
                    <w:rPr>
                      <w:rFonts w:hint="eastAsia" w:eastAsia="新宋体" w:cs="Times New Roman"/>
                      <w:color w:val="000000" w:themeColor="text1"/>
                      <w:sz w:val="21"/>
                      <w:szCs w:val="21"/>
                      <w:lang w:val="en-US" w:eastAsia="zh-CN"/>
                      <w14:textFill>
                        <w14:solidFill>
                          <w14:schemeClr w14:val="tx1"/>
                        </w14:solidFill>
                      </w14:textFill>
                    </w:rPr>
                  </w:pPr>
                </w:p>
              </w:tc>
              <w:tc>
                <w:tcPr>
                  <w:tcW w:w="1166" w:type="pct"/>
                  <w:tcBorders>
                    <w:tl2br w:val="nil"/>
                    <w:tr2bl w:val="nil"/>
                  </w:tcBorders>
                  <w:vAlign w:val="center"/>
                </w:tcPr>
                <w:p w14:paraId="49457902">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全封闭型料仓+喷洒水</w:t>
                  </w:r>
                </w:p>
              </w:tc>
              <w:tc>
                <w:tcPr>
                  <w:tcW w:w="1567" w:type="pct"/>
                  <w:vMerge w:val="continue"/>
                  <w:tcBorders>
                    <w:tl2br w:val="nil"/>
                    <w:tr2bl w:val="nil"/>
                  </w:tcBorders>
                  <w:vAlign w:val="center"/>
                </w:tcPr>
                <w:p w14:paraId="1FAA13EB">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p>
              </w:tc>
            </w:tr>
            <w:tr w14:paraId="57EFFC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519" w:type="pct"/>
                  <w:vMerge w:val="continue"/>
                  <w:tcBorders>
                    <w:tl2br w:val="nil"/>
                    <w:tr2bl w:val="nil"/>
                  </w:tcBorders>
                  <w:vAlign w:val="center"/>
                </w:tcPr>
                <w:p w14:paraId="0E10C449">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p>
              </w:tc>
              <w:tc>
                <w:tcPr>
                  <w:tcW w:w="544" w:type="pct"/>
                  <w:tcBorders>
                    <w:tl2br w:val="nil"/>
                    <w:tr2bl w:val="nil"/>
                  </w:tcBorders>
                  <w:vAlign w:val="center"/>
                </w:tcPr>
                <w:p w14:paraId="6C2AD008">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投料</w:t>
                  </w:r>
                </w:p>
              </w:tc>
              <w:tc>
                <w:tcPr>
                  <w:tcW w:w="611" w:type="pct"/>
                  <w:tcBorders>
                    <w:tl2br w:val="nil"/>
                    <w:tr2bl w:val="nil"/>
                  </w:tcBorders>
                  <w:vAlign w:val="center"/>
                </w:tcPr>
                <w:p w14:paraId="67BE15EF">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颗粒物</w:t>
                  </w:r>
                </w:p>
              </w:tc>
              <w:tc>
                <w:tcPr>
                  <w:tcW w:w="591" w:type="pct"/>
                  <w:vMerge w:val="restart"/>
                  <w:tcBorders>
                    <w:tl2br w:val="nil"/>
                    <w:tr2bl w:val="nil"/>
                  </w:tcBorders>
                  <w:vAlign w:val="center"/>
                </w:tcPr>
                <w:p w14:paraId="76841ED4">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DA001、DA002</w:t>
                  </w:r>
                </w:p>
              </w:tc>
              <w:tc>
                <w:tcPr>
                  <w:tcW w:w="1166" w:type="pct"/>
                  <w:vMerge w:val="restart"/>
                  <w:tcBorders>
                    <w:tl2br w:val="nil"/>
                    <w:tr2bl w:val="nil"/>
                  </w:tcBorders>
                  <w:vAlign w:val="center"/>
                </w:tcPr>
                <w:p w14:paraId="07EFB849">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顶吸式集气罩+布袋除尘器由15m高排放</w:t>
                  </w:r>
                </w:p>
              </w:tc>
              <w:tc>
                <w:tcPr>
                  <w:tcW w:w="1567" w:type="pct"/>
                  <w:vMerge w:val="restart"/>
                  <w:tcBorders>
                    <w:tl2br w:val="nil"/>
                    <w:tr2bl w:val="nil"/>
                  </w:tcBorders>
                  <w:vAlign w:val="center"/>
                </w:tcPr>
                <w:p w14:paraId="6E8EA278">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《水泥工业大气污染物排放标准》（GB4915-2013）表1中散装水泥中转站及水泥制品生产，水泥仓及其他通风生产设备，颗粒物20mg/m</w:t>
                  </w:r>
                  <w:r>
                    <w:rPr>
                      <w:rFonts w:hint="eastAsia" w:eastAsia="新宋体" w:cs="Times New Roman"/>
                      <w:color w:val="000000" w:themeColor="text1"/>
                      <w:sz w:val="21"/>
                      <w:szCs w:val="21"/>
                      <w:vertAlign w:val="superscript"/>
                      <w:lang w:val="en-US" w:eastAsia="zh-CN"/>
                      <w14:textFill>
                        <w14:solidFill>
                          <w14:schemeClr w14:val="tx1"/>
                        </w14:solidFill>
                      </w14:textFill>
                    </w:rPr>
                    <w:t>3</w:t>
                  </w:r>
                </w:p>
              </w:tc>
            </w:tr>
            <w:tr w14:paraId="7CA2ED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9" w:type="pct"/>
                  <w:vMerge w:val="continue"/>
                  <w:tcBorders>
                    <w:tl2br w:val="nil"/>
                    <w:tr2bl w:val="nil"/>
                  </w:tcBorders>
                  <w:vAlign w:val="center"/>
                </w:tcPr>
                <w:p w14:paraId="2414FCB1">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p>
              </w:tc>
              <w:tc>
                <w:tcPr>
                  <w:tcW w:w="544" w:type="pct"/>
                  <w:tcBorders>
                    <w:tl2br w:val="nil"/>
                    <w:tr2bl w:val="nil"/>
                  </w:tcBorders>
                  <w:vAlign w:val="center"/>
                </w:tcPr>
                <w:p w14:paraId="7B2F2F82">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搅拌</w:t>
                  </w:r>
                </w:p>
              </w:tc>
              <w:tc>
                <w:tcPr>
                  <w:tcW w:w="611" w:type="pct"/>
                  <w:tcBorders>
                    <w:tl2br w:val="nil"/>
                    <w:tr2bl w:val="nil"/>
                  </w:tcBorders>
                  <w:vAlign w:val="center"/>
                </w:tcPr>
                <w:p w14:paraId="4FC0FAAC">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颗粒物</w:t>
                  </w:r>
                </w:p>
              </w:tc>
              <w:tc>
                <w:tcPr>
                  <w:tcW w:w="591" w:type="pct"/>
                  <w:vMerge w:val="continue"/>
                  <w:tcBorders>
                    <w:tl2br w:val="nil"/>
                    <w:tr2bl w:val="nil"/>
                  </w:tcBorders>
                  <w:vAlign w:val="center"/>
                </w:tcPr>
                <w:p w14:paraId="1802D951">
                  <w:pPr>
                    <w:spacing w:line="240" w:lineRule="auto"/>
                    <w:ind w:left="0" w:leftChars="0" w:firstLine="0" w:firstLineChars="0"/>
                    <w:jc w:val="center"/>
                    <w:rPr>
                      <w:rFonts w:hint="eastAsia" w:eastAsia="新宋体" w:cs="Times New Roman"/>
                      <w:color w:val="000000" w:themeColor="text1"/>
                      <w:sz w:val="21"/>
                      <w:szCs w:val="21"/>
                      <w:lang w:val="en-US" w:eastAsia="zh-CN"/>
                      <w14:textFill>
                        <w14:solidFill>
                          <w14:schemeClr w14:val="tx1"/>
                        </w14:solidFill>
                      </w14:textFill>
                    </w:rPr>
                  </w:pPr>
                </w:p>
              </w:tc>
              <w:tc>
                <w:tcPr>
                  <w:tcW w:w="1166" w:type="pct"/>
                  <w:vMerge w:val="continue"/>
                  <w:tcBorders>
                    <w:tl2br w:val="nil"/>
                    <w:tr2bl w:val="nil"/>
                  </w:tcBorders>
                  <w:vAlign w:val="center"/>
                </w:tcPr>
                <w:p w14:paraId="6EF089DD">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p>
              </w:tc>
              <w:tc>
                <w:tcPr>
                  <w:tcW w:w="1567" w:type="pct"/>
                  <w:vMerge w:val="continue"/>
                  <w:tcBorders>
                    <w:tl2br w:val="nil"/>
                    <w:tr2bl w:val="nil"/>
                  </w:tcBorders>
                  <w:vAlign w:val="center"/>
                </w:tcPr>
                <w:p w14:paraId="0B279B6D">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p>
              </w:tc>
            </w:tr>
            <w:tr w14:paraId="34FDD0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9" w:type="pct"/>
                  <w:vMerge w:val="restart"/>
                  <w:tcBorders>
                    <w:tl2br w:val="nil"/>
                    <w:tr2bl w:val="nil"/>
                  </w:tcBorders>
                  <w:vAlign w:val="center"/>
                </w:tcPr>
                <w:p w14:paraId="42FD0A90">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废水治理</w:t>
                  </w:r>
                </w:p>
              </w:tc>
              <w:tc>
                <w:tcPr>
                  <w:tcW w:w="544" w:type="pct"/>
                  <w:tcBorders>
                    <w:tl2br w:val="nil"/>
                    <w:tr2bl w:val="nil"/>
                  </w:tcBorders>
                  <w:vAlign w:val="center"/>
                </w:tcPr>
                <w:p w14:paraId="5C40FF4A">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生活废水</w:t>
                  </w:r>
                </w:p>
              </w:tc>
              <w:tc>
                <w:tcPr>
                  <w:tcW w:w="611" w:type="pct"/>
                  <w:tcBorders>
                    <w:tl2br w:val="nil"/>
                    <w:tr2bl w:val="nil"/>
                  </w:tcBorders>
                  <w:vAlign w:val="center"/>
                </w:tcPr>
                <w:p w14:paraId="07F3F688">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default" w:eastAsia="新宋体" w:cs="Times New Roman"/>
                      <w:color w:val="000000" w:themeColor="text1"/>
                      <w:sz w:val="21"/>
                      <w:szCs w:val="21"/>
                      <w:lang w:val="en-US" w:eastAsia="zh-CN"/>
                      <w14:textFill>
                        <w14:solidFill>
                          <w14:schemeClr w14:val="tx1"/>
                        </w14:solidFill>
                      </w14:textFill>
                    </w:rPr>
                    <w:t>COD、BOD</w:t>
                  </w:r>
                  <w:r>
                    <w:rPr>
                      <w:rFonts w:hint="default" w:eastAsia="新宋体" w:cs="Times New Roman"/>
                      <w:color w:val="000000" w:themeColor="text1"/>
                      <w:sz w:val="21"/>
                      <w:szCs w:val="21"/>
                      <w:vertAlign w:val="subscript"/>
                      <w:lang w:val="en-US" w:eastAsia="zh-CN"/>
                      <w14:textFill>
                        <w14:solidFill>
                          <w14:schemeClr w14:val="tx1"/>
                        </w14:solidFill>
                      </w14:textFill>
                    </w:rPr>
                    <w:t>5</w:t>
                  </w:r>
                  <w:r>
                    <w:rPr>
                      <w:rFonts w:hint="default" w:eastAsia="新宋体" w:cs="Times New Roman"/>
                      <w:color w:val="000000" w:themeColor="text1"/>
                      <w:sz w:val="21"/>
                      <w:szCs w:val="21"/>
                      <w:lang w:val="en-US" w:eastAsia="zh-CN"/>
                      <w14:textFill>
                        <w14:solidFill>
                          <w14:schemeClr w14:val="tx1"/>
                        </w14:solidFill>
                      </w14:textFill>
                    </w:rPr>
                    <w:t>、SS、NH</w:t>
                  </w:r>
                  <w:r>
                    <w:rPr>
                      <w:rFonts w:hint="default" w:eastAsia="新宋体" w:cs="Times New Roman"/>
                      <w:color w:val="000000" w:themeColor="text1"/>
                      <w:sz w:val="21"/>
                      <w:szCs w:val="21"/>
                      <w:vertAlign w:val="subscript"/>
                      <w:lang w:val="en-US" w:eastAsia="zh-CN"/>
                      <w14:textFill>
                        <w14:solidFill>
                          <w14:schemeClr w14:val="tx1"/>
                        </w14:solidFill>
                      </w14:textFill>
                    </w:rPr>
                    <w:t>3</w:t>
                  </w:r>
                  <w:r>
                    <w:rPr>
                      <w:rFonts w:hint="default" w:eastAsia="新宋体" w:cs="Times New Roman"/>
                      <w:color w:val="000000" w:themeColor="text1"/>
                      <w:sz w:val="21"/>
                      <w:szCs w:val="21"/>
                      <w:lang w:val="en-US" w:eastAsia="zh-CN"/>
                      <w14:textFill>
                        <w14:solidFill>
                          <w14:schemeClr w14:val="tx1"/>
                        </w14:solidFill>
                      </w14:textFill>
                    </w:rPr>
                    <w:t>-N</w:t>
                  </w:r>
                </w:p>
              </w:tc>
              <w:tc>
                <w:tcPr>
                  <w:tcW w:w="591" w:type="pct"/>
                  <w:tcBorders>
                    <w:tl2br w:val="nil"/>
                    <w:tr2bl w:val="nil"/>
                  </w:tcBorders>
                  <w:vAlign w:val="center"/>
                </w:tcPr>
                <w:p w14:paraId="69B849CC">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DW001</w:t>
                  </w:r>
                </w:p>
              </w:tc>
              <w:tc>
                <w:tcPr>
                  <w:tcW w:w="1166" w:type="pct"/>
                  <w:tcBorders>
                    <w:tl2br w:val="nil"/>
                    <w:tr2bl w:val="nil"/>
                  </w:tcBorders>
                  <w:vAlign w:val="center"/>
                </w:tcPr>
                <w:p w14:paraId="6B0B12C4">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防渗收集池</w:t>
                  </w:r>
                </w:p>
              </w:tc>
              <w:tc>
                <w:tcPr>
                  <w:tcW w:w="1567" w:type="pct"/>
                  <w:tcBorders>
                    <w:tl2br w:val="nil"/>
                    <w:tr2bl w:val="nil"/>
                  </w:tcBorders>
                  <w:vAlign w:val="center"/>
                </w:tcPr>
                <w:p w14:paraId="2B32FE02">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委托处置</w:t>
                  </w:r>
                </w:p>
              </w:tc>
            </w:tr>
            <w:tr w14:paraId="555889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9" w:type="pct"/>
                  <w:vMerge w:val="continue"/>
                  <w:tcBorders>
                    <w:tl2br w:val="nil"/>
                    <w:tr2bl w:val="nil"/>
                  </w:tcBorders>
                  <w:vAlign w:val="center"/>
                </w:tcPr>
                <w:p w14:paraId="142AE829">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p>
              </w:tc>
              <w:tc>
                <w:tcPr>
                  <w:tcW w:w="544" w:type="pct"/>
                  <w:tcBorders>
                    <w:tl2br w:val="nil"/>
                    <w:tr2bl w:val="nil"/>
                  </w:tcBorders>
                  <w:vAlign w:val="center"/>
                </w:tcPr>
                <w:p w14:paraId="0D6B1221">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生产废水</w:t>
                  </w:r>
                </w:p>
              </w:tc>
              <w:tc>
                <w:tcPr>
                  <w:tcW w:w="611" w:type="pct"/>
                  <w:tcBorders>
                    <w:tl2br w:val="nil"/>
                    <w:tr2bl w:val="nil"/>
                  </w:tcBorders>
                  <w:vAlign w:val="center"/>
                </w:tcPr>
                <w:p w14:paraId="5F707B33">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SS</w:t>
                  </w:r>
                </w:p>
              </w:tc>
              <w:tc>
                <w:tcPr>
                  <w:tcW w:w="591" w:type="pct"/>
                  <w:tcBorders>
                    <w:tl2br w:val="nil"/>
                    <w:tr2bl w:val="nil"/>
                  </w:tcBorders>
                  <w:vAlign w:val="center"/>
                </w:tcPr>
                <w:p w14:paraId="125E01E8">
                  <w:pPr>
                    <w:spacing w:line="240" w:lineRule="auto"/>
                    <w:ind w:left="0" w:leftChars="0" w:firstLine="0" w:firstLineChars="0"/>
                    <w:jc w:val="center"/>
                    <w:rPr>
                      <w:rFonts w:hint="eastAsia" w:eastAsia="新宋体" w:cs="Times New Roman"/>
                      <w:color w:val="000000" w:themeColor="text1"/>
                      <w:sz w:val="21"/>
                      <w:szCs w:val="21"/>
                      <w:lang w:val="en-US" w:eastAsia="zh-CN"/>
                      <w14:textFill>
                        <w14:solidFill>
                          <w14:schemeClr w14:val="tx1"/>
                        </w14:solidFill>
                      </w14:textFill>
                    </w:rPr>
                  </w:pPr>
                </w:p>
              </w:tc>
              <w:tc>
                <w:tcPr>
                  <w:tcW w:w="1166" w:type="pct"/>
                  <w:tcBorders>
                    <w:tl2br w:val="nil"/>
                    <w:tr2bl w:val="nil"/>
                  </w:tcBorders>
                  <w:vAlign w:val="center"/>
                </w:tcPr>
                <w:p w14:paraId="76F2FAC3">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防渗沉淀池</w:t>
                  </w:r>
                </w:p>
              </w:tc>
              <w:tc>
                <w:tcPr>
                  <w:tcW w:w="1567" w:type="pct"/>
                  <w:tcBorders>
                    <w:tl2br w:val="nil"/>
                    <w:tr2bl w:val="nil"/>
                  </w:tcBorders>
                  <w:vAlign w:val="center"/>
                </w:tcPr>
                <w:p w14:paraId="10C6A85F">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沉淀后回用</w:t>
                  </w:r>
                </w:p>
              </w:tc>
            </w:tr>
            <w:tr w14:paraId="46576C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9" w:type="pct"/>
                  <w:tcBorders>
                    <w:tl2br w:val="nil"/>
                    <w:tr2bl w:val="nil"/>
                  </w:tcBorders>
                  <w:vAlign w:val="center"/>
                </w:tcPr>
                <w:p w14:paraId="17B2120E">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噪声治理</w:t>
                  </w:r>
                </w:p>
              </w:tc>
              <w:tc>
                <w:tcPr>
                  <w:tcW w:w="544" w:type="pct"/>
                  <w:tcBorders>
                    <w:tl2br w:val="nil"/>
                    <w:tr2bl w:val="nil"/>
                  </w:tcBorders>
                  <w:vAlign w:val="center"/>
                </w:tcPr>
                <w:p w14:paraId="0E4E9FA6">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生产设备</w:t>
                  </w:r>
                </w:p>
              </w:tc>
              <w:tc>
                <w:tcPr>
                  <w:tcW w:w="611" w:type="pct"/>
                  <w:tcBorders>
                    <w:tl2br w:val="nil"/>
                    <w:tr2bl w:val="nil"/>
                  </w:tcBorders>
                  <w:vAlign w:val="center"/>
                </w:tcPr>
                <w:p w14:paraId="000E8ED6">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噪声</w:t>
                  </w:r>
                </w:p>
              </w:tc>
              <w:tc>
                <w:tcPr>
                  <w:tcW w:w="591" w:type="pct"/>
                  <w:tcBorders>
                    <w:tl2br w:val="nil"/>
                    <w:tr2bl w:val="nil"/>
                  </w:tcBorders>
                  <w:vAlign w:val="center"/>
                </w:tcPr>
                <w:p w14:paraId="2909A034">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厂界</w:t>
                  </w:r>
                </w:p>
              </w:tc>
              <w:tc>
                <w:tcPr>
                  <w:tcW w:w="1166" w:type="pct"/>
                  <w:tcBorders>
                    <w:tl2br w:val="nil"/>
                    <w:tr2bl w:val="nil"/>
                  </w:tcBorders>
                  <w:vAlign w:val="center"/>
                </w:tcPr>
                <w:p w14:paraId="68455651">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default" w:eastAsia="新宋体" w:cs="Times New Roman"/>
                      <w:color w:val="000000" w:themeColor="text1"/>
                      <w:sz w:val="21"/>
                      <w:szCs w:val="21"/>
                      <w:lang w:val="en-US" w:eastAsia="zh-CN"/>
                      <w14:textFill>
                        <w14:solidFill>
                          <w14:schemeClr w14:val="tx1"/>
                        </w14:solidFill>
                      </w14:textFill>
                    </w:rPr>
                    <w:t>隔音、消声、吸声及减震等设施</w:t>
                  </w:r>
                </w:p>
              </w:tc>
              <w:tc>
                <w:tcPr>
                  <w:tcW w:w="1567" w:type="pct"/>
                  <w:tcBorders>
                    <w:tl2br w:val="nil"/>
                    <w:tr2bl w:val="nil"/>
                  </w:tcBorders>
                  <w:vAlign w:val="center"/>
                </w:tcPr>
                <w:p w14:paraId="58EC0A8C">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default" w:eastAsia="新宋体" w:cs="Times New Roman"/>
                      <w:color w:val="000000" w:themeColor="text1"/>
                      <w:sz w:val="21"/>
                      <w:szCs w:val="21"/>
                      <w:lang w:val="en-US" w:eastAsia="zh-CN"/>
                      <w14:textFill>
                        <w14:solidFill>
                          <w14:schemeClr w14:val="tx1"/>
                        </w14:solidFill>
                      </w14:textFill>
                    </w:rPr>
                    <w:t>满足《工业企业厂界环境噪声排放标准》（GB12348-2008）2类排放限值</w:t>
                  </w:r>
                </w:p>
              </w:tc>
            </w:tr>
            <w:tr w14:paraId="370856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9" w:type="pct"/>
                  <w:vMerge w:val="restart"/>
                  <w:tcBorders>
                    <w:tl2br w:val="nil"/>
                    <w:tr2bl w:val="nil"/>
                  </w:tcBorders>
                  <w:vAlign w:val="center"/>
                </w:tcPr>
                <w:p w14:paraId="4B5EE3BF">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固体废物治理</w:t>
                  </w:r>
                </w:p>
              </w:tc>
              <w:tc>
                <w:tcPr>
                  <w:tcW w:w="544" w:type="pct"/>
                  <w:vMerge w:val="restart"/>
                  <w:tcBorders>
                    <w:tl2br w:val="nil"/>
                    <w:tr2bl w:val="nil"/>
                  </w:tcBorders>
                  <w:vAlign w:val="center"/>
                </w:tcPr>
                <w:p w14:paraId="2EEC1297">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生产固废</w:t>
                  </w:r>
                </w:p>
              </w:tc>
              <w:tc>
                <w:tcPr>
                  <w:tcW w:w="611" w:type="pct"/>
                  <w:tcBorders>
                    <w:tl2br w:val="nil"/>
                    <w:tr2bl w:val="nil"/>
                  </w:tcBorders>
                  <w:vAlign w:val="center"/>
                </w:tcPr>
                <w:p w14:paraId="7253EE59">
                  <w:pPr>
                    <w:spacing w:line="240" w:lineRule="auto"/>
                    <w:ind w:left="0" w:leftChars="0" w:firstLine="0" w:firstLineChars="0"/>
                    <w:jc w:val="center"/>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布袋除尘器收集的粉尘</w:t>
                  </w:r>
                </w:p>
              </w:tc>
              <w:tc>
                <w:tcPr>
                  <w:tcW w:w="591" w:type="pct"/>
                  <w:vMerge w:val="restart"/>
                  <w:tcBorders>
                    <w:tl2br w:val="nil"/>
                    <w:tr2bl w:val="nil"/>
                  </w:tcBorders>
                  <w:vAlign w:val="center"/>
                </w:tcPr>
                <w:p w14:paraId="4E870A9F">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w:t>
                  </w:r>
                </w:p>
              </w:tc>
              <w:tc>
                <w:tcPr>
                  <w:tcW w:w="1166" w:type="pct"/>
                  <w:vMerge w:val="restart"/>
                  <w:tcBorders>
                    <w:tl2br w:val="nil"/>
                    <w:tr2bl w:val="nil"/>
                  </w:tcBorders>
                  <w:vAlign w:val="center"/>
                </w:tcPr>
                <w:p w14:paraId="6B4DBCF8">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一般工业固废堆场，暂存后去向处置合理</w:t>
                  </w:r>
                </w:p>
              </w:tc>
              <w:tc>
                <w:tcPr>
                  <w:tcW w:w="1567" w:type="pct"/>
                  <w:vMerge w:val="restart"/>
                  <w:tcBorders>
                    <w:tl2br w:val="nil"/>
                    <w:tr2bl w:val="nil"/>
                  </w:tcBorders>
                  <w:vAlign w:val="center"/>
                </w:tcPr>
                <w:p w14:paraId="13A821E8">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default" w:eastAsia="新宋体" w:cs="Times New Roman"/>
                      <w:color w:val="000000" w:themeColor="text1"/>
                      <w:sz w:val="21"/>
                      <w:szCs w:val="21"/>
                      <w:lang w:val="en-US" w:eastAsia="zh-CN"/>
                      <w14:textFill>
                        <w14:solidFill>
                          <w14:schemeClr w14:val="tx1"/>
                        </w14:solidFill>
                      </w14:textFill>
                    </w:rPr>
                    <w:t>《一般工业固体废物贮存和填埋污染控制标准》（GB18599-2020）</w:t>
                  </w:r>
                </w:p>
              </w:tc>
            </w:tr>
            <w:tr w14:paraId="0DBB83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9" w:type="pct"/>
                  <w:vMerge w:val="continue"/>
                  <w:tcBorders>
                    <w:tl2br w:val="nil"/>
                    <w:tr2bl w:val="nil"/>
                  </w:tcBorders>
                  <w:vAlign w:val="center"/>
                </w:tcPr>
                <w:p w14:paraId="0E3827DA">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p>
              </w:tc>
              <w:tc>
                <w:tcPr>
                  <w:tcW w:w="544" w:type="pct"/>
                  <w:vMerge w:val="continue"/>
                  <w:tcBorders>
                    <w:tl2br w:val="nil"/>
                    <w:tr2bl w:val="nil"/>
                  </w:tcBorders>
                  <w:vAlign w:val="center"/>
                </w:tcPr>
                <w:p w14:paraId="5B4F9793">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p>
              </w:tc>
              <w:tc>
                <w:tcPr>
                  <w:tcW w:w="611" w:type="pct"/>
                  <w:tcBorders>
                    <w:tl2br w:val="nil"/>
                    <w:tr2bl w:val="nil"/>
                  </w:tcBorders>
                  <w:vAlign w:val="center"/>
                </w:tcPr>
                <w:p w14:paraId="26CCAD9B">
                  <w:pPr>
                    <w:spacing w:line="240" w:lineRule="auto"/>
                    <w:ind w:left="0" w:leftChars="0" w:firstLine="0" w:firstLineChars="0"/>
                    <w:jc w:val="center"/>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不合格产品</w:t>
                  </w:r>
                </w:p>
              </w:tc>
              <w:tc>
                <w:tcPr>
                  <w:tcW w:w="591" w:type="pct"/>
                  <w:vMerge w:val="continue"/>
                  <w:tcBorders>
                    <w:tl2br w:val="nil"/>
                    <w:tr2bl w:val="nil"/>
                  </w:tcBorders>
                  <w:vAlign w:val="center"/>
                </w:tcPr>
                <w:p w14:paraId="5B8EA2DB">
                  <w:pPr>
                    <w:spacing w:line="240" w:lineRule="auto"/>
                    <w:ind w:left="0" w:leftChars="0" w:firstLine="0" w:firstLineChars="0"/>
                    <w:jc w:val="center"/>
                    <w:rPr>
                      <w:rFonts w:hint="eastAsia" w:eastAsia="新宋体" w:cs="Times New Roman"/>
                      <w:color w:val="000000" w:themeColor="text1"/>
                      <w:sz w:val="21"/>
                      <w:szCs w:val="21"/>
                      <w:lang w:val="en-US" w:eastAsia="zh-CN"/>
                      <w14:textFill>
                        <w14:solidFill>
                          <w14:schemeClr w14:val="tx1"/>
                        </w14:solidFill>
                      </w14:textFill>
                    </w:rPr>
                  </w:pPr>
                </w:p>
              </w:tc>
              <w:tc>
                <w:tcPr>
                  <w:tcW w:w="1166" w:type="pct"/>
                  <w:vMerge w:val="continue"/>
                  <w:tcBorders>
                    <w:tl2br w:val="nil"/>
                    <w:tr2bl w:val="nil"/>
                  </w:tcBorders>
                  <w:vAlign w:val="center"/>
                </w:tcPr>
                <w:p w14:paraId="609F0B71">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p>
              </w:tc>
              <w:tc>
                <w:tcPr>
                  <w:tcW w:w="1567" w:type="pct"/>
                  <w:vMerge w:val="continue"/>
                  <w:tcBorders>
                    <w:tl2br w:val="nil"/>
                    <w:tr2bl w:val="nil"/>
                  </w:tcBorders>
                  <w:vAlign w:val="center"/>
                </w:tcPr>
                <w:p w14:paraId="17B94ECD">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p>
              </w:tc>
            </w:tr>
            <w:tr w14:paraId="5F1DC8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9" w:type="pct"/>
                  <w:vMerge w:val="continue"/>
                  <w:tcBorders>
                    <w:tl2br w:val="nil"/>
                    <w:tr2bl w:val="nil"/>
                  </w:tcBorders>
                  <w:vAlign w:val="center"/>
                </w:tcPr>
                <w:p w14:paraId="68B65303">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p>
              </w:tc>
              <w:tc>
                <w:tcPr>
                  <w:tcW w:w="544" w:type="pct"/>
                  <w:vMerge w:val="continue"/>
                  <w:tcBorders>
                    <w:tl2br w:val="nil"/>
                    <w:tr2bl w:val="nil"/>
                  </w:tcBorders>
                  <w:vAlign w:val="center"/>
                </w:tcPr>
                <w:p w14:paraId="145544A5">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p>
              </w:tc>
              <w:tc>
                <w:tcPr>
                  <w:tcW w:w="611" w:type="pct"/>
                  <w:tcBorders>
                    <w:tl2br w:val="nil"/>
                    <w:tr2bl w:val="nil"/>
                  </w:tcBorders>
                  <w:vAlign w:val="center"/>
                </w:tcPr>
                <w:p w14:paraId="56072A69">
                  <w:pPr>
                    <w:spacing w:line="240" w:lineRule="auto"/>
                    <w:ind w:left="0" w:leftChars="0" w:firstLine="0" w:firstLineChars="0"/>
                    <w:jc w:val="center"/>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废包装袋</w:t>
                  </w:r>
                </w:p>
              </w:tc>
              <w:tc>
                <w:tcPr>
                  <w:tcW w:w="591" w:type="pct"/>
                  <w:vMerge w:val="continue"/>
                  <w:tcBorders>
                    <w:tl2br w:val="nil"/>
                    <w:tr2bl w:val="nil"/>
                  </w:tcBorders>
                  <w:vAlign w:val="center"/>
                </w:tcPr>
                <w:p w14:paraId="2A2E2251">
                  <w:pPr>
                    <w:spacing w:line="240" w:lineRule="auto"/>
                    <w:ind w:left="0" w:leftChars="0" w:firstLine="0" w:firstLineChars="0"/>
                    <w:jc w:val="center"/>
                    <w:rPr>
                      <w:rFonts w:hint="eastAsia" w:eastAsia="新宋体" w:cs="Times New Roman"/>
                      <w:color w:val="000000" w:themeColor="text1"/>
                      <w:sz w:val="21"/>
                      <w:szCs w:val="21"/>
                      <w:lang w:val="en-US" w:eastAsia="zh-CN"/>
                      <w14:textFill>
                        <w14:solidFill>
                          <w14:schemeClr w14:val="tx1"/>
                        </w14:solidFill>
                      </w14:textFill>
                    </w:rPr>
                  </w:pPr>
                </w:p>
              </w:tc>
              <w:tc>
                <w:tcPr>
                  <w:tcW w:w="1166" w:type="pct"/>
                  <w:vMerge w:val="continue"/>
                  <w:tcBorders>
                    <w:tl2br w:val="nil"/>
                    <w:tr2bl w:val="nil"/>
                  </w:tcBorders>
                  <w:vAlign w:val="center"/>
                </w:tcPr>
                <w:p w14:paraId="30A50DBE">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p>
              </w:tc>
              <w:tc>
                <w:tcPr>
                  <w:tcW w:w="1567" w:type="pct"/>
                  <w:vMerge w:val="continue"/>
                  <w:tcBorders>
                    <w:tl2br w:val="nil"/>
                    <w:tr2bl w:val="nil"/>
                  </w:tcBorders>
                  <w:vAlign w:val="center"/>
                </w:tcPr>
                <w:p w14:paraId="36EE6AA4">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p>
              </w:tc>
            </w:tr>
            <w:tr w14:paraId="64C69F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9" w:type="pct"/>
                  <w:vMerge w:val="continue"/>
                  <w:tcBorders>
                    <w:tl2br w:val="nil"/>
                    <w:tr2bl w:val="nil"/>
                  </w:tcBorders>
                  <w:vAlign w:val="center"/>
                </w:tcPr>
                <w:p w14:paraId="2042CF49">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p>
              </w:tc>
              <w:tc>
                <w:tcPr>
                  <w:tcW w:w="544" w:type="pct"/>
                  <w:vMerge w:val="continue"/>
                  <w:tcBorders>
                    <w:tl2br w:val="nil"/>
                    <w:tr2bl w:val="nil"/>
                  </w:tcBorders>
                  <w:vAlign w:val="center"/>
                </w:tcPr>
                <w:p w14:paraId="502AFC23">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p>
              </w:tc>
              <w:tc>
                <w:tcPr>
                  <w:tcW w:w="611" w:type="pct"/>
                  <w:tcBorders>
                    <w:tl2br w:val="nil"/>
                    <w:tr2bl w:val="nil"/>
                  </w:tcBorders>
                  <w:vAlign w:val="center"/>
                </w:tcPr>
                <w:p w14:paraId="64B4D1F3">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废模具</w:t>
                  </w:r>
                </w:p>
              </w:tc>
              <w:tc>
                <w:tcPr>
                  <w:tcW w:w="591" w:type="pct"/>
                  <w:vMerge w:val="continue"/>
                  <w:tcBorders>
                    <w:tl2br w:val="nil"/>
                    <w:tr2bl w:val="nil"/>
                  </w:tcBorders>
                  <w:vAlign w:val="center"/>
                </w:tcPr>
                <w:p w14:paraId="60BE6CA8">
                  <w:pPr>
                    <w:spacing w:line="240" w:lineRule="auto"/>
                    <w:ind w:left="0" w:leftChars="0" w:firstLine="0" w:firstLineChars="0"/>
                    <w:jc w:val="center"/>
                    <w:rPr>
                      <w:rFonts w:hint="eastAsia" w:eastAsia="新宋体" w:cs="Times New Roman"/>
                      <w:color w:val="000000" w:themeColor="text1"/>
                      <w:sz w:val="21"/>
                      <w:szCs w:val="21"/>
                      <w:lang w:val="en-US" w:eastAsia="zh-CN"/>
                      <w14:textFill>
                        <w14:solidFill>
                          <w14:schemeClr w14:val="tx1"/>
                        </w14:solidFill>
                      </w14:textFill>
                    </w:rPr>
                  </w:pPr>
                </w:p>
              </w:tc>
              <w:tc>
                <w:tcPr>
                  <w:tcW w:w="1166" w:type="pct"/>
                  <w:vMerge w:val="continue"/>
                  <w:tcBorders>
                    <w:tl2br w:val="nil"/>
                    <w:tr2bl w:val="nil"/>
                  </w:tcBorders>
                  <w:vAlign w:val="center"/>
                </w:tcPr>
                <w:p w14:paraId="3F8E1342">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p>
              </w:tc>
              <w:tc>
                <w:tcPr>
                  <w:tcW w:w="1567" w:type="pct"/>
                  <w:vMerge w:val="continue"/>
                  <w:tcBorders>
                    <w:tl2br w:val="nil"/>
                    <w:tr2bl w:val="nil"/>
                  </w:tcBorders>
                  <w:vAlign w:val="center"/>
                </w:tcPr>
                <w:p w14:paraId="75EE41F5">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p>
              </w:tc>
            </w:tr>
            <w:tr w14:paraId="4F6973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9" w:type="pct"/>
                  <w:vMerge w:val="continue"/>
                  <w:tcBorders>
                    <w:tl2br w:val="nil"/>
                    <w:tr2bl w:val="nil"/>
                  </w:tcBorders>
                  <w:vAlign w:val="center"/>
                </w:tcPr>
                <w:p w14:paraId="1CDE21D1">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p>
              </w:tc>
              <w:tc>
                <w:tcPr>
                  <w:tcW w:w="544" w:type="pct"/>
                  <w:vMerge w:val="continue"/>
                  <w:tcBorders>
                    <w:tl2br w:val="nil"/>
                    <w:tr2bl w:val="nil"/>
                  </w:tcBorders>
                  <w:vAlign w:val="center"/>
                </w:tcPr>
                <w:p w14:paraId="243A4F27">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p>
              </w:tc>
              <w:tc>
                <w:tcPr>
                  <w:tcW w:w="611" w:type="pct"/>
                  <w:tcBorders>
                    <w:tl2br w:val="nil"/>
                    <w:tr2bl w:val="nil"/>
                  </w:tcBorders>
                  <w:vAlign w:val="center"/>
                </w:tcPr>
                <w:p w14:paraId="06B1112E">
                  <w:pPr>
                    <w:spacing w:line="240" w:lineRule="auto"/>
                    <w:ind w:left="0" w:leftChars="0" w:firstLine="0" w:firstLineChars="0"/>
                    <w:jc w:val="center"/>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废包装桶</w:t>
                  </w:r>
                </w:p>
              </w:tc>
              <w:tc>
                <w:tcPr>
                  <w:tcW w:w="591" w:type="pct"/>
                  <w:vMerge w:val="continue"/>
                  <w:tcBorders>
                    <w:tl2br w:val="nil"/>
                    <w:tr2bl w:val="nil"/>
                  </w:tcBorders>
                  <w:vAlign w:val="center"/>
                </w:tcPr>
                <w:p w14:paraId="64082646">
                  <w:pPr>
                    <w:spacing w:line="240" w:lineRule="auto"/>
                    <w:ind w:left="0" w:leftChars="0" w:firstLine="0" w:firstLineChars="0"/>
                    <w:jc w:val="center"/>
                    <w:rPr>
                      <w:rFonts w:hint="eastAsia" w:eastAsia="新宋体" w:cs="Times New Roman"/>
                      <w:color w:val="000000" w:themeColor="text1"/>
                      <w:sz w:val="21"/>
                      <w:szCs w:val="21"/>
                      <w:lang w:val="en-US" w:eastAsia="zh-CN"/>
                      <w14:textFill>
                        <w14:solidFill>
                          <w14:schemeClr w14:val="tx1"/>
                        </w14:solidFill>
                      </w14:textFill>
                    </w:rPr>
                  </w:pPr>
                </w:p>
              </w:tc>
              <w:tc>
                <w:tcPr>
                  <w:tcW w:w="1166" w:type="pct"/>
                  <w:vMerge w:val="continue"/>
                  <w:tcBorders>
                    <w:tl2br w:val="nil"/>
                    <w:tr2bl w:val="nil"/>
                  </w:tcBorders>
                  <w:vAlign w:val="center"/>
                </w:tcPr>
                <w:p w14:paraId="2DEFFA80">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p>
              </w:tc>
              <w:tc>
                <w:tcPr>
                  <w:tcW w:w="1567" w:type="pct"/>
                  <w:vMerge w:val="continue"/>
                  <w:tcBorders>
                    <w:tl2br w:val="nil"/>
                    <w:tr2bl w:val="nil"/>
                  </w:tcBorders>
                  <w:vAlign w:val="center"/>
                </w:tcPr>
                <w:p w14:paraId="73ACA2F7">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p>
              </w:tc>
            </w:tr>
            <w:tr w14:paraId="23F0D6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9" w:type="pct"/>
                  <w:vMerge w:val="continue"/>
                  <w:tcBorders>
                    <w:tl2br w:val="nil"/>
                    <w:tr2bl w:val="nil"/>
                  </w:tcBorders>
                  <w:vAlign w:val="center"/>
                </w:tcPr>
                <w:p w14:paraId="272C75E0">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p>
              </w:tc>
              <w:tc>
                <w:tcPr>
                  <w:tcW w:w="544" w:type="pct"/>
                  <w:tcBorders>
                    <w:tl2br w:val="nil"/>
                    <w:tr2bl w:val="nil"/>
                  </w:tcBorders>
                  <w:vAlign w:val="center"/>
                </w:tcPr>
                <w:p w14:paraId="58804980">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危险废物</w:t>
                  </w:r>
                </w:p>
              </w:tc>
              <w:tc>
                <w:tcPr>
                  <w:tcW w:w="611" w:type="pct"/>
                  <w:tcBorders>
                    <w:tl2br w:val="nil"/>
                    <w:tr2bl w:val="nil"/>
                  </w:tcBorders>
                  <w:vAlign w:val="center"/>
                </w:tcPr>
                <w:p w14:paraId="3F2E8140">
                  <w:pPr>
                    <w:spacing w:line="240" w:lineRule="auto"/>
                    <w:ind w:left="0" w:leftChars="0" w:firstLine="0" w:firstLineChars="0"/>
                    <w:jc w:val="center"/>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废机油</w:t>
                  </w:r>
                </w:p>
              </w:tc>
              <w:tc>
                <w:tcPr>
                  <w:tcW w:w="591" w:type="pct"/>
                  <w:vMerge w:val="continue"/>
                  <w:tcBorders>
                    <w:tl2br w:val="nil"/>
                    <w:tr2bl w:val="nil"/>
                  </w:tcBorders>
                  <w:vAlign w:val="center"/>
                </w:tcPr>
                <w:p w14:paraId="3E5090DE">
                  <w:pPr>
                    <w:spacing w:line="240" w:lineRule="auto"/>
                    <w:ind w:left="0" w:leftChars="0" w:firstLine="0" w:firstLineChars="0"/>
                    <w:jc w:val="center"/>
                    <w:rPr>
                      <w:rFonts w:hint="eastAsia" w:eastAsia="新宋体" w:cs="Times New Roman"/>
                      <w:color w:val="000000" w:themeColor="text1"/>
                      <w:sz w:val="21"/>
                      <w:szCs w:val="21"/>
                      <w:lang w:val="en-US" w:eastAsia="zh-CN"/>
                      <w14:textFill>
                        <w14:solidFill>
                          <w14:schemeClr w14:val="tx1"/>
                        </w14:solidFill>
                      </w14:textFill>
                    </w:rPr>
                  </w:pPr>
                </w:p>
              </w:tc>
              <w:tc>
                <w:tcPr>
                  <w:tcW w:w="1166" w:type="pct"/>
                  <w:tcBorders>
                    <w:tl2br w:val="nil"/>
                    <w:tr2bl w:val="nil"/>
                  </w:tcBorders>
                  <w:vAlign w:val="center"/>
                </w:tcPr>
                <w:p w14:paraId="479DBE79">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危废暂存间，密封铁桶收集</w:t>
                  </w:r>
                </w:p>
              </w:tc>
              <w:tc>
                <w:tcPr>
                  <w:tcW w:w="1567" w:type="pct"/>
                  <w:tcBorders>
                    <w:tl2br w:val="nil"/>
                    <w:tr2bl w:val="nil"/>
                  </w:tcBorders>
                  <w:vAlign w:val="center"/>
                </w:tcPr>
                <w:p w14:paraId="4CBBD307">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default" w:eastAsia="新宋体" w:cs="Times New Roman"/>
                      <w:color w:val="000000" w:themeColor="text1"/>
                      <w:sz w:val="21"/>
                      <w:szCs w:val="21"/>
                      <w:lang w:val="en-US" w:eastAsia="zh-CN"/>
                      <w14:textFill>
                        <w14:solidFill>
                          <w14:schemeClr w14:val="tx1"/>
                        </w14:solidFill>
                      </w14:textFill>
                    </w:rPr>
                    <w:t>《危险废物贮存污染控制标准》（GB18597-2023）</w:t>
                  </w:r>
                </w:p>
              </w:tc>
            </w:tr>
            <w:tr w14:paraId="72BC09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9" w:type="pct"/>
                  <w:vMerge w:val="continue"/>
                  <w:tcBorders>
                    <w:tl2br w:val="nil"/>
                    <w:tr2bl w:val="nil"/>
                  </w:tcBorders>
                  <w:vAlign w:val="center"/>
                </w:tcPr>
                <w:p w14:paraId="0EDA58E3">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p>
              </w:tc>
              <w:tc>
                <w:tcPr>
                  <w:tcW w:w="544" w:type="pct"/>
                  <w:tcBorders>
                    <w:tl2br w:val="nil"/>
                    <w:tr2bl w:val="nil"/>
                  </w:tcBorders>
                  <w:vAlign w:val="center"/>
                </w:tcPr>
                <w:p w14:paraId="643B1F8F">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营运生活</w:t>
                  </w:r>
                </w:p>
              </w:tc>
              <w:tc>
                <w:tcPr>
                  <w:tcW w:w="611" w:type="pct"/>
                  <w:tcBorders>
                    <w:tl2br w:val="nil"/>
                    <w:tr2bl w:val="nil"/>
                  </w:tcBorders>
                  <w:vAlign w:val="center"/>
                </w:tcPr>
                <w:p w14:paraId="053CAC0C">
                  <w:pPr>
                    <w:spacing w:line="240" w:lineRule="auto"/>
                    <w:ind w:left="0" w:leftChars="0" w:firstLine="0" w:firstLineChars="0"/>
                    <w:jc w:val="center"/>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生活垃圾</w:t>
                  </w:r>
                </w:p>
              </w:tc>
              <w:tc>
                <w:tcPr>
                  <w:tcW w:w="591" w:type="pct"/>
                  <w:vMerge w:val="continue"/>
                  <w:tcBorders>
                    <w:tl2br w:val="nil"/>
                    <w:tr2bl w:val="nil"/>
                  </w:tcBorders>
                  <w:vAlign w:val="center"/>
                </w:tcPr>
                <w:p w14:paraId="3713B5E2">
                  <w:pPr>
                    <w:spacing w:line="240" w:lineRule="auto"/>
                    <w:ind w:left="0" w:leftChars="0" w:firstLine="0" w:firstLineChars="0"/>
                    <w:jc w:val="center"/>
                    <w:rPr>
                      <w:rFonts w:hint="eastAsia" w:eastAsia="新宋体" w:cs="Times New Roman"/>
                      <w:color w:val="000000" w:themeColor="text1"/>
                      <w:sz w:val="21"/>
                      <w:szCs w:val="21"/>
                      <w:lang w:val="en-US" w:eastAsia="zh-CN"/>
                      <w14:textFill>
                        <w14:solidFill>
                          <w14:schemeClr w14:val="tx1"/>
                        </w14:solidFill>
                      </w14:textFill>
                    </w:rPr>
                  </w:pPr>
                </w:p>
              </w:tc>
              <w:tc>
                <w:tcPr>
                  <w:tcW w:w="1166" w:type="pct"/>
                  <w:tcBorders>
                    <w:tl2br w:val="nil"/>
                    <w:tr2bl w:val="nil"/>
                  </w:tcBorders>
                  <w:vAlign w:val="center"/>
                </w:tcPr>
                <w:p w14:paraId="3287C756">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垃圾船暂存，依托县环卫处置</w:t>
                  </w:r>
                </w:p>
              </w:tc>
              <w:tc>
                <w:tcPr>
                  <w:tcW w:w="1567" w:type="pct"/>
                  <w:tcBorders>
                    <w:tl2br w:val="nil"/>
                    <w:tr2bl w:val="nil"/>
                  </w:tcBorders>
                  <w:vAlign w:val="center"/>
                </w:tcPr>
                <w:p w14:paraId="468170E4">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w:t>
                  </w:r>
                </w:p>
              </w:tc>
            </w:tr>
            <w:tr w14:paraId="61DE27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9" w:type="pct"/>
                  <w:tcBorders>
                    <w:tl2br w:val="nil"/>
                    <w:tr2bl w:val="nil"/>
                  </w:tcBorders>
                  <w:vAlign w:val="center"/>
                </w:tcPr>
                <w:p w14:paraId="06FB8CCD">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生态治理</w:t>
                  </w:r>
                </w:p>
              </w:tc>
              <w:tc>
                <w:tcPr>
                  <w:tcW w:w="544" w:type="pct"/>
                  <w:tcBorders>
                    <w:tl2br w:val="nil"/>
                    <w:tr2bl w:val="nil"/>
                  </w:tcBorders>
                  <w:vAlign w:val="center"/>
                </w:tcPr>
                <w:p w14:paraId="7DDF0A65">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w:t>
                  </w:r>
                </w:p>
              </w:tc>
              <w:tc>
                <w:tcPr>
                  <w:tcW w:w="611" w:type="pct"/>
                  <w:tcBorders>
                    <w:tl2br w:val="nil"/>
                    <w:tr2bl w:val="nil"/>
                  </w:tcBorders>
                  <w:vAlign w:val="center"/>
                </w:tcPr>
                <w:p w14:paraId="54C015BA">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w:t>
                  </w:r>
                </w:p>
              </w:tc>
              <w:tc>
                <w:tcPr>
                  <w:tcW w:w="591" w:type="pct"/>
                  <w:vMerge w:val="continue"/>
                  <w:tcBorders>
                    <w:tl2br w:val="nil"/>
                    <w:tr2bl w:val="nil"/>
                  </w:tcBorders>
                  <w:vAlign w:val="center"/>
                </w:tcPr>
                <w:p w14:paraId="2129D85D">
                  <w:pPr>
                    <w:spacing w:line="240" w:lineRule="auto"/>
                    <w:ind w:left="0" w:leftChars="0" w:firstLine="0" w:firstLineChars="0"/>
                    <w:jc w:val="center"/>
                    <w:rPr>
                      <w:rFonts w:hint="eastAsia" w:eastAsia="新宋体" w:cs="Times New Roman"/>
                      <w:color w:val="000000" w:themeColor="text1"/>
                      <w:sz w:val="21"/>
                      <w:szCs w:val="21"/>
                      <w:lang w:val="en-US" w:eastAsia="zh-CN"/>
                      <w14:textFill>
                        <w14:solidFill>
                          <w14:schemeClr w14:val="tx1"/>
                        </w14:solidFill>
                      </w14:textFill>
                    </w:rPr>
                  </w:pPr>
                </w:p>
              </w:tc>
              <w:tc>
                <w:tcPr>
                  <w:tcW w:w="1166" w:type="pct"/>
                  <w:tcBorders>
                    <w:tl2br w:val="nil"/>
                    <w:tr2bl w:val="nil"/>
                  </w:tcBorders>
                  <w:vAlign w:val="center"/>
                </w:tcPr>
                <w:p w14:paraId="3CA46065">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绿化</w:t>
                  </w:r>
                </w:p>
              </w:tc>
              <w:tc>
                <w:tcPr>
                  <w:tcW w:w="1567" w:type="pct"/>
                  <w:tcBorders>
                    <w:tl2br w:val="nil"/>
                    <w:tr2bl w:val="nil"/>
                  </w:tcBorders>
                  <w:vAlign w:val="center"/>
                </w:tcPr>
                <w:p w14:paraId="5819E716">
                  <w:pPr>
                    <w:spacing w:line="240" w:lineRule="auto"/>
                    <w:ind w:left="0" w:leftChars="0" w:firstLine="0" w:firstLineChars="0"/>
                    <w:jc w:val="center"/>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绿化面积约230m</w:t>
                  </w:r>
                  <w:r>
                    <w:rPr>
                      <w:rFonts w:hint="eastAsia" w:eastAsia="新宋体" w:cs="Times New Roman"/>
                      <w:color w:val="000000" w:themeColor="text1"/>
                      <w:sz w:val="21"/>
                      <w:szCs w:val="21"/>
                      <w:vertAlign w:val="superscript"/>
                      <w:lang w:val="en-US" w:eastAsia="zh-CN"/>
                      <w14:textFill>
                        <w14:solidFill>
                          <w14:schemeClr w14:val="tx1"/>
                        </w14:solidFill>
                      </w14:textFill>
                    </w:rPr>
                    <w:t>2</w:t>
                  </w:r>
                </w:p>
              </w:tc>
            </w:tr>
          </w:tbl>
          <w:p w14:paraId="3FC62E06">
            <w:pPr>
              <w:pStyle w:val="41"/>
              <w:keepNext w:val="0"/>
              <w:keepLines w:val="0"/>
              <w:pageBreakBefore w:val="0"/>
              <w:kinsoku/>
              <w:wordWrap/>
              <w:overflowPunct/>
              <w:topLinePunct w:val="0"/>
              <w:autoSpaceDE/>
              <w:autoSpaceDN/>
              <w:bidi w:val="0"/>
              <w:snapToGrid/>
              <w:spacing w:line="360" w:lineRule="auto"/>
              <w:ind w:leftChars="0" w:firstLine="0" w:firstLineChars="0"/>
              <w:jc w:val="left"/>
              <w:textAlignment w:val="auto"/>
              <w:rPr>
                <w:rFonts w:hint="default" w:ascii="Times New Roman" w:hAnsi="Times New Roman" w:eastAsia="新宋体" w:cs="Times New Roman"/>
                <w:color w:val="000000" w:themeColor="text1"/>
                <w:sz w:val="24"/>
                <w:szCs w:val="24"/>
                <w:lang w:val="en-US" w:eastAsia="zh-CN"/>
                <w14:textFill>
                  <w14:solidFill>
                    <w14:schemeClr w14:val="tx1"/>
                  </w14:solidFill>
                </w14:textFill>
              </w:rPr>
            </w:pPr>
          </w:p>
        </w:tc>
      </w:tr>
    </w:tbl>
    <w:p w14:paraId="31D01BB9">
      <w:pPr>
        <w:pStyle w:val="3"/>
        <w:bidi w:val="0"/>
        <w:jc w:val="center"/>
        <w:rPr>
          <w:rFonts w:hint="default" w:ascii="Times New Roman" w:hAnsi="Times New Roman" w:eastAsia="新宋体" w:cs="Times New Roman"/>
          <w:snapToGrid w:val="0"/>
          <w:color w:val="000000" w:themeColor="text1"/>
          <w:sz w:val="30"/>
          <w:szCs w:val="30"/>
          <w14:textFill>
            <w14:solidFill>
              <w14:schemeClr w14:val="tx1"/>
            </w14:solidFill>
          </w14:textFill>
        </w:rPr>
      </w:pPr>
      <w:r>
        <w:rPr>
          <w:rFonts w:hint="default" w:ascii="Times New Roman" w:hAnsi="Times New Roman" w:eastAsia="新宋体" w:cs="Times New Roman"/>
          <w:snapToGrid w:val="0"/>
          <w:color w:val="000000" w:themeColor="text1"/>
          <w:sz w:val="30"/>
          <w:szCs w:val="30"/>
          <w14:textFill>
            <w14:solidFill>
              <w14:schemeClr w14:val="tx1"/>
            </w14:solidFill>
          </w14:textFill>
        </w:rPr>
        <w:br w:type="page"/>
      </w:r>
      <w:r>
        <w:rPr>
          <w:rFonts w:hint="default" w:ascii="Times New Roman" w:hAnsi="Times New Roman" w:eastAsia="新宋体" w:cs="Times New Roman"/>
          <w:snapToGrid w:val="0"/>
          <w:color w:val="000000" w:themeColor="text1"/>
          <w:sz w:val="30"/>
          <w:szCs w:val="30"/>
          <w14:textFill>
            <w14:solidFill>
              <w14:schemeClr w14:val="tx1"/>
            </w14:solidFill>
          </w14:textFill>
        </w:rPr>
        <w:t>六、结论</w:t>
      </w:r>
    </w:p>
    <w:tbl>
      <w:tblPr>
        <w:tblStyle w:val="28"/>
        <w:tblW w:w="886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865"/>
      </w:tblGrid>
      <w:tr w14:paraId="553049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31" w:hRule="atLeast"/>
          <w:jc w:val="center"/>
        </w:trPr>
        <w:tc>
          <w:tcPr>
            <w:tcW w:w="8865" w:type="dxa"/>
            <w:tcBorders>
              <w:tl2br w:val="nil"/>
              <w:tr2bl w:val="nil"/>
            </w:tcBorders>
            <w:vAlign w:val="center"/>
          </w:tcPr>
          <w:p w14:paraId="66865B8B">
            <w:pPr>
              <w:pStyle w:val="45"/>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新宋体" w:cs="Times New Roman"/>
                <w:color w:val="000000" w:themeColor="text1"/>
                <w14:textFill>
                  <w14:solidFill>
                    <w14:schemeClr w14:val="tx1"/>
                  </w14:solidFill>
                </w14:textFill>
              </w:rPr>
            </w:pPr>
          </w:p>
          <w:p w14:paraId="234CDD2E">
            <w:pPr>
              <w:pStyle w:val="45"/>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新宋体" w:cs="Times New Roman"/>
                <w:color w:val="000000" w:themeColor="text1"/>
                <w:lang w:eastAsia="zh-CN"/>
                <w14:textFill>
                  <w14:solidFill>
                    <w14:schemeClr w14:val="tx1"/>
                  </w14:solidFill>
                </w14:textFill>
              </w:rPr>
            </w:pPr>
          </w:p>
          <w:p w14:paraId="576EC465">
            <w:pPr>
              <w:pStyle w:val="45"/>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新宋体" w:cs="Times New Roman"/>
                <w:color w:val="000000" w:themeColor="text1"/>
                <w:lang w:eastAsia="zh-CN"/>
                <w14:textFill>
                  <w14:solidFill>
                    <w14:schemeClr w14:val="tx1"/>
                  </w14:solidFill>
                </w14:textFill>
              </w:rPr>
            </w:pPr>
          </w:p>
          <w:p w14:paraId="18BE6BD8">
            <w:pPr>
              <w:pStyle w:val="45"/>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新宋体" w:cs="Times New Roman"/>
                <w:color w:val="000000" w:themeColor="text1"/>
                <w:lang w:eastAsia="zh-CN"/>
                <w14:textFill>
                  <w14:solidFill>
                    <w14:schemeClr w14:val="tx1"/>
                  </w14:solidFill>
                </w14:textFill>
              </w:rPr>
            </w:pPr>
          </w:p>
          <w:p w14:paraId="6AA9E66F">
            <w:pPr>
              <w:pStyle w:val="45"/>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新宋体" w:cs="Times New Roman"/>
                <w:color w:val="000000" w:themeColor="text1"/>
                <w:lang w:eastAsia="zh-CN"/>
                <w14:textFill>
                  <w14:solidFill>
                    <w14:schemeClr w14:val="tx1"/>
                  </w14:solidFill>
                </w14:textFill>
              </w:rPr>
            </w:pPr>
          </w:p>
          <w:p w14:paraId="24A5B159">
            <w:pPr>
              <w:pStyle w:val="45"/>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新宋体" w:cs="Times New Roman"/>
                <w:color w:val="000000" w:themeColor="text1"/>
                <w14:textFill>
                  <w14:solidFill>
                    <w14:schemeClr w14:val="tx1"/>
                  </w14:solidFill>
                </w14:textFill>
              </w:rPr>
            </w:pPr>
            <w:r>
              <w:rPr>
                <w:rFonts w:hint="default" w:ascii="Times New Roman" w:hAnsi="Times New Roman" w:eastAsia="新宋体" w:cs="Times New Roman"/>
                <w:color w:val="000000" w:themeColor="text1"/>
                <w:lang w:eastAsia="zh-CN"/>
                <w14:textFill>
                  <w14:solidFill>
                    <w14:schemeClr w14:val="tx1"/>
                  </w14:solidFill>
                </w14:textFill>
              </w:rPr>
              <w:t>《和硕县建司预制厂生产项目》</w:t>
            </w:r>
            <w:r>
              <w:rPr>
                <w:rFonts w:hint="default" w:ascii="Times New Roman" w:hAnsi="Times New Roman" w:eastAsia="新宋体" w:cs="Times New Roman"/>
                <w:color w:val="000000" w:themeColor="text1"/>
                <w14:textFill>
                  <w14:solidFill>
                    <w14:schemeClr w14:val="tx1"/>
                  </w14:solidFill>
                </w14:textFill>
              </w:rPr>
              <w:t>符合国家产业政策、</w:t>
            </w:r>
            <w:r>
              <w:rPr>
                <w:rFonts w:hint="default" w:ascii="Times New Roman" w:hAnsi="Times New Roman" w:eastAsia="新宋体" w:cs="Times New Roman"/>
                <w:color w:val="000000" w:themeColor="text1"/>
                <w:lang w:val="en-US" w:eastAsia="zh-CN"/>
                <w14:textFill>
                  <w14:solidFill>
                    <w14:schemeClr w14:val="tx1"/>
                  </w14:solidFill>
                </w14:textFill>
              </w:rPr>
              <w:t>巴州</w:t>
            </w:r>
            <w:r>
              <w:rPr>
                <w:rFonts w:hint="default" w:ascii="Times New Roman" w:hAnsi="Times New Roman" w:eastAsia="新宋体" w:cs="Times New Roman"/>
                <w:color w:val="000000" w:themeColor="text1"/>
                <w:lang w:eastAsia="zh-CN"/>
                <w14:textFill>
                  <w14:solidFill>
                    <w14:schemeClr w14:val="tx1"/>
                  </w14:solidFill>
                </w14:textFill>
              </w:rPr>
              <w:t>“</w:t>
            </w:r>
            <w:r>
              <w:rPr>
                <w:rFonts w:hint="default" w:ascii="Times New Roman" w:hAnsi="Times New Roman" w:eastAsia="新宋体" w:cs="Times New Roman"/>
                <w:color w:val="000000" w:themeColor="text1"/>
                <w14:textFill>
                  <w14:solidFill>
                    <w14:schemeClr w14:val="tx1"/>
                  </w14:solidFill>
                </w14:textFill>
              </w:rPr>
              <w:t>三线一单</w:t>
            </w:r>
            <w:r>
              <w:rPr>
                <w:rFonts w:hint="default" w:ascii="Times New Roman" w:hAnsi="Times New Roman" w:eastAsia="新宋体" w:cs="Times New Roman"/>
                <w:color w:val="000000" w:themeColor="text1"/>
                <w:lang w:eastAsia="zh-CN"/>
                <w14:textFill>
                  <w14:solidFill>
                    <w14:schemeClr w14:val="tx1"/>
                  </w14:solidFill>
                </w14:textFill>
              </w:rPr>
              <w:t>”</w:t>
            </w:r>
            <w:r>
              <w:rPr>
                <w:rFonts w:hint="default" w:ascii="Times New Roman" w:hAnsi="Times New Roman" w:eastAsia="新宋体" w:cs="Times New Roman"/>
                <w:color w:val="000000" w:themeColor="text1"/>
                <w14:textFill>
                  <w14:solidFill>
                    <w14:schemeClr w14:val="tx1"/>
                  </w14:solidFill>
                </w14:textFill>
              </w:rPr>
              <w:t>相关要求和污染防治相关政策要求，且项目选址合理。</w:t>
            </w:r>
          </w:p>
          <w:p w14:paraId="7FD19429">
            <w:pPr>
              <w:pStyle w:val="45"/>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新宋体" w:cs="Times New Roman"/>
                <w:color w:val="000000" w:themeColor="text1"/>
                <w14:textFill>
                  <w14:solidFill>
                    <w14:schemeClr w14:val="tx1"/>
                  </w14:solidFill>
                </w14:textFill>
              </w:rPr>
            </w:pPr>
            <w:r>
              <w:rPr>
                <w:rFonts w:hint="default" w:ascii="Times New Roman" w:hAnsi="Times New Roman" w:eastAsia="新宋体" w:cs="Times New Roman"/>
                <w:color w:val="000000" w:themeColor="text1"/>
                <w14:textFill>
                  <w14:solidFill>
                    <w14:schemeClr w14:val="tx1"/>
                  </w14:solidFill>
                </w14:textFill>
              </w:rPr>
              <w:t>项目采取的各项污染防治措施技术经济可行，污染物得到有效控制，产生的废气、废水、噪声、固废等均达标排放或合理处置，</w:t>
            </w:r>
            <w:r>
              <w:rPr>
                <w:rFonts w:hint="eastAsia" w:eastAsia="新宋体" w:cs="Times New Roman"/>
                <w:color w:val="000000" w:themeColor="text1"/>
                <w:lang w:val="en-US" w:eastAsia="zh-CN"/>
                <w14:textFill>
                  <w14:solidFill>
                    <w14:schemeClr w14:val="tx1"/>
                  </w14:solidFill>
                </w14:textFill>
              </w:rPr>
              <w:t>环境风险可控；</w:t>
            </w:r>
            <w:r>
              <w:rPr>
                <w:rFonts w:hint="default" w:ascii="Times New Roman" w:hAnsi="Times New Roman" w:eastAsia="新宋体" w:cs="Times New Roman"/>
                <w:color w:val="000000" w:themeColor="text1"/>
                <w14:textFill>
                  <w14:solidFill>
                    <w14:schemeClr w14:val="tx1"/>
                  </w14:solidFill>
                </w14:textFill>
              </w:rPr>
              <w:t>项目自身对环境的影响可降低到当地环境能够容许的程度，满足当地环境功能要求。从环境保护角度而言，本项目建设可行。</w:t>
            </w:r>
          </w:p>
          <w:p w14:paraId="60256AD5">
            <w:pPr>
              <w:pStyle w:val="35"/>
              <w:rPr>
                <w:rFonts w:hint="default" w:ascii="Times New Roman" w:hAnsi="Times New Roman" w:eastAsia="新宋体" w:cs="Times New Roman"/>
                <w:color w:val="000000" w:themeColor="text1"/>
                <w14:textFill>
                  <w14:solidFill>
                    <w14:schemeClr w14:val="tx1"/>
                  </w14:solidFill>
                </w14:textFill>
              </w:rPr>
            </w:pPr>
          </w:p>
          <w:p w14:paraId="71F6137E">
            <w:pPr>
              <w:rPr>
                <w:rFonts w:hint="default" w:ascii="Times New Roman" w:hAnsi="Times New Roman" w:eastAsia="新宋体" w:cs="Times New Roman"/>
                <w:color w:val="000000" w:themeColor="text1"/>
                <w14:textFill>
                  <w14:solidFill>
                    <w14:schemeClr w14:val="tx1"/>
                  </w14:solidFill>
                </w14:textFill>
              </w:rPr>
            </w:pPr>
          </w:p>
          <w:p w14:paraId="6445CFA8">
            <w:pPr>
              <w:pStyle w:val="2"/>
              <w:rPr>
                <w:rFonts w:hint="default" w:ascii="Times New Roman" w:hAnsi="Times New Roman" w:eastAsia="新宋体" w:cs="Times New Roman"/>
                <w:color w:val="000000" w:themeColor="text1"/>
                <w14:textFill>
                  <w14:solidFill>
                    <w14:schemeClr w14:val="tx1"/>
                  </w14:solidFill>
                </w14:textFill>
              </w:rPr>
            </w:pPr>
          </w:p>
          <w:p w14:paraId="59B6AAD2">
            <w:pPr>
              <w:pStyle w:val="2"/>
              <w:rPr>
                <w:rFonts w:hint="default" w:ascii="Times New Roman" w:hAnsi="Times New Roman" w:eastAsia="新宋体" w:cs="Times New Roman"/>
                <w:color w:val="000000" w:themeColor="text1"/>
                <w14:textFill>
                  <w14:solidFill>
                    <w14:schemeClr w14:val="tx1"/>
                  </w14:solidFill>
                </w14:textFill>
              </w:rPr>
            </w:pPr>
          </w:p>
          <w:p w14:paraId="779895BA">
            <w:pPr>
              <w:pStyle w:val="2"/>
              <w:rPr>
                <w:rFonts w:hint="default" w:ascii="Times New Roman" w:hAnsi="Times New Roman" w:eastAsia="新宋体" w:cs="Times New Roman"/>
                <w:color w:val="000000" w:themeColor="text1"/>
                <w14:textFill>
                  <w14:solidFill>
                    <w14:schemeClr w14:val="tx1"/>
                  </w14:solidFill>
                </w14:textFill>
              </w:rPr>
            </w:pPr>
          </w:p>
          <w:p w14:paraId="37929338">
            <w:pPr>
              <w:pStyle w:val="2"/>
              <w:rPr>
                <w:rFonts w:hint="default" w:ascii="Times New Roman" w:hAnsi="Times New Roman" w:eastAsia="新宋体" w:cs="Times New Roman"/>
                <w:color w:val="000000" w:themeColor="text1"/>
                <w14:textFill>
                  <w14:solidFill>
                    <w14:schemeClr w14:val="tx1"/>
                  </w14:solidFill>
                </w14:textFill>
              </w:rPr>
            </w:pPr>
          </w:p>
          <w:p w14:paraId="0B97B7E4">
            <w:pPr>
              <w:pStyle w:val="2"/>
              <w:rPr>
                <w:rFonts w:hint="default" w:ascii="Times New Roman" w:hAnsi="Times New Roman" w:eastAsia="新宋体" w:cs="Times New Roman"/>
                <w:color w:val="000000" w:themeColor="text1"/>
                <w14:textFill>
                  <w14:solidFill>
                    <w14:schemeClr w14:val="tx1"/>
                  </w14:solidFill>
                </w14:textFill>
              </w:rPr>
            </w:pPr>
          </w:p>
          <w:p w14:paraId="5E7D8981">
            <w:pPr>
              <w:pStyle w:val="2"/>
              <w:rPr>
                <w:rFonts w:hint="default" w:ascii="Times New Roman" w:hAnsi="Times New Roman" w:eastAsia="新宋体" w:cs="Times New Roman"/>
                <w:color w:val="000000" w:themeColor="text1"/>
                <w14:textFill>
                  <w14:solidFill>
                    <w14:schemeClr w14:val="tx1"/>
                  </w14:solidFill>
                </w14:textFill>
              </w:rPr>
            </w:pPr>
          </w:p>
          <w:p w14:paraId="5A532B34">
            <w:pPr>
              <w:pStyle w:val="2"/>
              <w:rPr>
                <w:rFonts w:hint="default" w:ascii="Times New Roman" w:hAnsi="Times New Roman" w:eastAsia="新宋体" w:cs="Times New Roman"/>
                <w:color w:val="000000" w:themeColor="text1"/>
                <w14:textFill>
                  <w14:solidFill>
                    <w14:schemeClr w14:val="tx1"/>
                  </w14:solidFill>
                </w14:textFill>
              </w:rPr>
            </w:pPr>
          </w:p>
          <w:p w14:paraId="15254377">
            <w:pPr>
              <w:pStyle w:val="2"/>
              <w:rPr>
                <w:rFonts w:hint="default" w:ascii="Times New Roman" w:hAnsi="Times New Roman" w:eastAsia="新宋体" w:cs="Times New Roman"/>
                <w:color w:val="000000" w:themeColor="text1"/>
                <w14:textFill>
                  <w14:solidFill>
                    <w14:schemeClr w14:val="tx1"/>
                  </w14:solidFill>
                </w14:textFill>
              </w:rPr>
            </w:pPr>
          </w:p>
          <w:p w14:paraId="40CAF5C2">
            <w:pPr>
              <w:pStyle w:val="2"/>
              <w:rPr>
                <w:rFonts w:hint="default" w:ascii="Times New Roman" w:hAnsi="Times New Roman" w:eastAsia="新宋体" w:cs="Times New Roman"/>
                <w:color w:val="000000" w:themeColor="text1"/>
                <w14:textFill>
                  <w14:solidFill>
                    <w14:schemeClr w14:val="tx1"/>
                  </w14:solidFill>
                </w14:textFill>
              </w:rPr>
            </w:pPr>
          </w:p>
          <w:p w14:paraId="60749EB4">
            <w:pPr>
              <w:pStyle w:val="2"/>
              <w:rPr>
                <w:rFonts w:hint="default" w:ascii="Times New Roman" w:hAnsi="Times New Roman" w:eastAsia="新宋体" w:cs="Times New Roman"/>
                <w:color w:val="000000" w:themeColor="text1"/>
                <w14:textFill>
                  <w14:solidFill>
                    <w14:schemeClr w14:val="tx1"/>
                  </w14:solidFill>
                </w14:textFill>
              </w:rPr>
            </w:pPr>
          </w:p>
          <w:p w14:paraId="79B2D317">
            <w:pPr>
              <w:pStyle w:val="2"/>
              <w:rPr>
                <w:rFonts w:hint="default" w:ascii="Times New Roman" w:hAnsi="Times New Roman" w:eastAsia="新宋体" w:cs="Times New Roman"/>
                <w:color w:val="000000" w:themeColor="text1"/>
                <w14:textFill>
                  <w14:solidFill>
                    <w14:schemeClr w14:val="tx1"/>
                  </w14:solidFill>
                </w14:textFill>
              </w:rPr>
            </w:pPr>
          </w:p>
          <w:p w14:paraId="618C7846">
            <w:pPr>
              <w:pStyle w:val="35"/>
              <w:jc w:val="both"/>
              <w:rPr>
                <w:rFonts w:hint="default" w:ascii="Times New Roman" w:hAnsi="Times New Roman" w:eastAsia="新宋体" w:cs="Times New Roman"/>
                <w:color w:val="000000" w:themeColor="text1"/>
                <w14:textFill>
                  <w14:solidFill>
                    <w14:schemeClr w14:val="tx1"/>
                  </w14:solidFill>
                </w14:textFill>
              </w:rPr>
            </w:pPr>
          </w:p>
        </w:tc>
      </w:tr>
    </w:tbl>
    <w:p w14:paraId="55692775">
      <w:pPr>
        <w:pStyle w:val="14"/>
        <w:numPr>
          <w:ilvl w:val="0"/>
          <w:numId w:val="0"/>
        </w:numPr>
        <w:rPr>
          <w:rFonts w:hint="default" w:ascii="Times New Roman" w:hAnsi="Times New Roman" w:eastAsia="新宋体" w:cs="Times New Roman"/>
          <w:color w:val="000000" w:themeColor="text1"/>
          <w14:textFill>
            <w14:solidFill>
              <w14:schemeClr w14:val="tx1"/>
            </w14:solidFill>
          </w14:textFill>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61A25208">
      <w:pPr>
        <w:pStyle w:val="24"/>
        <w:adjustRightInd w:val="0"/>
        <w:snapToGrid w:val="0"/>
        <w:spacing w:before="0" w:beforeAutospacing="0" w:after="0" w:afterAutospacing="0"/>
        <w:outlineLvl w:val="0"/>
        <w:rPr>
          <w:rFonts w:hint="default" w:ascii="Times New Roman" w:hAnsi="Times New Roman" w:eastAsia="新宋体" w:cs="Times New Roman"/>
          <w:snapToGrid w:val="0"/>
          <w:color w:val="000000" w:themeColor="text1"/>
          <w:sz w:val="32"/>
          <w:szCs w:val="32"/>
          <w14:textFill>
            <w14:solidFill>
              <w14:schemeClr w14:val="tx1"/>
            </w14:solidFill>
          </w14:textFill>
        </w:rPr>
      </w:pPr>
      <w:r>
        <w:rPr>
          <w:rFonts w:hint="default" w:ascii="Times New Roman" w:hAnsi="Times New Roman" w:eastAsia="新宋体" w:cs="Times New Roman"/>
          <w:snapToGrid w:val="0"/>
          <w:color w:val="000000" w:themeColor="text1"/>
          <w:sz w:val="32"/>
          <w:szCs w:val="32"/>
          <w14:textFill>
            <w14:solidFill>
              <w14:schemeClr w14:val="tx1"/>
            </w14:solidFill>
          </w14:textFill>
        </w:rPr>
        <w:t>附表</w:t>
      </w:r>
    </w:p>
    <w:p w14:paraId="4E7CB111">
      <w:pPr>
        <w:pStyle w:val="24"/>
        <w:adjustRightInd w:val="0"/>
        <w:snapToGrid w:val="0"/>
        <w:spacing w:before="0" w:beforeAutospacing="0" w:after="0" w:afterAutospacing="0"/>
        <w:jc w:val="center"/>
        <w:outlineLvl w:val="0"/>
        <w:rPr>
          <w:rFonts w:hint="default" w:ascii="Times New Roman" w:hAnsi="Times New Roman" w:eastAsia="新宋体" w:cs="Times New Roman"/>
          <w:snapToGrid w:val="0"/>
          <w:color w:val="000000" w:themeColor="text1"/>
          <w:sz w:val="38"/>
          <w:szCs w:val="38"/>
          <w14:textFill>
            <w14:solidFill>
              <w14:schemeClr w14:val="tx1"/>
            </w14:solidFill>
          </w14:textFill>
        </w:rPr>
      </w:pPr>
      <w:r>
        <w:rPr>
          <w:rFonts w:hint="default" w:ascii="Times New Roman" w:hAnsi="Times New Roman" w:eastAsia="新宋体" w:cs="Times New Roman"/>
          <w:snapToGrid w:val="0"/>
          <w:color w:val="000000" w:themeColor="text1"/>
          <w:sz w:val="38"/>
          <w:szCs w:val="38"/>
          <w14:textFill>
            <w14:solidFill>
              <w14:schemeClr w14:val="tx1"/>
            </w14:solidFill>
          </w14:textFill>
        </w:rPr>
        <w:t>建设项目污染物排放量汇总表</w:t>
      </w:r>
    </w:p>
    <w:tbl>
      <w:tblPr>
        <w:tblStyle w:val="28"/>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559"/>
        <w:gridCol w:w="1560"/>
        <w:gridCol w:w="1134"/>
        <w:gridCol w:w="1559"/>
        <w:gridCol w:w="1559"/>
        <w:gridCol w:w="1701"/>
        <w:gridCol w:w="1843"/>
        <w:gridCol w:w="1569"/>
      </w:tblGrid>
      <w:tr w14:paraId="72660B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304" w:type="dxa"/>
            <w:tcBorders>
              <w:tl2br w:val="single" w:color="auto" w:sz="4" w:space="0"/>
            </w:tcBorders>
            <w:noWrap w:val="0"/>
            <w:tcMar>
              <w:left w:w="28" w:type="dxa"/>
              <w:right w:w="28" w:type="dxa"/>
            </w:tcMar>
            <w:vAlign w:val="center"/>
          </w:tcPr>
          <w:p w14:paraId="3300868C">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right"/>
              <w:textAlignment w:val="auto"/>
              <w:rPr>
                <w:rFonts w:hint="default" w:ascii="Times New Roman" w:hAnsi="Times New Roman" w:eastAsia="新宋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spacing w:val="-6"/>
                <w:kern w:val="21"/>
                <w:sz w:val="21"/>
                <w:szCs w:val="21"/>
                <w14:textFill>
                  <w14:solidFill>
                    <w14:schemeClr w14:val="tx1"/>
                  </w14:solidFill>
                </w14:textFill>
              </w:rPr>
              <w:t>项目</w:t>
            </w:r>
          </w:p>
          <w:p w14:paraId="386867EC">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left"/>
              <w:textAlignment w:val="auto"/>
              <w:rPr>
                <w:rFonts w:hint="default" w:ascii="Times New Roman" w:hAnsi="Times New Roman" w:eastAsia="新宋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spacing w:val="-6"/>
                <w:kern w:val="21"/>
                <w:sz w:val="21"/>
                <w:szCs w:val="21"/>
                <w14:textFill>
                  <w14:solidFill>
                    <w14:schemeClr w14:val="tx1"/>
                  </w14:solidFill>
                </w14:textFill>
              </w:rPr>
              <w:t>分类</w:t>
            </w:r>
          </w:p>
        </w:tc>
        <w:tc>
          <w:tcPr>
            <w:tcW w:w="1559" w:type="dxa"/>
            <w:noWrap w:val="0"/>
            <w:tcMar>
              <w:left w:w="28" w:type="dxa"/>
              <w:right w:w="28" w:type="dxa"/>
            </w:tcMar>
            <w:vAlign w:val="center"/>
          </w:tcPr>
          <w:p w14:paraId="2D5D4C71">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spacing w:val="-6"/>
                <w:kern w:val="21"/>
                <w:sz w:val="21"/>
                <w:szCs w:val="21"/>
                <w14:textFill>
                  <w14:solidFill>
                    <w14:schemeClr w14:val="tx1"/>
                  </w14:solidFill>
                </w14:textFill>
              </w:rPr>
              <w:t>污染物名称</w:t>
            </w:r>
          </w:p>
        </w:tc>
        <w:tc>
          <w:tcPr>
            <w:tcW w:w="1560" w:type="dxa"/>
            <w:noWrap w:val="0"/>
            <w:tcMar>
              <w:left w:w="28" w:type="dxa"/>
              <w:right w:w="28" w:type="dxa"/>
            </w:tcMar>
            <w:vAlign w:val="center"/>
          </w:tcPr>
          <w:p w14:paraId="67E3EE83">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spacing w:val="-6"/>
                <w:kern w:val="21"/>
                <w:sz w:val="21"/>
                <w:szCs w:val="21"/>
                <w14:textFill>
                  <w14:solidFill>
                    <w14:schemeClr w14:val="tx1"/>
                  </w14:solidFill>
                </w14:textFill>
              </w:rPr>
              <w:t>现有工程</w:t>
            </w:r>
          </w:p>
          <w:p w14:paraId="0A1A3A6B">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spacing w:val="-6"/>
                <w:kern w:val="21"/>
                <w:sz w:val="21"/>
                <w:szCs w:val="21"/>
                <w14:textFill>
                  <w14:solidFill>
                    <w14:schemeClr w14:val="tx1"/>
                  </w14:solidFill>
                </w14:textFill>
              </w:rPr>
              <w:t>排放量（固体废物产生量）</w:t>
            </w:r>
            <w:r>
              <w:rPr>
                <w:rFonts w:hint="default" w:ascii="Times New Roman" w:hAnsi="Times New Roman" w:eastAsia="新宋体" w:cs="Times New Roman"/>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eastAsia="新宋体" w:cs="Times New Roman"/>
                <w:snapToGrid w:val="0"/>
                <w:color w:val="000000" w:themeColor="text1"/>
                <w:spacing w:val="-6"/>
                <w:kern w:val="21"/>
                <w:sz w:val="21"/>
                <w:szCs w:val="21"/>
                <w14:textFill>
                  <w14:solidFill>
                    <w14:schemeClr w14:val="tx1"/>
                  </w14:solidFill>
                </w14:textFill>
              </w:rPr>
              <w:instrText xml:space="preserve"> = 1 \* GB3 \* MERGEFORMAT </w:instrText>
            </w:r>
            <w:r>
              <w:rPr>
                <w:rFonts w:hint="default" w:ascii="Times New Roman" w:hAnsi="Times New Roman" w:eastAsia="新宋体" w:cs="Times New Roman"/>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eastAsia="新宋体" w:cs="Times New Roman"/>
                <w:color w:val="000000" w:themeColor="text1"/>
                <w:kern w:val="2"/>
                <w:sz w:val="21"/>
                <w:szCs w:val="21"/>
                <w14:textFill>
                  <w14:solidFill>
                    <w14:schemeClr w14:val="tx1"/>
                  </w14:solidFill>
                </w14:textFill>
              </w:rPr>
              <w:t>①</w:t>
            </w:r>
            <w:r>
              <w:rPr>
                <w:rFonts w:hint="default" w:ascii="Times New Roman" w:hAnsi="Times New Roman" w:eastAsia="新宋体" w:cs="Times New Roman"/>
                <w:snapToGrid w:val="0"/>
                <w:color w:val="000000" w:themeColor="text1"/>
                <w:spacing w:val="-6"/>
                <w:kern w:val="21"/>
                <w:sz w:val="21"/>
                <w:szCs w:val="21"/>
                <w14:textFill>
                  <w14:solidFill>
                    <w14:schemeClr w14:val="tx1"/>
                  </w14:solidFill>
                </w14:textFill>
              </w:rPr>
              <w:fldChar w:fldCharType="end"/>
            </w:r>
          </w:p>
        </w:tc>
        <w:tc>
          <w:tcPr>
            <w:tcW w:w="1134" w:type="dxa"/>
            <w:noWrap w:val="0"/>
            <w:tcMar>
              <w:left w:w="28" w:type="dxa"/>
              <w:right w:w="28" w:type="dxa"/>
            </w:tcMar>
            <w:vAlign w:val="center"/>
          </w:tcPr>
          <w:p w14:paraId="1FC70171">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spacing w:val="-6"/>
                <w:kern w:val="21"/>
                <w:sz w:val="21"/>
                <w:szCs w:val="21"/>
                <w14:textFill>
                  <w14:solidFill>
                    <w14:schemeClr w14:val="tx1"/>
                  </w14:solidFill>
                </w14:textFill>
              </w:rPr>
              <w:t>现有工程</w:t>
            </w:r>
          </w:p>
          <w:p w14:paraId="701C5B0C">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spacing w:val="-6"/>
                <w:kern w:val="21"/>
                <w:sz w:val="21"/>
                <w:szCs w:val="21"/>
                <w14:textFill>
                  <w14:solidFill>
                    <w14:schemeClr w14:val="tx1"/>
                  </w14:solidFill>
                </w14:textFill>
              </w:rPr>
              <w:t>许可排放量</w:t>
            </w:r>
          </w:p>
          <w:p w14:paraId="7DB6FA1E">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eastAsia="新宋体" w:cs="Times New Roman"/>
                <w:snapToGrid w:val="0"/>
                <w:color w:val="000000" w:themeColor="text1"/>
                <w:spacing w:val="-6"/>
                <w:kern w:val="21"/>
                <w:sz w:val="21"/>
                <w:szCs w:val="21"/>
                <w14:textFill>
                  <w14:solidFill>
                    <w14:schemeClr w14:val="tx1"/>
                  </w14:solidFill>
                </w14:textFill>
              </w:rPr>
              <w:instrText xml:space="preserve"> = 2 \* GB3 \* MERGEFORMAT </w:instrText>
            </w:r>
            <w:r>
              <w:rPr>
                <w:rFonts w:hint="default" w:ascii="Times New Roman" w:hAnsi="Times New Roman" w:eastAsia="新宋体" w:cs="Times New Roman"/>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eastAsia="新宋体" w:cs="Times New Roman"/>
                <w:snapToGrid w:val="0"/>
                <w:color w:val="000000" w:themeColor="text1"/>
                <w:spacing w:val="-6"/>
                <w:kern w:val="21"/>
                <w:sz w:val="21"/>
                <w:szCs w:val="21"/>
                <w14:textFill>
                  <w14:solidFill>
                    <w14:schemeClr w14:val="tx1"/>
                  </w14:solidFill>
                </w14:textFill>
              </w:rPr>
              <w:t>②</w:t>
            </w:r>
            <w:r>
              <w:rPr>
                <w:rFonts w:hint="default" w:ascii="Times New Roman" w:hAnsi="Times New Roman" w:eastAsia="新宋体" w:cs="Times New Roman"/>
                <w:snapToGrid w:val="0"/>
                <w:color w:val="000000" w:themeColor="text1"/>
                <w:spacing w:val="-6"/>
                <w:kern w:val="21"/>
                <w:sz w:val="21"/>
                <w:szCs w:val="21"/>
                <w14:textFill>
                  <w14:solidFill>
                    <w14:schemeClr w14:val="tx1"/>
                  </w14:solidFill>
                </w14:textFill>
              </w:rPr>
              <w:fldChar w:fldCharType="end"/>
            </w:r>
          </w:p>
        </w:tc>
        <w:tc>
          <w:tcPr>
            <w:tcW w:w="1559" w:type="dxa"/>
            <w:noWrap w:val="0"/>
            <w:tcMar>
              <w:left w:w="28" w:type="dxa"/>
              <w:right w:w="28" w:type="dxa"/>
            </w:tcMar>
            <w:vAlign w:val="center"/>
          </w:tcPr>
          <w:p w14:paraId="53E84C86">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spacing w:val="-6"/>
                <w:kern w:val="21"/>
                <w:sz w:val="21"/>
                <w:szCs w:val="21"/>
                <w14:textFill>
                  <w14:solidFill>
                    <w14:schemeClr w14:val="tx1"/>
                  </w14:solidFill>
                </w14:textFill>
              </w:rPr>
              <w:t>在建工程</w:t>
            </w:r>
          </w:p>
          <w:p w14:paraId="27643390">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spacing w:val="-6"/>
                <w:kern w:val="21"/>
                <w:sz w:val="21"/>
                <w:szCs w:val="21"/>
                <w14:textFill>
                  <w14:solidFill>
                    <w14:schemeClr w14:val="tx1"/>
                  </w14:solidFill>
                </w14:textFill>
              </w:rPr>
              <w:t>排放量（固体废物产生量）</w:t>
            </w:r>
            <w:r>
              <w:rPr>
                <w:rFonts w:hint="default" w:ascii="Times New Roman" w:hAnsi="Times New Roman" w:eastAsia="新宋体" w:cs="Times New Roman"/>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eastAsia="新宋体" w:cs="Times New Roman"/>
                <w:snapToGrid w:val="0"/>
                <w:color w:val="000000" w:themeColor="text1"/>
                <w:spacing w:val="-6"/>
                <w:kern w:val="21"/>
                <w:sz w:val="21"/>
                <w:szCs w:val="21"/>
                <w14:textFill>
                  <w14:solidFill>
                    <w14:schemeClr w14:val="tx1"/>
                  </w14:solidFill>
                </w14:textFill>
              </w:rPr>
              <w:instrText xml:space="preserve"> = 3 \* GB3 \* MERGEFORMAT </w:instrText>
            </w:r>
            <w:r>
              <w:rPr>
                <w:rFonts w:hint="default" w:ascii="Times New Roman" w:hAnsi="Times New Roman" w:eastAsia="新宋体" w:cs="Times New Roman"/>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eastAsia="新宋体" w:cs="Times New Roman"/>
                <w:color w:val="000000" w:themeColor="text1"/>
                <w:kern w:val="2"/>
                <w:sz w:val="21"/>
                <w:szCs w:val="21"/>
                <w14:textFill>
                  <w14:solidFill>
                    <w14:schemeClr w14:val="tx1"/>
                  </w14:solidFill>
                </w14:textFill>
              </w:rPr>
              <w:t>③</w:t>
            </w:r>
            <w:r>
              <w:rPr>
                <w:rFonts w:hint="default" w:ascii="Times New Roman" w:hAnsi="Times New Roman" w:eastAsia="新宋体" w:cs="Times New Roman"/>
                <w:snapToGrid w:val="0"/>
                <w:color w:val="000000" w:themeColor="text1"/>
                <w:spacing w:val="-6"/>
                <w:kern w:val="21"/>
                <w:sz w:val="21"/>
                <w:szCs w:val="21"/>
                <w14:textFill>
                  <w14:solidFill>
                    <w14:schemeClr w14:val="tx1"/>
                  </w14:solidFill>
                </w14:textFill>
              </w:rPr>
              <w:fldChar w:fldCharType="end"/>
            </w:r>
          </w:p>
        </w:tc>
        <w:tc>
          <w:tcPr>
            <w:tcW w:w="1559" w:type="dxa"/>
            <w:noWrap w:val="0"/>
            <w:tcMar>
              <w:left w:w="28" w:type="dxa"/>
              <w:right w:w="28" w:type="dxa"/>
            </w:tcMar>
            <w:vAlign w:val="center"/>
          </w:tcPr>
          <w:p w14:paraId="2153210C">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spacing w:val="-6"/>
                <w:kern w:val="21"/>
                <w:sz w:val="21"/>
                <w:szCs w:val="21"/>
                <w14:textFill>
                  <w14:solidFill>
                    <w14:schemeClr w14:val="tx1"/>
                  </w14:solidFill>
                </w14:textFill>
              </w:rPr>
              <w:t>本项目</w:t>
            </w:r>
          </w:p>
          <w:p w14:paraId="4186C5BE">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spacing w:val="-6"/>
                <w:kern w:val="21"/>
                <w:sz w:val="21"/>
                <w:szCs w:val="21"/>
                <w14:textFill>
                  <w14:solidFill>
                    <w14:schemeClr w14:val="tx1"/>
                  </w14:solidFill>
                </w14:textFill>
              </w:rPr>
              <w:t>排放量（固体废物产生量）</w:t>
            </w:r>
            <w:r>
              <w:rPr>
                <w:rFonts w:hint="default" w:ascii="Times New Roman" w:hAnsi="Times New Roman" w:eastAsia="新宋体" w:cs="Times New Roman"/>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eastAsia="新宋体" w:cs="Times New Roman"/>
                <w:snapToGrid w:val="0"/>
                <w:color w:val="000000" w:themeColor="text1"/>
                <w:spacing w:val="-6"/>
                <w:kern w:val="21"/>
                <w:sz w:val="21"/>
                <w:szCs w:val="21"/>
                <w14:textFill>
                  <w14:solidFill>
                    <w14:schemeClr w14:val="tx1"/>
                  </w14:solidFill>
                </w14:textFill>
              </w:rPr>
              <w:instrText xml:space="preserve"> = 4 \* GB3 \* MERGEFORMAT </w:instrText>
            </w:r>
            <w:r>
              <w:rPr>
                <w:rFonts w:hint="default" w:ascii="Times New Roman" w:hAnsi="Times New Roman" w:eastAsia="新宋体" w:cs="Times New Roman"/>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eastAsia="新宋体" w:cs="Times New Roman"/>
                <w:color w:val="000000" w:themeColor="text1"/>
                <w:kern w:val="2"/>
                <w:sz w:val="21"/>
                <w:szCs w:val="21"/>
                <w14:textFill>
                  <w14:solidFill>
                    <w14:schemeClr w14:val="tx1"/>
                  </w14:solidFill>
                </w14:textFill>
              </w:rPr>
              <w:t>④</w:t>
            </w:r>
            <w:r>
              <w:rPr>
                <w:rFonts w:hint="default" w:ascii="Times New Roman" w:hAnsi="Times New Roman" w:eastAsia="新宋体" w:cs="Times New Roman"/>
                <w:snapToGrid w:val="0"/>
                <w:color w:val="000000" w:themeColor="text1"/>
                <w:spacing w:val="-6"/>
                <w:kern w:val="21"/>
                <w:sz w:val="21"/>
                <w:szCs w:val="21"/>
                <w14:textFill>
                  <w14:solidFill>
                    <w14:schemeClr w14:val="tx1"/>
                  </w14:solidFill>
                </w14:textFill>
              </w:rPr>
              <w:fldChar w:fldCharType="end"/>
            </w:r>
          </w:p>
        </w:tc>
        <w:tc>
          <w:tcPr>
            <w:tcW w:w="1701" w:type="dxa"/>
            <w:noWrap w:val="0"/>
            <w:tcMar>
              <w:left w:w="28" w:type="dxa"/>
              <w:right w:w="28" w:type="dxa"/>
            </w:tcMar>
            <w:vAlign w:val="center"/>
          </w:tcPr>
          <w:p w14:paraId="63DB1FD1">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spacing w:val="-16"/>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spacing w:val="-16"/>
                <w:kern w:val="21"/>
                <w:sz w:val="21"/>
                <w:szCs w:val="21"/>
                <w14:textFill>
                  <w14:solidFill>
                    <w14:schemeClr w14:val="tx1"/>
                  </w14:solidFill>
                </w14:textFill>
              </w:rPr>
              <w:t>以新带老削减量</w:t>
            </w:r>
          </w:p>
          <w:p w14:paraId="79085DFD">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spacing w:val="-16"/>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spacing w:val="-16"/>
                <w:kern w:val="21"/>
                <w:sz w:val="21"/>
                <w:szCs w:val="21"/>
                <w14:textFill>
                  <w14:solidFill>
                    <w14:schemeClr w14:val="tx1"/>
                  </w14:solidFill>
                </w14:textFill>
              </w:rPr>
              <w:t>（新建项目不填）</w:t>
            </w:r>
            <w:r>
              <w:rPr>
                <w:rFonts w:hint="default" w:ascii="Times New Roman" w:hAnsi="Times New Roman" w:eastAsia="新宋体" w:cs="Times New Roman"/>
                <w:snapToGrid w:val="0"/>
                <w:color w:val="000000" w:themeColor="text1"/>
                <w:spacing w:val="-16"/>
                <w:kern w:val="21"/>
                <w:sz w:val="21"/>
                <w:szCs w:val="21"/>
                <w14:textFill>
                  <w14:solidFill>
                    <w14:schemeClr w14:val="tx1"/>
                  </w14:solidFill>
                </w14:textFill>
              </w:rPr>
              <w:fldChar w:fldCharType="begin"/>
            </w:r>
            <w:r>
              <w:rPr>
                <w:rFonts w:hint="default" w:ascii="Times New Roman" w:hAnsi="Times New Roman" w:eastAsia="新宋体" w:cs="Times New Roman"/>
                <w:snapToGrid w:val="0"/>
                <w:color w:val="000000" w:themeColor="text1"/>
                <w:spacing w:val="-16"/>
                <w:kern w:val="21"/>
                <w:sz w:val="21"/>
                <w:szCs w:val="21"/>
                <w14:textFill>
                  <w14:solidFill>
                    <w14:schemeClr w14:val="tx1"/>
                  </w14:solidFill>
                </w14:textFill>
              </w:rPr>
              <w:instrText xml:space="preserve"> = 5 \* GB3 \* MERGEFORMAT </w:instrText>
            </w:r>
            <w:r>
              <w:rPr>
                <w:rFonts w:hint="default" w:ascii="Times New Roman" w:hAnsi="Times New Roman" w:eastAsia="新宋体" w:cs="Times New Roman"/>
                <w:snapToGrid w:val="0"/>
                <w:color w:val="000000" w:themeColor="text1"/>
                <w:spacing w:val="-16"/>
                <w:kern w:val="21"/>
                <w:sz w:val="21"/>
                <w:szCs w:val="21"/>
                <w14:textFill>
                  <w14:solidFill>
                    <w14:schemeClr w14:val="tx1"/>
                  </w14:solidFill>
                </w14:textFill>
              </w:rPr>
              <w:fldChar w:fldCharType="separate"/>
            </w:r>
            <w:r>
              <w:rPr>
                <w:rFonts w:hint="default" w:ascii="Times New Roman" w:hAnsi="Times New Roman" w:eastAsia="新宋体" w:cs="Times New Roman"/>
                <w:color w:val="000000" w:themeColor="text1"/>
                <w:kern w:val="2"/>
                <w:sz w:val="21"/>
                <w:szCs w:val="21"/>
                <w14:textFill>
                  <w14:solidFill>
                    <w14:schemeClr w14:val="tx1"/>
                  </w14:solidFill>
                </w14:textFill>
              </w:rPr>
              <w:t>⑤</w:t>
            </w:r>
            <w:r>
              <w:rPr>
                <w:rFonts w:hint="default" w:ascii="Times New Roman" w:hAnsi="Times New Roman" w:eastAsia="新宋体" w:cs="Times New Roman"/>
                <w:snapToGrid w:val="0"/>
                <w:color w:val="000000" w:themeColor="text1"/>
                <w:spacing w:val="-16"/>
                <w:kern w:val="21"/>
                <w:sz w:val="21"/>
                <w:szCs w:val="21"/>
                <w14:textFill>
                  <w14:solidFill>
                    <w14:schemeClr w14:val="tx1"/>
                  </w14:solidFill>
                </w14:textFill>
              </w:rPr>
              <w:fldChar w:fldCharType="end"/>
            </w:r>
          </w:p>
        </w:tc>
        <w:tc>
          <w:tcPr>
            <w:tcW w:w="1843" w:type="dxa"/>
            <w:noWrap w:val="0"/>
            <w:tcMar>
              <w:left w:w="28" w:type="dxa"/>
              <w:right w:w="28" w:type="dxa"/>
            </w:tcMar>
            <w:vAlign w:val="center"/>
          </w:tcPr>
          <w:p w14:paraId="298D1C71">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spacing w:val="-16"/>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spacing w:val="-16"/>
                <w:kern w:val="21"/>
                <w:sz w:val="21"/>
                <w:szCs w:val="21"/>
                <w14:textFill>
                  <w14:solidFill>
                    <w14:schemeClr w14:val="tx1"/>
                  </w14:solidFill>
                </w14:textFill>
              </w:rPr>
              <w:t>本项目建成后</w:t>
            </w:r>
          </w:p>
          <w:p w14:paraId="70153A55">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spacing w:val="-16"/>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spacing w:val="-16"/>
                <w:kern w:val="21"/>
                <w:sz w:val="21"/>
                <w:szCs w:val="21"/>
                <w14:textFill>
                  <w14:solidFill>
                    <w14:schemeClr w14:val="tx1"/>
                  </w14:solidFill>
                </w14:textFill>
              </w:rPr>
              <w:t>全厂排放量（固体废物产生量）</w:t>
            </w:r>
            <w:r>
              <w:rPr>
                <w:rFonts w:hint="default" w:ascii="Times New Roman" w:hAnsi="Times New Roman" w:eastAsia="新宋体" w:cs="Times New Roman"/>
                <w:snapToGrid w:val="0"/>
                <w:color w:val="000000" w:themeColor="text1"/>
                <w:spacing w:val="-16"/>
                <w:kern w:val="21"/>
                <w:sz w:val="21"/>
                <w:szCs w:val="21"/>
                <w14:textFill>
                  <w14:solidFill>
                    <w14:schemeClr w14:val="tx1"/>
                  </w14:solidFill>
                </w14:textFill>
              </w:rPr>
              <w:fldChar w:fldCharType="begin"/>
            </w:r>
            <w:r>
              <w:rPr>
                <w:rFonts w:hint="default" w:ascii="Times New Roman" w:hAnsi="Times New Roman" w:eastAsia="新宋体" w:cs="Times New Roman"/>
                <w:snapToGrid w:val="0"/>
                <w:color w:val="000000" w:themeColor="text1"/>
                <w:spacing w:val="-16"/>
                <w:kern w:val="21"/>
                <w:sz w:val="21"/>
                <w:szCs w:val="21"/>
                <w14:textFill>
                  <w14:solidFill>
                    <w14:schemeClr w14:val="tx1"/>
                  </w14:solidFill>
                </w14:textFill>
              </w:rPr>
              <w:instrText xml:space="preserve"> = 6 \* GB3 \* MERGEFORMAT </w:instrText>
            </w:r>
            <w:r>
              <w:rPr>
                <w:rFonts w:hint="default" w:ascii="Times New Roman" w:hAnsi="Times New Roman" w:eastAsia="新宋体" w:cs="Times New Roman"/>
                <w:snapToGrid w:val="0"/>
                <w:color w:val="000000" w:themeColor="text1"/>
                <w:spacing w:val="-16"/>
                <w:kern w:val="21"/>
                <w:sz w:val="21"/>
                <w:szCs w:val="21"/>
                <w14:textFill>
                  <w14:solidFill>
                    <w14:schemeClr w14:val="tx1"/>
                  </w14:solidFill>
                </w14:textFill>
              </w:rPr>
              <w:fldChar w:fldCharType="separate"/>
            </w:r>
            <w:r>
              <w:rPr>
                <w:rFonts w:hint="default" w:ascii="Times New Roman" w:hAnsi="Times New Roman" w:eastAsia="新宋体" w:cs="Times New Roman"/>
                <w:color w:val="000000" w:themeColor="text1"/>
                <w:kern w:val="2"/>
                <w:sz w:val="21"/>
                <w:szCs w:val="21"/>
                <w14:textFill>
                  <w14:solidFill>
                    <w14:schemeClr w14:val="tx1"/>
                  </w14:solidFill>
                </w14:textFill>
              </w:rPr>
              <w:t>⑥</w:t>
            </w:r>
            <w:r>
              <w:rPr>
                <w:rFonts w:hint="default" w:ascii="Times New Roman" w:hAnsi="Times New Roman" w:eastAsia="新宋体" w:cs="Times New Roman"/>
                <w:snapToGrid w:val="0"/>
                <w:color w:val="000000" w:themeColor="text1"/>
                <w:spacing w:val="-16"/>
                <w:kern w:val="21"/>
                <w:sz w:val="21"/>
                <w:szCs w:val="21"/>
                <w14:textFill>
                  <w14:solidFill>
                    <w14:schemeClr w14:val="tx1"/>
                  </w14:solidFill>
                </w14:textFill>
              </w:rPr>
              <w:fldChar w:fldCharType="end"/>
            </w:r>
          </w:p>
        </w:tc>
        <w:tc>
          <w:tcPr>
            <w:tcW w:w="1569" w:type="dxa"/>
            <w:noWrap w:val="0"/>
            <w:tcMar>
              <w:left w:w="28" w:type="dxa"/>
              <w:right w:w="28" w:type="dxa"/>
            </w:tcMar>
            <w:vAlign w:val="center"/>
          </w:tcPr>
          <w:p w14:paraId="2A4B3CC0">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spacing w:val="-6"/>
                <w:kern w:val="21"/>
                <w:sz w:val="21"/>
                <w:szCs w:val="21"/>
                <w14:textFill>
                  <w14:solidFill>
                    <w14:schemeClr w14:val="tx1"/>
                  </w14:solidFill>
                </w14:textFill>
              </w:rPr>
              <w:t>变化量</w:t>
            </w:r>
          </w:p>
          <w:p w14:paraId="22624F2F">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eastAsia="新宋体" w:cs="Times New Roman"/>
                <w:snapToGrid w:val="0"/>
                <w:color w:val="000000" w:themeColor="text1"/>
                <w:spacing w:val="-6"/>
                <w:kern w:val="21"/>
                <w:sz w:val="21"/>
                <w:szCs w:val="21"/>
                <w14:textFill>
                  <w14:solidFill>
                    <w14:schemeClr w14:val="tx1"/>
                  </w14:solidFill>
                </w14:textFill>
              </w:rPr>
              <w:instrText xml:space="preserve"> = 7 \* GB3 \* MERGEFORMAT </w:instrText>
            </w:r>
            <w:r>
              <w:rPr>
                <w:rFonts w:hint="default" w:ascii="Times New Roman" w:hAnsi="Times New Roman" w:eastAsia="新宋体" w:cs="Times New Roman"/>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eastAsia="新宋体" w:cs="Times New Roman"/>
                <w:color w:val="000000" w:themeColor="text1"/>
                <w:kern w:val="2"/>
                <w:sz w:val="21"/>
                <w:szCs w:val="21"/>
                <w14:textFill>
                  <w14:solidFill>
                    <w14:schemeClr w14:val="tx1"/>
                  </w14:solidFill>
                </w14:textFill>
              </w:rPr>
              <w:t>⑦</w:t>
            </w:r>
            <w:r>
              <w:rPr>
                <w:rFonts w:hint="default" w:ascii="Times New Roman" w:hAnsi="Times New Roman" w:eastAsia="新宋体" w:cs="Times New Roman"/>
                <w:snapToGrid w:val="0"/>
                <w:color w:val="000000" w:themeColor="text1"/>
                <w:spacing w:val="-6"/>
                <w:kern w:val="21"/>
                <w:sz w:val="21"/>
                <w:szCs w:val="21"/>
                <w14:textFill>
                  <w14:solidFill>
                    <w14:schemeClr w14:val="tx1"/>
                  </w14:solidFill>
                </w14:textFill>
              </w:rPr>
              <w:fldChar w:fldCharType="end"/>
            </w:r>
          </w:p>
        </w:tc>
      </w:tr>
      <w:tr w14:paraId="5AE204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noWrap w:val="0"/>
            <w:vAlign w:val="center"/>
          </w:tcPr>
          <w:p w14:paraId="1BDA29F0">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14:textFill>
                  <w14:solidFill>
                    <w14:schemeClr w14:val="tx1"/>
                  </w14:solidFill>
                </w14:textFill>
              </w:rPr>
              <w:t>废气</w:t>
            </w:r>
          </w:p>
        </w:tc>
        <w:tc>
          <w:tcPr>
            <w:tcW w:w="1559" w:type="dxa"/>
            <w:noWrap w:val="0"/>
            <w:vAlign w:val="center"/>
          </w:tcPr>
          <w:p w14:paraId="1C2F71E2">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新宋体" w:cs="Times New Roman"/>
                <w:snapToGrid w:val="0"/>
                <w:color w:val="000000" w:themeColor="text1"/>
                <w:kern w:val="21"/>
                <w:sz w:val="21"/>
                <w:szCs w:val="21"/>
                <w:lang w:eastAsia="zh-CN"/>
                <w14:textFill>
                  <w14:solidFill>
                    <w14:schemeClr w14:val="tx1"/>
                  </w14:solidFill>
                </w14:textFill>
              </w:rPr>
            </w:pPr>
            <w:r>
              <w:rPr>
                <w:rFonts w:hint="eastAsia" w:ascii="Times New Roman" w:eastAsia="新宋体" w:cs="Times New Roman"/>
                <w:snapToGrid w:val="0"/>
                <w:color w:val="000000" w:themeColor="text1"/>
                <w:sz w:val="21"/>
                <w:szCs w:val="21"/>
                <w:lang w:val="en-US" w:eastAsia="zh-CN"/>
                <w14:textFill>
                  <w14:solidFill>
                    <w14:schemeClr w14:val="tx1"/>
                  </w14:solidFill>
                </w14:textFill>
              </w:rPr>
              <w:t>颗粒物</w:t>
            </w:r>
          </w:p>
        </w:tc>
        <w:tc>
          <w:tcPr>
            <w:tcW w:w="1560" w:type="dxa"/>
            <w:noWrap w:val="0"/>
            <w:vAlign w:val="center"/>
          </w:tcPr>
          <w:p w14:paraId="6AEE49C8">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134" w:type="dxa"/>
            <w:noWrap w:val="0"/>
            <w:vAlign w:val="center"/>
          </w:tcPr>
          <w:p w14:paraId="28CD663B">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559" w:type="dxa"/>
            <w:noWrap w:val="0"/>
            <w:vAlign w:val="center"/>
          </w:tcPr>
          <w:p w14:paraId="476F971D">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559" w:type="dxa"/>
            <w:noWrap w:val="0"/>
            <w:vAlign w:val="center"/>
          </w:tcPr>
          <w:p w14:paraId="3028E6B8">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pPr>
            <w:r>
              <w:rPr>
                <w:rFonts w:hint="eastAsia" w:ascii="Times New Roman" w:eastAsia="新宋体" w:cs="Times New Roman"/>
                <w:snapToGrid w:val="0"/>
                <w:color w:val="000000" w:themeColor="text1"/>
                <w:kern w:val="21"/>
                <w:sz w:val="21"/>
                <w:szCs w:val="21"/>
                <w:lang w:val="en-US" w:eastAsia="zh-CN"/>
                <w14:textFill>
                  <w14:solidFill>
                    <w14:schemeClr w14:val="tx1"/>
                  </w14:solidFill>
                </w14:textFill>
              </w:rPr>
              <w:t>0.07236t/a</w:t>
            </w:r>
          </w:p>
        </w:tc>
        <w:tc>
          <w:tcPr>
            <w:tcW w:w="1701" w:type="dxa"/>
            <w:noWrap w:val="0"/>
            <w:vAlign w:val="center"/>
          </w:tcPr>
          <w:p w14:paraId="5CA69C94">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843" w:type="dxa"/>
            <w:noWrap w:val="0"/>
            <w:vAlign w:val="center"/>
          </w:tcPr>
          <w:p w14:paraId="627AEAF2">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14:textFill>
                  <w14:solidFill>
                    <w14:schemeClr w14:val="tx1"/>
                  </w14:solidFill>
                </w14:textFill>
              </w:rPr>
            </w:pPr>
            <w:r>
              <w:rPr>
                <w:rFonts w:hint="eastAsia" w:ascii="Times New Roman" w:eastAsia="新宋体" w:cs="Times New Roman"/>
                <w:snapToGrid w:val="0"/>
                <w:color w:val="000000" w:themeColor="text1"/>
                <w:kern w:val="21"/>
                <w:sz w:val="21"/>
                <w:szCs w:val="21"/>
                <w:lang w:val="en-US" w:eastAsia="zh-CN"/>
                <w14:textFill>
                  <w14:solidFill>
                    <w14:schemeClr w14:val="tx1"/>
                  </w14:solidFill>
                </w14:textFill>
              </w:rPr>
              <w:t>0.07236t/a</w:t>
            </w:r>
          </w:p>
        </w:tc>
        <w:tc>
          <w:tcPr>
            <w:tcW w:w="1569" w:type="dxa"/>
            <w:noWrap w:val="0"/>
            <w:vAlign w:val="center"/>
          </w:tcPr>
          <w:p w14:paraId="5F45B59C">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14:textFill>
                  <w14:solidFill>
                    <w14:schemeClr w14:val="tx1"/>
                  </w14:solidFill>
                </w14:textFill>
              </w:rPr>
            </w:pPr>
            <w:r>
              <w:rPr>
                <w:rFonts w:hint="eastAsia" w:ascii="Times New Roman" w:eastAsia="新宋体" w:cs="Times New Roman"/>
                <w:snapToGrid w:val="0"/>
                <w:color w:val="000000" w:themeColor="text1"/>
                <w:kern w:val="21"/>
                <w:sz w:val="21"/>
                <w:szCs w:val="21"/>
                <w:lang w:val="en-US" w:eastAsia="zh-CN"/>
                <w14:textFill>
                  <w14:solidFill>
                    <w14:schemeClr w14:val="tx1"/>
                  </w14:solidFill>
                </w14:textFill>
              </w:rPr>
              <w:t>+0.07236t/a</w:t>
            </w:r>
          </w:p>
        </w:tc>
      </w:tr>
      <w:tr w14:paraId="6B5F41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restart"/>
            <w:noWrap w:val="0"/>
            <w:vAlign w:val="center"/>
          </w:tcPr>
          <w:p w14:paraId="2EEE1010">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14:textFill>
                  <w14:solidFill>
                    <w14:schemeClr w14:val="tx1"/>
                  </w14:solidFill>
                </w14:textFill>
              </w:rPr>
              <w:t>废水</w:t>
            </w:r>
          </w:p>
        </w:tc>
        <w:tc>
          <w:tcPr>
            <w:tcW w:w="1559" w:type="dxa"/>
            <w:noWrap w:val="0"/>
            <w:vAlign w:val="center"/>
          </w:tcPr>
          <w:p w14:paraId="0D83BAB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CODcr</w:t>
            </w:r>
          </w:p>
        </w:tc>
        <w:tc>
          <w:tcPr>
            <w:tcW w:w="1560" w:type="dxa"/>
            <w:noWrap w:val="0"/>
            <w:vAlign w:val="center"/>
          </w:tcPr>
          <w:p w14:paraId="020732C3">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134" w:type="dxa"/>
            <w:noWrap w:val="0"/>
            <w:vAlign w:val="center"/>
          </w:tcPr>
          <w:p w14:paraId="07876346">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559" w:type="dxa"/>
            <w:noWrap w:val="0"/>
            <w:vAlign w:val="center"/>
          </w:tcPr>
          <w:p w14:paraId="79A1EC35">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559" w:type="dxa"/>
            <w:noWrap w:val="0"/>
            <w:vAlign w:val="center"/>
          </w:tcPr>
          <w:p w14:paraId="5874DAA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0.053t/a</w:t>
            </w:r>
          </w:p>
        </w:tc>
        <w:tc>
          <w:tcPr>
            <w:tcW w:w="1701" w:type="dxa"/>
            <w:noWrap w:val="0"/>
            <w:vAlign w:val="center"/>
          </w:tcPr>
          <w:p w14:paraId="0C8F7369">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843" w:type="dxa"/>
            <w:noWrap w:val="0"/>
            <w:vAlign w:val="center"/>
          </w:tcPr>
          <w:p w14:paraId="64C20AE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0.053t/a</w:t>
            </w:r>
          </w:p>
        </w:tc>
        <w:tc>
          <w:tcPr>
            <w:tcW w:w="1569" w:type="dxa"/>
            <w:noWrap w:val="0"/>
            <w:vAlign w:val="center"/>
          </w:tcPr>
          <w:p w14:paraId="64AA9D2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+0.053t/a</w:t>
            </w:r>
          </w:p>
        </w:tc>
      </w:tr>
      <w:tr w14:paraId="5401C2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noWrap w:val="0"/>
            <w:vAlign w:val="center"/>
          </w:tcPr>
          <w:p w14:paraId="2D11A2E4">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14:textFill>
                  <w14:solidFill>
                    <w14:schemeClr w14:val="tx1"/>
                  </w14:solidFill>
                </w14:textFill>
              </w:rPr>
            </w:pPr>
          </w:p>
        </w:tc>
        <w:tc>
          <w:tcPr>
            <w:tcW w:w="1559" w:type="dxa"/>
            <w:noWrap w:val="0"/>
            <w:vAlign w:val="center"/>
          </w:tcPr>
          <w:p w14:paraId="22D5C38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BOD</w:t>
            </w:r>
            <w:r>
              <w:rPr>
                <w:rFonts w:hint="default" w:ascii="Times New Roman" w:hAnsi="Times New Roman" w:eastAsia="新宋体" w:cs="Times New Roman"/>
                <w:color w:val="000000" w:themeColor="text1"/>
                <w:sz w:val="21"/>
                <w:szCs w:val="21"/>
                <w:vertAlign w:val="subscript"/>
                <w:lang w:val="en-US" w:eastAsia="zh-CN"/>
                <w14:textFill>
                  <w14:solidFill>
                    <w14:schemeClr w14:val="tx1"/>
                  </w14:solidFill>
                </w14:textFill>
              </w:rPr>
              <w:t>5</w:t>
            </w:r>
          </w:p>
        </w:tc>
        <w:tc>
          <w:tcPr>
            <w:tcW w:w="1560" w:type="dxa"/>
            <w:noWrap w:val="0"/>
            <w:vAlign w:val="center"/>
          </w:tcPr>
          <w:p w14:paraId="5A90DEE5">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134" w:type="dxa"/>
            <w:noWrap w:val="0"/>
            <w:vAlign w:val="center"/>
          </w:tcPr>
          <w:p w14:paraId="129730A7">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559" w:type="dxa"/>
            <w:noWrap w:val="0"/>
            <w:vAlign w:val="center"/>
          </w:tcPr>
          <w:p w14:paraId="4605CD37">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559" w:type="dxa"/>
            <w:noWrap w:val="0"/>
            <w:vAlign w:val="center"/>
          </w:tcPr>
          <w:p w14:paraId="42A4824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0.038t/a</w:t>
            </w:r>
          </w:p>
        </w:tc>
        <w:tc>
          <w:tcPr>
            <w:tcW w:w="1701" w:type="dxa"/>
            <w:noWrap w:val="0"/>
            <w:vAlign w:val="center"/>
          </w:tcPr>
          <w:p w14:paraId="29381C47">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843" w:type="dxa"/>
            <w:noWrap w:val="0"/>
            <w:vAlign w:val="center"/>
          </w:tcPr>
          <w:p w14:paraId="3DBA679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0.038t/a</w:t>
            </w:r>
          </w:p>
        </w:tc>
        <w:tc>
          <w:tcPr>
            <w:tcW w:w="1569" w:type="dxa"/>
            <w:noWrap w:val="0"/>
            <w:vAlign w:val="center"/>
          </w:tcPr>
          <w:p w14:paraId="1121D69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+0.038t/a</w:t>
            </w:r>
          </w:p>
        </w:tc>
      </w:tr>
      <w:tr w14:paraId="776177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noWrap w:val="0"/>
            <w:vAlign w:val="center"/>
          </w:tcPr>
          <w:p w14:paraId="462DDB6F">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14:textFill>
                  <w14:solidFill>
                    <w14:schemeClr w14:val="tx1"/>
                  </w14:solidFill>
                </w14:textFill>
              </w:rPr>
            </w:pPr>
          </w:p>
        </w:tc>
        <w:tc>
          <w:tcPr>
            <w:tcW w:w="1559" w:type="dxa"/>
            <w:noWrap w:val="0"/>
            <w:vAlign w:val="center"/>
          </w:tcPr>
          <w:p w14:paraId="34AC00E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SS</w:t>
            </w:r>
          </w:p>
        </w:tc>
        <w:tc>
          <w:tcPr>
            <w:tcW w:w="1560" w:type="dxa"/>
            <w:noWrap w:val="0"/>
            <w:vAlign w:val="center"/>
          </w:tcPr>
          <w:p w14:paraId="3985938D">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134" w:type="dxa"/>
            <w:noWrap w:val="0"/>
            <w:vAlign w:val="center"/>
          </w:tcPr>
          <w:p w14:paraId="1ED03B32">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559" w:type="dxa"/>
            <w:noWrap w:val="0"/>
            <w:vAlign w:val="center"/>
          </w:tcPr>
          <w:p w14:paraId="268C9417">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559" w:type="dxa"/>
            <w:noWrap w:val="0"/>
            <w:vAlign w:val="center"/>
          </w:tcPr>
          <w:p w14:paraId="29AF3F5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0.045t/a</w:t>
            </w:r>
          </w:p>
        </w:tc>
        <w:tc>
          <w:tcPr>
            <w:tcW w:w="1701" w:type="dxa"/>
            <w:noWrap w:val="0"/>
            <w:vAlign w:val="center"/>
          </w:tcPr>
          <w:p w14:paraId="081C7BBA">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843" w:type="dxa"/>
            <w:noWrap w:val="0"/>
            <w:vAlign w:val="center"/>
          </w:tcPr>
          <w:p w14:paraId="281B811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0.045t/a</w:t>
            </w:r>
          </w:p>
        </w:tc>
        <w:tc>
          <w:tcPr>
            <w:tcW w:w="1569" w:type="dxa"/>
            <w:noWrap w:val="0"/>
            <w:vAlign w:val="center"/>
          </w:tcPr>
          <w:p w14:paraId="3BAADB7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+0.045t/a</w:t>
            </w:r>
          </w:p>
        </w:tc>
      </w:tr>
      <w:tr w14:paraId="428CC7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noWrap w:val="0"/>
            <w:vAlign w:val="center"/>
          </w:tcPr>
          <w:p w14:paraId="1F83CB1D">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14:textFill>
                  <w14:solidFill>
                    <w14:schemeClr w14:val="tx1"/>
                  </w14:solidFill>
                </w14:textFill>
              </w:rPr>
            </w:pPr>
          </w:p>
        </w:tc>
        <w:tc>
          <w:tcPr>
            <w:tcW w:w="1559" w:type="dxa"/>
            <w:noWrap w:val="0"/>
            <w:vAlign w:val="center"/>
          </w:tcPr>
          <w:p w14:paraId="5A62999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NH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-N</w:t>
            </w:r>
          </w:p>
        </w:tc>
        <w:tc>
          <w:tcPr>
            <w:tcW w:w="1560" w:type="dxa"/>
            <w:noWrap w:val="0"/>
            <w:vAlign w:val="center"/>
          </w:tcPr>
          <w:p w14:paraId="4E8257FA">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134" w:type="dxa"/>
            <w:noWrap w:val="0"/>
            <w:vAlign w:val="center"/>
          </w:tcPr>
          <w:p w14:paraId="69010379">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559" w:type="dxa"/>
            <w:noWrap w:val="0"/>
            <w:vAlign w:val="center"/>
          </w:tcPr>
          <w:p w14:paraId="708FB897">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559" w:type="dxa"/>
            <w:noWrap w:val="0"/>
            <w:vAlign w:val="center"/>
          </w:tcPr>
          <w:p w14:paraId="71B46CA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0.005t/a</w:t>
            </w:r>
          </w:p>
        </w:tc>
        <w:tc>
          <w:tcPr>
            <w:tcW w:w="1701" w:type="dxa"/>
            <w:noWrap w:val="0"/>
            <w:vAlign w:val="center"/>
          </w:tcPr>
          <w:p w14:paraId="36FC3943">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843" w:type="dxa"/>
            <w:noWrap w:val="0"/>
            <w:vAlign w:val="center"/>
          </w:tcPr>
          <w:p w14:paraId="231C762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0.005t/a</w:t>
            </w:r>
          </w:p>
        </w:tc>
        <w:tc>
          <w:tcPr>
            <w:tcW w:w="1569" w:type="dxa"/>
            <w:noWrap w:val="0"/>
            <w:vAlign w:val="center"/>
          </w:tcPr>
          <w:p w14:paraId="3020717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+0.005t/a</w:t>
            </w:r>
          </w:p>
        </w:tc>
      </w:tr>
      <w:tr w14:paraId="0D8763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restart"/>
            <w:noWrap w:val="0"/>
            <w:vAlign w:val="center"/>
          </w:tcPr>
          <w:p w14:paraId="6F1B2D80">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14:textFill>
                  <w14:solidFill>
                    <w14:schemeClr w14:val="tx1"/>
                  </w14:solidFill>
                </w14:textFill>
              </w:rPr>
              <w:t>一般工业</w:t>
            </w:r>
          </w:p>
          <w:p w14:paraId="5574392F">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14:textFill>
                  <w14:solidFill>
                    <w14:schemeClr w14:val="tx1"/>
                  </w14:solidFill>
                </w14:textFill>
              </w:rPr>
              <w:t>固体废物</w:t>
            </w:r>
          </w:p>
        </w:tc>
        <w:tc>
          <w:tcPr>
            <w:tcW w:w="1559" w:type="dxa"/>
            <w:noWrap w:val="0"/>
            <w:vAlign w:val="center"/>
          </w:tcPr>
          <w:p w14:paraId="18C6D449">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生活垃圾</w:t>
            </w:r>
          </w:p>
        </w:tc>
        <w:tc>
          <w:tcPr>
            <w:tcW w:w="1560" w:type="dxa"/>
            <w:noWrap w:val="0"/>
            <w:vAlign w:val="center"/>
          </w:tcPr>
          <w:p w14:paraId="011D249F">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134" w:type="dxa"/>
            <w:noWrap w:val="0"/>
            <w:vAlign w:val="center"/>
          </w:tcPr>
          <w:p w14:paraId="2FE6F774">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559" w:type="dxa"/>
            <w:noWrap w:val="0"/>
            <w:vAlign w:val="center"/>
          </w:tcPr>
          <w:p w14:paraId="5F1CB084">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559" w:type="dxa"/>
            <w:noWrap w:val="0"/>
            <w:vAlign w:val="center"/>
          </w:tcPr>
          <w:p w14:paraId="243AB6D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auto"/>
                <w:sz w:val="21"/>
                <w:szCs w:val="21"/>
                <w:u w:val="none"/>
                <w:lang w:val="en-US" w:eastAsia="zh-CN"/>
              </w:rPr>
              <w:t>2.52t/a</w:t>
            </w:r>
          </w:p>
        </w:tc>
        <w:tc>
          <w:tcPr>
            <w:tcW w:w="1701" w:type="dxa"/>
            <w:noWrap w:val="0"/>
            <w:vAlign w:val="center"/>
          </w:tcPr>
          <w:p w14:paraId="6E0DEEBD">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843" w:type="dxa"/>
            <w:noWrap w:val="0"/>
            <w:vAlign w:val="center"/>
          </w:tcPr>
          <w:p w14:paraId="3D6CA93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auto"/>
                <w:sz w:val="21"/>
                <w:szCs w:val="21"/>
                <w:u w:val="none"/>
                <w:lang w:val="en-US" w:eastAsia="zh-CN"/>
              </w:rPr>
              <w:t>2.52t/a</w:t>
            </w:r>
          </w:p>
        </w:tc>
        <w:tc>
          <w:tcPr>
            <w:tcW w:w="1569" w:type="dxa"/>
            <w:noWrap w:val="0"/>
            <w:vAlign w:val="center"/>
          </w:tcPr>
          <w:p w14:paraId="15AC4D2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w:t>
            </w:r>
            <w:r>
              <w:rPr>
                <w:rFonts w:hint="eastAsia" w:eastAsia="新宋体" w:cs="Times New Roman"/>
                <w:color w:val="auto"/>
                <w:sz w:val="21"/>
                <w:szCs w:val="21"/>
                <w:u w:val="none"/>
                <w:lang w:val="en-US" w:eastAsia="zh-CN"/>
              </w:rPr>
              <w:t>2.52t/a</w:t>
            </w:r>
          </w:p>
        </w:tc>
      </w:tr>
      <w:tr w14:paraId="7A7B26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noWrap w:val="0"/>
            <w:vAlign w:val="center"/>
          </w:tcPr>
          <w:p w14:paraId="1845997F">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14:textFill>
                  <w14:solidFill>
                    <w14:schemeClr w14:val="tx1"/>
                  </w14:solidFill>
                </w14:textFill>
              </w:rPr>
            </w:pPr>
          </w:p>
        </w:tc>
        <w:tc>
          <w:tcPr>
            <w:tcW w:w="1559" w:type="dxa"/>
            <w:noWrap w:val="0"/>
            <w:vAlign w:val="center"/>
          </w:tcPr>
          <w:p w14:paraId="70C8A23C">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pPr>
            <w:r>
              <w:rPr>
                <w:rFonts w:hint="eastAsia" w:ascii="Times New Roman" w:eastAsia="新宋体" w:cs="Times New Roman"/>
                <w:snapToGrid w:val="0"/>
                <w:color w:val="000000" w:themeColor="text1"/>
                <w:kern w:val="21"/>
                <w:sz w:val="21"/>
                <w:szCs w:val="21"/>
                <w:lang w:val="en-US" w:eastAsia="zh-CN"/>
                <w14:textFill>
                  <w14:solidFill>
                    <w14:schemeClr w14:val="tx1"/>
                  </w14:solidFill>
                </w14:textFill>
              </w:rPr>
              <w:t>废包装袋</w:t>
            </w:r>
          </w:p>
        </w:tc>
        <w:tc>
          <w:tcPr>
            <w:tcW w:w="1560" w:type="dxa"/>
            <w:noWrap w:val="0"/>
            <w:vAlign w:val="center"/>
          </w:tcPr>
          <w:p w14:paraId="11B1E9B1">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134" w:type="dxa"/>
            <w:noWrap w:val="0"/>
            <w:vAlign w:val="center"/>
          </w:tcPr>
          <w:p w14:paraId="31119C5C">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559" w:type="dxa"/>
            <w:noWrap w:val="0"/>
            <w:vAlign w:val="center"/>
          </w:tcPr>
          <w:p w14:paraId="031C8BB4">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559" w:type="dxa"/>
            <w:noWrap w:val="0"/>
            <w:vAlign w:val="center"/>
          </w:tcPr>
          <w:p w14:paraId="4C3CE9D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auto"/>
                <w:sz w:val="21"/>
                <w:szCs w:val="21"/>
                <w:u w:val="none"/>
                <w:lang w:val="en-US" w:eastAsia="zh-CN"/>
              </w:rPr>
              <w:t>12000个/a</w:t>
            </w:r>
          </w:p>
        </w:tc>
        <w:tc>
          <w:tcPr>
            <w:tcW w:w="1701" w:type="dxa"/>
            <w:noWrap w:val="0"/>
            <w:vAlign w:val="center"/>
          </w:tcPr>
          <w:p w14:paraId="08E2F4CE">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843" w:type="dxa"/>
            <w:noWrap w:val="0"/>
            <w:vAlign w:val="center"/>
          </w:tcPr>
          <w:p w14:paraId="43F3170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auto"/>
                <w:sz w:val="21"/>
                <w:szCs w:val="21"/>
                <w:u w:val="none"/>
                <w:lang w:val="en-US" w:eastAsia="zh-CN"/>
              </w:rPr>
              <w:t>12000个/a</w:t>
            </w:r>
          </w:p>
        </w:tc>
        <w:tc>
          <w:tcPr>
            <w:tcW w:w="1569" w:type="dxa"/>
            <w:noWrap w:val="0"/>
            <w:vAlign w:val="center"/>
          </w:tcPr>
          <w:p w14:paraId="2C6925C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auto"/>
                <w:sz w:val="21"/>
                <w:szCs w:val="21"/>
                <w:u w:val="none"/>
                <w:lang w:val="en-US" w:eastAsia="zh-CN"/>
              </w:rPr>
              <w:t>+12000个/a</w:t>
            </w:r>
          </w:p>
        </w:tc>
      </w:tr>
      <w:tr w14:paraId="6A424B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noWrap w:val="0"/>
            <w:vAlign w:val="center"/>
          </w:tcPr>
          <w:p w14:paraId="391CA19A">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14:textFill>
                  <w14:solidFill>
                    <w14:schemeClr w14:val="tx1"/>
                  </w14:solidFill>
                </w14:textFill>
              </w:rPr>
            </w:pPr>
          </w:p>
        </w:tc>
        <w:tc>
          <w:tcPr>
            <w:tcW w:w="1559" w:type="dxa"/>
            <w:noWrap w:val="0"/>
            <w:vAlign w:val="center"/>
          </w:tcPr>
          <w:p w14:paraId="65728E7A">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pPr>
            <w:r>
              <w:rPr>
                <w:rFonts w:hint="eastAsia" w:ascii="Times New Roman" w:eastAsia="新宋体" w:cs="Times New Roman"/>
                <w:snapToGrid w:val="0"/>
                <w:color w:val="000000" w:themeColor="text1"/>
                <w:kern w:val="21"/>
                <w:sz w:val="21"/>
                <w:szCs w:val="21"/>
                <w:lang w:val="en-US" w:eastAsia="zh-CN"/>
                <w14:textFill>
                  <w14:solidFill>
                    <w14:schemeClr w14:val="tx1"/>
                  </w14:solidFill>
                </w14:textFill>
              </w:rPr>
              <w:t>废包装桶</w:t>
            </w:r>
          </w:p>
        </w:tc>
        <w:tc>
          <w:tcPr>
            <w:tcW w:w="1560" w:type="dxa"/>
            <w:noWrap w:val="0"/>
            <w:vAlign w:val="center"/>
          </w:tcPr>
          <w:p w14:paraId="1BA5D691">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134" w:type="dxa"/>
            <w:noWrap w:val="0"/>
            <w:vAlign w:val="center"/>
          </w:tcPr>
          <w:p w14:paraId="074E6D45">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559" w:type="dxa"/>
            <w:noWrap w:val="0"/>
            <w:vAlign w:val="center"/>
          </w:tcPr>
          <w:p w14:paraId="1A12BC97">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559" w:type="dxa"/>
            <w:noWrap w:val="0"/>
            <w:vAlign w:val="center"/>
          </w:tcPr>
          <w:p w14:paraId="2B90C0B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auto"/>
                <w:sz w:val="21"/>
                <w:szCs w:val="21"/>
                <w:u w:val="none"/>
                <w:lang w:val="en-US" w:eastAsia="zh-CN"/>
              </w:rPr>
              <w:t>800个/a</w:t>
            </w:r>
          </w:p>
        </w:tc>
        <w:tc>
          <w:tcPr>
            <w:tcW w:w="1701" w:type="dxa"/>
            <w:noWrap w:val="0"/>
            <w:vAlign w:val="center"/>
          </w:tcPr>
          <w:p w14:paraId="6038E8D6">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843" w:type="dxa"/>
            <w:noWrap w:val="0"/>
            <w:vAlign w:val="center"/>
          </w:tcPr>
          <w:p w14:paraId="3797FB6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auto"/>
                <w:sz w:val="21"/>
                <w:szCs w:val="21"/>
                <w:u w:val="none"/>
                <w:lang w:val="en-US" w:eastAsia="zh-CN"/>
              </w:rPr>
              <w:t>800个/a</w:t>
            </w:r>
          </w:p>
        </w:tc>
        <w:tc>
          <w:tcPr>
            <w:tcW w:w="1569" w:type="dxa"/>
            <w:noWrap w:val="0"/>
            <w:vAlign w:val="center"/>
          </w:tcPr>
          <w:p w14:paraId="46C2292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auto"/>
                <w:sz w:val="21"/>
                <w:szCs w:val="21"/>
                <w:u w:val="none"/>
                <w:lang w:val="en-US" w:eastAsia="zh-CN"/>
              </w:rPr>
              <w:t>+800个/a</w:t>
            </w:r>
          </w:p>
        </w:tc>
      </w:tr>
      <w:tr w14:paraId="1B20BD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noWrap w:val="0"/>
            <w:vAlign w:val="center"/>
          </w:tcPr>
          <w:p w14:paraId="46A86894">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14:textFill>
                  <w14:solidFill>
                    <w14:schemeClr w14:val="tx1"/>
                  </w14:solidFill>
                </w14:textFill>
              </w:rPr>
            </w:pPr>
          </w:p>
        </w:tc>
        <w:tc>
          <w:tcPr>
            <w:tcW w:w="1559" w:type="dxa"/>
            <w:noWrap w:val="0"/>
            <w:vAlign w:val="center"/>
          </w:tcPr>
          <w:p w14:paraId="1CC9A51E">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eastAsia="新宋体" w:cs="Times New Roman"/>
                <w:snapToGrid w:val="0"/>
                <w:color w:val="000000" w:themeColor="text1"/>
                <w:kern w:val="21"/>
                <w:sz w:val="21"/>
                <w:szCs w:val="21"/>
                <w:lang w:val="en-US" w:eastAsia="zh-CN"/>
                <w14:textFill>
                  <w14:solidFill>
                    <w14:schemeClr w14:val="tx1"/>
                  </w14:solidFill>
                </w14:textFill>
              </w:rPr>
            </w:pPr>
            <w:r>
              <w:rPr>
                <w:rFonts w:hint="eastAsia" w:ascii="Times New Roman" w:eastAsia="新宋体" w:cs="Times New Roman"/>
                <w:snapToGrid w:val="0"/>
                <w:color w:val="000000" w:themeColor="text1"/>
                <w:kern w:val="21"/>
                <w:sz w:val="21"/>
                <w:szCs w:val="21"/>
                <w:lang w:val="en-US" w:eastAsia="zh-CN"/>
                <w14:textFill>
                  <w14:solidFill>
                    <w14:schemeClr w14:val="tx1"/>
                  </w14:solidFill>
                </w14:textFill>
              </w:rPr>
              <w:t>废模具</w:t>
            </w:r>
          </w:p>
        </w:tc>
        <w:tc>
          <w:tcPr>
            <w:tcW w:w="1560" w:type="dxa"/>
            <w:noWrap w:val="0"/>
            <w:vAlign w:val="center"/>
          </w:tcPr>
          <w:p w14:paraId="38043AE0">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134" w:type="dxa"/>
            <w:noWrap w:val="0"/>
            <w:vAlign w:val="center"/>
          </w:tcPr>
          <w:p w14:paraId="59B6400C">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559" w:type="dxa"/>
            <w:noWrap w:val="0"/>
            <w:vAlign w:val="center"/>
          </w:tcPr>
          <w:p w14:paraId="368D8F57">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559" w:type="dxa"/>
            <w:noWrap w:val="0"/>
            <w:vAlign w:val="center"/>
          </w:tcPr>
          <w:p w14:paraId="3235CE3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新宋体" w:cs="Times New Roman"/>
                <w:color w:val="auto"/>
                <w:sz w:val="21"/>
                <w:szCs w:val="21"/>
                <w:u w:val="none"/>
                <w:lang w:val="en-US" w:eastAsia="zh-CN"/>
              </w:rPr>
            </w:pPr>
            <w:r>
              <w:rPr>
                <w:rFonts w:hint="eastAsia" w:eastAsia="新宋体" w:cs="Times New Roman"/>
                <w:color w:val="auto"/>
                <w:sz w:val="21"/>
                <w:szCs w:val="21"/>
                <w:u w:val="none"/>
                <w:lang w:val="en-US" w:eastAsia="zh-CN"/>
              </w:rPr>
              <w:t>0.04/ta</w:t>
            </w:r>
          </w:p>
        </w:tc>
        <w:tc>
          <w:tcPr>
            <w:tcW w:w="1701" w:type="dxa"/>
            <w:noWrap w:val="0"/>
            <w:vAlign w:val="center"/>
          </w:tcPr>
          <w:p w14:paraId="05876904">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843" w:type="dxa"/>
            <w:noWrap w:val="0"/>
            <w:vAlign w:val="center"/>
          </w:tcPr>
          <w:p w14:paraId="0B5CBCC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新宋体" w:cs="Times New Roman"/>
                <w:color w:val="auto"/>
                <w:sz w:val="21"/>
                <w:szCs w:val="21"/>
                <w:u w:val="none"/>
                <w:lang w:val="en-US" w:eastAsia="zh-CN"/>
              </w:rPr>
            </w:pPr>
            <w:r>
              <w:rPr>
                <w:rFonts w:hint="eastAsia" w:eastAsia="新宋体" w:cs="Times New Roman"/>
                <w:color w:val="auto"/>
                <w:sz w:val="21"/>
                <w:szCs w:val="21"/>
                <w:u w:val="none"/>
                <w:lang w:val="en-US" w:eastAsia="zh-CN"/>
              </w:rPr>
              <w:t>0.04/ta</w:t>
            </w:r>
          </w:p>
        </w:tc>
        <w:tc>
          <w:tcPr>
            <w:tcW w:w="1569" w:type="dxa"/>
            <w:noWrap w:val="0"/>
            <w:vAlign w:val="center"/>
          </w:tcPr>
          <w:p w14:paraId="06FCF8A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新宋体" w:cs="Times New Roman"/>
                <w:color w:val="auto"/>
                <w:sz w:val="21"/>
                <w:szCs w:val="21"/>
                <w:u w:val="none"/>
                <w:lang w:val="en-US" w:eastAsia="zh-CN"/>
              </w:rPr>
            </w:pPr>
            <w:r>
              <w:rPr>
                <w:rFonts w:hint="eastAsia" w:eastAsia="新宋体" w:cs="Times New Roman"/>
                <w:color w:val="auto"/>
                <w:sz w:val="21"/>
                <w:szCs w:val="21"/>
                <w:u w:val="none"/>
                <w:lang w:val="en-US" w:eastAsia="zh-CN"/>
              </w:rPr>
              <w:t>+0.04/ta</w:t>
            </w:r>
          </w:p>
        </w:tc>
      </w:tr>
      <w:tr w14:paraId="6B7ACB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noWrap w:val="0"/>
            <w:vAlign w:val="center"/>
          </w:tcPr>
          <w:p w14:paraId="5815B38A">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14:textFill>
                  <w14:solidFill>
                    <w14:schemeClr w14:val="tx1"/>
                  </w14:solidFill>
                </w14:textFill>
              </w:rPr>
            </w:pPr>
          </w:p>
        </w:tc>
        <w:tc>
          <w:tcPr>
            <w:tcW w:w="1559" w:type="dxa"/>
            <w:noWrap w:val="0"/>
            <w:vAlign w:val="center"/>
          </w:tcPr>
          <w:p w14:paraId="7A0426D2">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pPr>
            <w:r>
              <w:rPr>
                <w:rFonts w:hint="eastAsia" w:ascii="Times New Roman" w:eastAsia="新宋体" w:cs="Times New Roman"/>
                <w:snapToGrid w:val="0"/>
                <w:color w:val="000000" w:themeColor="text1"/>
                <w:kern w:val="21"/>
                <w:sz w:val="21"/>
                <w:szCs w:val="21"/>
                <w:lang w:val="en-US" w:eastAsia="zh-CN"/>
                <w14:textFill>
                  <w14:solidFill>
                    <w14:schemeClr w14:val="tx1"/>
                  </w14:solidFill>
                </w14:textFill>
              </w:rPr>
              <w:t>除尘灰</w:t>
            </w:r>
          </w:p>
        </w:tc>
        <w:tc>
          <w:tcPr>
            <w:tcW w:w="1560" w:type="dxa"/>
            <w:noWrap w:val="0"/>
            <w:vAlign w:val="center"/>
          </w:tcPr>
          <w:p w14:paraId="4F14EDD5">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134" w:type="dxa"/>
            <w:noWrap w:val="0"/>
            <w:vAlign w:val="center"/>
          </w:tcPr>
          <w:p w14:paraId="658F4121">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559" w:type="dxa"/>
            <w:noWrap w:val="0"/>
            <w:vAlign w:val="center"/>
          </w:tcPr>
          <w:p w14:paraId="6CE0882A">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559" w:type="dxa"/>
            <w:noWrap w:val="0"/>
            <w:vAlign w:val="center"/>
          </w:tcPr>
          <w:p w14:paraId="3591B85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7.2t/a</w:t>
            </w:r>
          </w:p>
        </w:tc>
        <w:tc>
          <w:tcPr>
            <w:tcW w:w="1701" w:type="dxa"/>
            <w:noWrap w:val="0"/>
            <w:vAlign w:val="center"/>
          </w:tcPr>
          <w:p w14:paraId="4526C582">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843" w:type="dxa"/>
            <w:noWrap w:val="0"/>
            <w:vAlign w:val="center"/>
          </w:tcPr>
          <w:p w14:paraId="5E2A4C4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7.2t/a</w:t>
            </w:r>
          </w:p>
        </w:tc>
        <w:tc>
          <w:tcPr>
            <w:tcW w:w="1569" w:type="dxa"/>
            <w:noWrap w:val="0"/>
            <w:vAlign w:val="center"/>
          </w:tcPr>
          <w:p w14:paraId="1147DD5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新宋体" w:cs="Times New Roman"/>
                <w:color w:val="000000" w:themeColor="text1"/>
                <w:sz w:val="21"/>
                <w:szCs w:val="21"/>
                <w:lang w:val="en-US" w:eastAsia="zh-CN"/>
                <w14:textFill>
                  <w14:solidFill>
                    <w14:schemeClr w14:val="tx1"/>
                  </w14:solidFill>
                </w14:textFill>
              </w:rPr>
            </w:pPr>
            <w:r>
              <w:rPr>
                <w:rFonts w:hint="eastAsia" w:eastAsia="新宋体" w:cs="Times New Roman"/>
                <w:color w:val="000000" w:themeColor="text1"/>
                <w:sz w:val="21"/>
                <w:szCs w:val="21"/>
                <w:lang w:val="en-US" w:eastAsia="zh-CN"/>
                <w14:textFill>
                  <w14:solidFill>
                    <w14:schemeClr w14:val="tx1"/>
                  </w14:solidFill>
                </w14:textFill>
              </w:rPr>
              <w:t>+7.2t/a</w:t>
            </w:r>
          </w:p>
        </w:tc>
      </w:tr>
      <w:tr w14:paraId="7100F1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restart"/>
            <w:noWrap w:val="0"/>
            <w:vAlign w:val="center"/>
          </w:tcPr>
          <w:p w14:paraId="5D24F9F6">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pPr>
            <w:r>
              <w:rPr>
                <w:rFonts w:hint="eastAsia" w:ascii="Times New Roman" w:eastAsia="新宋体" w:cs="Times New Roman"/>
                <w:snapToGrid w:val="0"/>
                <w:color w:val="000000" w:themeColor="text1"/>
                <w:kern w:val="21"/>
                <w:sz w:val="21"/>
                <w:szCs w:val="21"/>
                <w:lang w:val="en-US" w:eastAsia="zh-CN"/>
                <w14:textFill>
                  <w14:solidFill>
                    <w14:schemeClr w14:val="tx1"/>
                  </w14:solidFill>
                </w14:textFill>
              </w:rPr>
              <w:t>危险废物</w:t>
            </w:r>
          </w:p>
        </w:tc>
        <w:tc>
          <w:tcPr>
            <w:tcW w:w="1559" w:type="dxa"/>
            <w:noWrap w:val="0"/>
            <w:vAlign w:val="center"/>
          </w:tcPr>
          <w:p w14:paraId="562E0BCA">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eastAsia" w:ascii="Times New Roman" w:eastAsia="新宋体" w:cs="Times New Roman"/>
                <w:color w:val="000000" w:themeColor="text1"/>
                <w:sz w:val="21"/>
                <w:szCs w:val="21"/>
                <w:lang w:val="en-US" w:eastAsia="zh-CN"/>
                <w14:textFill>
                  <w14:solidFill>
                    <w14:schemeClr w14:val="tx1"/>
                  </w14:solidFill>
                </w14:textFill>
              </w:rPr>
              <w:t>废机油</w:t>
            </w:r>
          </w:p>
        </w:tc>
        <w:tc>
          <w:tcPr>
            <w:tcW w:w="1560" w:type="dxa"/>
            <w:noWrap w:val="0"/>
            <w:vAlign w:val="center"/>
          </w:tcPr>
          <w:p w14:paraId="6BEEE202">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134" w:type="dxa"/>
            <w:noWrap w:val="0"/>
            <w:vAlign w:val="center"/>
          </w:tcPr>
          <w:p w14:paraId="653ED60F">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559" w:type="dxa"/>
            <w:noWrap w:val="0"/>
            <w:vAlign w:val="center"/>
          </w:tcPr>
          <w:p w14:paraId="2004AC69">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559" w:type="dxa"/>
            <w:noWrap w:val="0"/>
            <w:vAlign w:val="center"/>
          </w:tcPr>
          <w:p w14:paraId="6B12E57B">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pPr>
            <w:r>
              <w:rPr>
                <w:rFonts w:hint="eastAsia" w:ascii="Times New Roman" w:eastAsia="新宋体" w:cs="Times New Roman"/>
                <w:snapToGrid w:val="0"/>
                <w:color w:val="000000" w:themeColor="text1"/>
                <w:kern w:val="21"/>
                <w:sz w:val="21"/>
                <w:szCs w:val="21"/>
                <w:lang w:val="en-US" w:eastAsia="zh-CN"/>
                <w14:textFill>
                  <w14:solidFill>
                    <w14:schemeClr w14:val="tx1"/>
                  </w14:solidFill>
                </w14:textFill>
              </w:rPr>
              <w:t>0.08t/a</w:t>
            </w:r>
          </w:p>
        </w:tc>
        <w:tc>
          <w:tcPr>
            <w:tcW w:w="1701" w:type="dxa"/>
            <w:noWrap w:val="0"/>
            <w:vAlign w:val="center"/>
          </w:tcPr>
          <w:p w14:paraId="6628CDEA">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843" w:type="dxa"/>
            <w:noWrap w:val="0"/>
            <w:vAlign w:val="center"/>
          </w:tcPr>
          <w:p w14:paraId="4DF49BD1">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lang w:val="en-US" w:eastAsia="zh-CN" w:bidi="ar-SA"/>
                <w14:textFill>
                  <w14:solidFill>
                    <w14:schemeClr w14:val="tx1"/>
                  </w14:solidFill>
                </w14:textFill>
              </w:rPr>
            </w:pPr>
            <w:r>
              <w:rPr>
                <w:rFonts w:hint="eastAsia" w:ascii="Times New Roman" w:eastAsia="新宋体" w:cs="Times New Roman"/>
                <w:snapToGrid w:val="0"/>
                <w:color w:val="000000" w:themeColor="text1"/>
                <w:kern w:val="21"/>
                <w:sz w:val="21"/>
                <w:szCs w:val="21"/>
                <w:lang w:val="en-US" w:eastAsia="zh-CN"/>
                <w14:textFill>
                  <w14:solidFill>
                    <w14:schemeClr w14:val="tx1"/>
                  </w14:solidFill>
                </w14:textFill>
              </w:rPr>
              <w:t>0.08t/a</w:t>
            </w:r>
          </w:p>
        </w:tc>
        <w:tc>
          <w:tcPr>
            <w:tcW w:w="1569" w:type="dxa"/>
            <w:noWrap w:val="0"/>
            <w:vAlign w:val="center"/>
          </w:tcPr>
          <w:p w14:paraId="2B127237">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lang w:val="en-US" w:eastAsia="zh-CN" w:bidi="ar-SA"/>
                <w14:textFill>
                  <w14:solidFill>
                    <w14:schemeClr w14:val="tx1"/>
                  </w14:solidFill>
                </w14:textFill>
              </w:rPr>
            </w:pPr>
            <w:r>
              <w:rPr>
                <w:rFonts w:hint="eastAsia" w:ascii="Times New Roman" w:eastAsia="新宋体" w:cs="Times New Roman"/>
                <w:snapToGrid w:val="0"/>
                <w:color w:val="000000" w:themeColor="text1"/>
                <w:kern w:val="21"/>
                <w:sz w:val="21"/>
                <w:szCs w:val="21"/>
                <w:lang w:val="en-US" w:eastAsia="zh-CN"/>
                <w14:textFill>
                  <w14:solidFill>
                    <w14:schemeClr w14:val="tx1"/>
                  </w14:solidFill>
                </w14:textFill>
              </w:rPr>
              <w:t>+0.08t/a</w:t>
            </w:r>
          </w:p>
        </w:tc>
      </w:tr>
      <w:tr w14:paraId="63D2EC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noWrap w:val="0"/>
            <w:vAlign w:val="center"/>
          </w:tcPr>
          <w:p w14:paraId="0212D36A">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14:textFill>
                  <w14:solidFill>
                    <w14:schemeClr w14:val="tx1"/>
                  </w14:solidFill>
                </w14:textFill>
              </w:rPr>
            </w:pPr>
          </w:p>
        </w:tc>
        <w:tc>
          <w:tcPr>
            <w:tcW w:w="1559" w:type="dxa"/>
            <w:noWrap w:val="0"/>
            <w:vAlign w:val="center"/>
          </w:tcPr>
          <w:p w14:paraId="3B77F5B5">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废油桶</w:t>
            </w:r>
          </w:p>
        </w:tc>
        <w:tc>
          <w:tcPr>
            <w:tcW w:w="1560" w:type="dxa"/>
            <w:noWrap w:val="0"/>
            <w:vAlign w:val="center"/>
          </w:tcPr>
          <w:p w14:paraId="21D71FF3">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134" w:type="dxa"/>
            <w:noWrap w:val="0"/>
            <w:vAlign w:val="center"/>
          </w:tcPr>
          <w:p w14:paraId="48F8EA8B">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559" w:type="dxa"/>
            <w:noWrap w:val="0"/>
            <w:vAlign w:val="center"/>
          </w:tcPr>
          <w:p w14:paraId="059EB21F">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559" w:type="dxa"/>
            <w:noWrap w:val="0"/>
            <w:vAlign w:val="center"/>
          </w:tcPr>
          <w:p w14:paraId="04F10C3D">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pPr>
            <w:r>
              <w:rPr>
                <w:rFonts w:hint="eastAsia" w:ascii="Times New Roman" w:eastAsia="新宋体" w:cs="Times New Roman"/>
                <w:snapToGrid w:val="0"/>
                <w:color w:val="000000" w:themeColor="text1"/>
                <w:kern w:val="21"/>
                <w:sz w:val="21"/>
                <w:szCs w:val="21"/>
                <w:lang w:val="en-US" w:eastAsia="zh-CN"/>
                <w14:textFill>
                  <w14:solidFill>
                    <w14:schemeClr w14:val="tx1"/>
                  </w14:solidFill>
                </w14:textFill>
              </w:rPr>
              <w:t>0.004t/a</w:t>
            </w:r>
          </w:p>
        </w:tc>
        <w:tc>
          <w:tcPr>
            <w:tcW w:w="1701" w:type="dxa"/>
            <w:noWrap w:val="0"/>
            <w:vAlign w:val="center"/>
          </w:tcPr>
          <w:p w14:paraId="048E3137">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14:textFill>
                  <w14:solidFill>
                    <w14:schemeClr w14:val="tx1"/>
                  </w14:solidFill>
                </w14:textFill>
              </w:rPr>
            </w:pPr>
            <w:r>
              <w:rPr>
                <w:rFonts w:hint="default" w:ascii="Times New Roman" w:hAnsi="Times New Roman" w:eastAsia="新宋体" w:cs="Times New Roman"/>
                <w:snapToGrid w:val="0"/>
                <w:color w:val="000000" w:themeColor="text1"/>
                <w:kern w:val="21"/>
                <w:sz w:val="21"/>
                <w:szCs w:val="21"/>
                <w:lang w:val="en-US" w:eastAsia="zh-CN"/>
                <w14:textFill>
                  <w14:solidFill>
                    <w14:schemeClr w14:val="tx1"/>
                  </w14:solidFill>
                </w14:textFill>
              </w:rPr>
              <w:t>/</w:t>
            </w:r>
          </w:p>
        </w:tc>
        <w:tc>
          <w:tcPr>
            <w:tcW w:w="1843" w:type="dxa"/>
            <w:noWrap w:val="0"/>
            <w:vAlign w:val="center"/>
          </w:tcPr>
          <w:p w14:paraId="765E17F8">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lang w:val="en-US" w:eastAsia="zh-CN" w:bidi="ar-SA"/>
                <w14:textFill>
                  <w14:solidFill>
                    <w14:schemeClr w14:val="tx1"/>
                  </w14:solidFill>
                </w14:textFill>
              </w:rPr>
            </w:pPr>
            <w:r>
              <w:rPr>
                <w:rFonts w:hint="eastAsia" w:ascii="Times New Roman" w:eastAsia="新宋体" w:cs="Times New Roman"/>
                <w:snapToGrid w:val="0"/>
                <w:color w:val="000000" w:themeColor="text1"/>
                <w:kern w:val="21"/>
                <w:sz w:val="21"/>
                <w:szCs w:val="21"/>
                <w:lang w:val="en-US" w:eastAsia="zh-CN"/>
                <w14:textFill>
                  <w14:solidFill>
                    <w14:schemeClr w14:val="tx1"/>
                  </w14:solidFill>
                </w14:textFill>
              </w:rPr>
              <w:t>0.004t/a</w:t>
            </w:r>
          </w:p>
        </w:tc>
        <w:tc>
          <w:tcPr>
            <w:tcW w:w="1569" w:type="dxa"/>
            <w:noWrap w:val="0"/>
            <w:vAlign w:val="center"/>
          </w:tcPr>
          <w:p w14:paraId="65AEDAAB">
            <w:pPr>
              <w:pStyle w:val="50"/>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新宋体" w:cs="Times New Roman"/>
                <w:snapToGrid w:val="0"/>
                <w:color w:val="000000" w:themeColor="text1"/>
                <w:kern w:val="21"/>
                <w:sz w:val="21"/>
                <w:szCs w:val="21"/>
                <w:lang w:val="en-US" w:eastAsia="zh-CN" w:bidi="ar-SA"/>
                <w14:textFill>
                  <w14:solidFill>
                    <w14:schemeClr w14:val="tx1"/>
                  </w14:solidFill>
                </w14:textFill>
              </w:rPr>
            </w:pPr>
            <w:r>
              <w:rPr>
                <w:rFonts w:hint="eastAsia" w:ascii="Times New Roman" w:eastAsia="新宋体" w:cs="Times New Roman"/>
                <w:snapToGrid w:val="0"/>
                <w:color w:val="000000" w:themeColor="text1"/>
                <w:kern w:val="21"/>
                <w:sz w:val="21"/>
                <w:szCs w:val="21"/>
                <w:lang w:val="en-US" w:eastAsia="zh-CN"/>
                <w14:textFill>
                  <w14:solidFill>
                    <w14:schemeClr w14:val="tx1"/>
                  </w14:solidFill>
                </w14:textFill>
              </w:rPr>
              <w:t>+0.004t/a</w:t>
            </w:r>
          </w:p>
        </w:tc>
      </w:tr>
    </w:tbl>
    <w:p w14:paraId="12F92CD1">
      <w:pPr>
        <w:pStyle w:val="50"/>
        <w:spacing w:before="192" w:beforeLines="80" w:after="24"/>
        <w:jc w:val="left"/>
        <w:rPr>
          <w:rFonts w:hint="default" w:ascii="Times New Roman" w:hAnsi="Times New Roman" w:eastAsia="新宋体" w:cs="Times New Roman"/>
          <w:color w:val="000000" w:themeColor="text1"/>
          <w14:textFill>
            <w14:solidFill>
              <w14:schemeClr w14:val="tx1"/>
            </w14:solidFill>
          </w14:textFill>
        </w:rPr>
      </w:pPr>
      <w:r>
        <w:rPr>
          <w:rFonts w:hint="default" w:ascii="Times New Roman" w:hAnsi="Times New Roman" w:eastAsia="新宋体" w:cs="Times New Roman"/>
          <w:snapToGrid w:val="0"/>
          <w:color w:val="000000" w:themeColor="text1"/>
          <w:kern w:val="21"/>
          <w:szCs w:val="21"/>
          <w14:textFill>
            <w14:solidFill>
              <w14:schemeClr w14:val="tx1"/>
            </w14:solidFill>
          </w14:textFill>
        </w:rPr>
        <w:t>注：</w:t>
      </w:r>
      <w:r>
        <w:rPr>
          <w:rFonts w:hint="default" w:ascii="Times New Roman" w:hAnsi="Times New Roman" w:eastAsia="新宋体"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eastAsia="新宋体" w:cs="Times New Roman"/>
          <w:snapToGrid w:val="0"/>
          <w:color w:val="000000" w:themeColor="text1"/>
          <w:spacing w:val="-16"/>
          <w:kern w:val="21"/>
          <w:szCs w:val="21"/>
          <w14:textFill>
            <w14:solidFill>
              <w14:schemeClr w14:val="tx1"/>
            </w14:solidFill>
          </w14:textFill>
        </w:rPr>
        <w:instrText xml:space="preserve"> = 6 \* GB3 \* MERGEFORMAT </w:instrText>
      </w:r>
      <w:r>
        <w:rPr>
          <w:rFonts w:hint="default" w:ascii="Times New Roman" w:hAnsi="Times New Roman" w:eastAsia="新宋体"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eastAsia="新宋体" w:cs="Times New Roman"/>
          <w:color w:val="000000" w:themeColor="text1"/>
          <w:szCs w:val="21"/>
          <w14:textFill>
            <w14:solidFill>
              <w14:schemeClr w14:val="tx1"/>
            </w14:solidFill>
          </w14:textFill>
        </w:rPr>
        <w:t>⑥</w:t>
      </w:r>
      <w:r>
        <w:rPr>
          <w:rFonts w:hint="default" w:ascii="Times New Roman" w:hAnsi="Times New Roman" w:eastAsia="新宋体" w:cs="Times New Roman"/>
          <w:snapToGrid w:val="0"/>
          <w:color w:val="000000" w:themeColor="text1"/>
          <w:spacing w:val="-16"/>
          <w:kern w:val="21"/>
          <w:szCs w:val="21"/>
          <w14:textFill>
            <w14:solidFill>
              <w14:schemeClr w14:val="tx1"/>
            </w14:solidFill>
          </w14:textFill>
        </w:rPr>
        <w:fldChar w:fldCharType="end"/>
      </w:r>
      <w:r>
        <w:rPr>
          <w:rFonts w:hint="default" w:ascii="Times New Roman" w:hAnsi="Times New Roman" w:eastAsia="新宋体" w:cs="Times New Roman"/>
          <w:snapToGrid w:val="0"/>
          <w:color w:val="000000" w:themeColor="text1"/>
          <w:spacing w:val="-16"/>
          <w:kern w:val="21"/>
          <w:szCs w:val="21"/>
          <w14:textFill>
            <w14:solidFill>
              <w14:schemeClr w14:val="tx1"/>
            </w14:solidFill>
          </w14:textFill>
        </w:rPr>
        <w:t>=</w:t>
      </w:r>
      <w:r>
        <w:rPr>
          <w:rFonts w:hint="default" w:ascii="Times New Roman" w:hAnsi="Times New Roman" w:eastAsia="新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新宋体" w:cs="Times New Roman"/>
          <w:snapToGrid w:val="0"/>
          <w:color w:val="000000" w:themeColor="text1"/>
          <w:spacing w:val="-6"/>
          <w:kern w:val="21"/>
          <w:szCs w:val="21"/>
          <w14:textFill>
            <w14:solidFill>
              <w14:schemeClr w14:val="tx1"/>
            </w14:solidFill>
          </w14:textFill>
        </w:rPr>
        <w:instrText xml:space="preserve"> = 1 \* GB3 \* MERGEFORMAT </w:instrText>
      </w:r>
      <w:r>
        <w:rPr>
          <w:rFonts w:hint="default" w:ascii="Times New Roman" w:hAnsi="Times New Roman" w:eastAsia="新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新宋体" w:cs="Times New Roman"/>
          <w:color w:val="000000" w:themeColor="text1"/>
          <w:szCs w:val="21"/>
          <w14:textFill>
            <w14:solidFill>
              <w14:schemeClr w14:val="tx1"/>
            </w14:solidFill>
          </w14:textFill>
        </w:rPr>
        <w:t>①</w:t>
      </w:r>
      <w:r>
        <w:rPr>
          <w:rFonts w:hint="default" w:ascii="Times New Roman" w:hAnsi="Times New Roman" w:eastAsia="新宋体"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eastAsia="新宋体" w:cs="Times New Roman"/>
          <w:snapToGrid w:val="0"/>
          <w:color w:val="000000" w:themeColor="text1"/>
          <w:spacing w:val="-6"/>
          <w:kern w:val="21"/>
          <w:szCs w:val="21"/>
          <w14:textFill>
            <w14:solidFill>
              <w14:schemeClr w14:val="tx1"/>
            </w14:solidFill>
          </w14:textFill>
        </w:rPr>
        <w:t>+</w:t>
      </w:r>
      <w:r>
        <w:rPr>
          <w:rFonts w:hint="default" w:ascii="Times New Roman" w:hAnsi="Times New Roman" w:eastAsia="新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新宋体" w:cs="Times New Roman"/>
          <w:snapToGrid w:val="0"/>
          <w:color w:val="000000" w:themeColor="text1"/>
          <w:spacing w:val="-6"/>
          <w:kern w:val="21"/>
          <w:szCs w:val="21"/>
          <w14:textFill>
            <w14:solidFill>
              <w14:schemeClr w14:val="tx1"/>
            </w14:solidFill>
          </w14:textFill>
        </w:rPr>
        <w:instrText xml:space="preserve"> = 3 \* GB3 \* MERGEFORMAT </w:instrText>
      </w:r>
      <w:r>
        <w:rPr>
          <w:rFonts w:hint="default" w:ascii="Times New Roman" w:hAnsi="Times New Roman" w:eastAsia="新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新宋体" w:cs="Times New Roman"/>
          <w:color w:val="000000" w:themeColor="text1"/>
          <w:szCs w:val="21"/>
          <w14:textFill>
            <w14:solidFill>
              <w14:schemeClr w14:val="tx1"/>
            </w14:solidFill>
          </w14:textFill>
        </w:rPr>
        <w:t>③</w:t>
      </w:r>
      <w:r>
        <w:rPr>
          <w:rFonts w:hint="default" w:ascii="Times New Roman" w:hAnsi="Times New Roman" w:eastAsia="新宋体"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eastAsia="新宋体" w:cs="Times New Roman"/>
          <w:snapToGrid w:val="0"/>
          <w:color w:val="000000" w:themeColor="text1"/>
          <w:spacing w:val="-6"/>
          <w:kern w:val="21"/>
          <w:szCs w:val="21"/>
          <w14:textFill>
            <w14:solidFill>
              <w14:schemeClr w14:val="tx1"/>
            </w14:solidFill>
          </w14:textFill>
        </w:rPr>
        <w:t>+</w:t>
      </w:r>
      <w:r>
        <w:rPr>
          <w:rFonts w:hint="default" w:ascii="Times New Roman" w:hAnsi="Times New Roman" w:eastAsia="新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新宋体" w:cs="Times New Roman"/>
          <w:snapToGrid w:val="0"/>
          <w:color w:val="000000" w:themeColor="text1"/>
          <w:spacing w:val="-6"/>
          <w:kern w:val="21"/>
          <w:szCs w:val="21"/>
          <w14:textFill>
            <w14:solidFill>
              <w14:schemeClr w14:val="tx1"/>
            </w14:solidFill>
          </w14:textFill>
        </w:rPr>
        <w:instrText xml:space="preserve"> = 4 \* GB3 \* MERGEFORMAT </w:instrText>
      </w:r>
      <w:r>
        <w:rPr>
          <w:rFonts w:hint="default" w:ascii="Times New Roman" w:hAnsi="Times New Roman" w:eastAsia="新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新宋体" w:cs="Times New Roman"/>
          <w:color w:val="000000" w:themeColor="text1"/>
          <w:szCs w:val="21"/>
          <w14:textFill>
            <w14:solidFill>
              <w14:schemeClr w14:val="tx1"/>
            </w14:solidFill>
          </w14:textFill>
        </w:rPr>
        <w:t>④</w:t>
      </w:r>
      <w:r>
        <w:rPr>
          <w:rFonts w:hint="default" w:ascii="Times New Roman" w:hAnsi="Times New Roman" w:eastAsia="新宋体"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eastAsia="新宋体" w:cs="Times New Roman"/>
          <w:snapToGrid w:val="0"/>
          <w:color w:val="000000" w:themeColor="text1"/>
          <w:spacing w:val="-6"/>
          <w:kern w:val="21"/>
          <w:szCs w:val="21"/>
          <w14:textFill>
            <w14:solidFill>
              <w14:schemeClr w14:val="tx1"/>
            </w14:solidFill>
          </w14:textFill>
        </w:rPr>
        <w:t>-</w:t>
      </w:r>
      <w:r>
        <w:rPr>
          <w:rFonts w:hint="default" w:ascii="Times New Roman" w:hAnsi="Times New Roman" w:eastAsia="新宋体"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eastAsia="新宋体" w:cs="Times New Roman"/>
          <w:snapToGrid w:val="0"/>
          <w:color w:val="000000" w:themeColor="text1"/>
          <w:spacing w:val="-16"/>
          <w:kern w:val="21"/>
          <w:szCs w:val="21"/>
          <w14:textFill>
            <w14:solidFill>
              <w14:schemeClr w14:val="tx1"/>
            </w14:solidFill>
          </w14:textFill>
        </w:rPr>
        <w:instrText xml:space="preserve"> = 5 \* GB3 \* MERGEFORMAT </w:instrText>
      </w:r>
      <w:r>
        <w:rPr>
          <w:rFonts w:hint="default" w:ascii="Times New Roman" w:hAnsi="Times New Roman" w:eastAsia="新宋体"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eastAsia="新宋体" w:cs="Times New Roman"/>
          <w:color w:val="000000" w:themeColor="text1"/>
          <w:szCs w:val="21"/>
          <w14:textFill>
            <w14:solidFill>
              <w14:schemeClr w14:val="tx1"/>
            </w14:solidFill>
          </w14:textFill>
        </w:rPr>
        <w:t>⑤</w:t>
      </w:r>
      <w:r>
        <w:rPr>
          <w:rFonts w:hint="default" w:ascii="Times New Roman" w:hAnsi="Times New Roman" w:eastAsia="新宋体" w:cs="Times New Roman"/>
          <w:snapToGrid w:val="0"/>
          <w:color w:val="000000" w:themeColor="text1"/>
          <w:spacing w:val="-16"/>
          <w:kern w:val="21"/>
          <w:szCs w:val="21"/>
          <w14:textFill>
            <w14:solidFill>
              <w14:schemeClr w14:val="tx1"/>
            </w14:solidFill>
          </w14:textFill>
        </w:rPr>
        <w:fldChar w:fldCharType="end"/>
      </w:r>
      <w:r>
        <w:rPr>
          <w:rFonts w:hint="default" w:ascii="Times New Roman" w:hAnsi="Times New Roman" w:eastAsia="新宋体" w:cs="Times New Roman"/>
          <w:snapToGrid w:val="0"/>
          <w:color w:val="000000" w:themeColor="text1"/>
          <w:spacing w:val="-16"/>
          <w:kern w:val="21"/>
          <w:szCs w:val="21"/>
          <w14:textFill>
            <w14:solidFill>
              <w14:schemeClr w14:val="tx1"/>
            </w14:solidFill>
          </w14:textFill>
        </w:rPr>
        <w:t>；</w:t>
      </w:r>
      <w:r>
        <w:rPr>
          <w:rFonts w:hint="default" w:ascii="Times New Roman" w:hAnsi="Times New Roman" w:eastAsia="新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新宋体" w:cs="Times New Roman"/>
          <w:snapToGrid w:val="0"/>
          <w:color w:val="000000" w:themeColor="text1"/>
          <w:spacing w:val="-6"/>
          <w:kern w:val="21"/>
          <w:szCs w:val="21"/>
          <w14:textFill>
            <w14:solidFill>
              <w14:schemeClr w14:val="tx1"/>
            </w14:solidFill>
          </w14:textFill>
        </w:rPr>
        <w:instrText xml:space="preserve"> = 7 \* GB3 \* MERGEFORMAT </w:instrText>
      </w:r>
      <w:r>
        <w:rPr>
          <w:rFonts w:hint="default" w:ascii="Times New Roman" w:hAnsi="Times New Roman" w:eastAsia="新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新宋体" w:cs="Times New Roman"/>
          <w:color w:val="000000" w:themeColor="text1"/>
          <w:szCs w:val="21"/>
          <w14:textFill>
            <w14:solidFill>
              <w14:schemeClr w14:val="tx1"/>
            </w14:solidFill>
          </w14:textFill>
        </w:rPr>
        <w:t>⑦</w:t>
      </w:r>
      <w:r>
        <w:rPr>
          <w:rFonts w:hint="default" w:ascii="Times New Roman" w:hAnsi="Times New Roman" w:eastAsia="新宋体"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eastAsia="新宋体" w:cs="Times New Roman"/>
          <w:snapToGrid w:val="0"/>
          <w:color w:val="000000" w:themeColor="text1"/>
          <w:spacing w:val="-6"/>
          <w:kern w:val="21"/>
          <w:szCs w:val="21"/>
          <w14:textFill>
            <w14:solidFill>
              <w14:schemeClr w14:val="tx1"/>
            </w14:solidFill>
          </w14:textFill>
        </w:rPr>
        <w:t>=</w:t>
      </w:r>
      <w:r>
        <w:rPr>
          <w:rFonts w:hint="default" w:ascii="Times New Roman" w:hAnsi="Times New Roman" w:eastAsia="新宋体"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eastAsia="新宋体" w:cs="Times New Roman"/>
          <w:snapToGrid w:val="0"/>
          <w:color w:val="000000" w:themeColor="text1"/>
          <w:spacing w:val="-16"/>
          <w:kern w:val="21"/>
          <w:szCs w:val="21"/>
          <w14:textFill>
            <w14:solidFill>
              <w14:schemeClr w14:val="tx1"/>
            </w14:solidFill>
          </w14:textFill>
        </w:rPr>
        <w:instrText xml:space="preserve"> = 6 \* GB3 \* MERGEFORMAT </w:instrText>
      </w:r>
      <w:r>
        <w:rPr>
          <w:rFonts w:hint="default" w:ascii="Times New Roman" w:hAnsi="Times New Roman" w:eastAsia="新宋体"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eastAsia="新宋体" w:cs="Times New Roman"/>
          <w:color w:val="000000" w:themeColor="text1"/>
          <w:szCs w:val="21"/>
          <w14:textFill>
            <w14:solidFill>
              <w14:schemeClr w14:val="tx1"/>
            </w14:solidFill>
          </w14:textFill>
        </w:rPr>
        <w:t>⑥</w:t>
      </w:r>
      <w:r>
        <w:rPr>
          <w:rFonts w:hint="default" w:ascii="Times New Roman" w:hAnsi="Times New Roman" w:eastAsia="新宋体" w:cs="Times New Roman"/>
          <w:snapToGrid w:val="0"/>
          <w:color w:val="000000" w:themeColor="text1"/>
          <w:spacing w:val="-16"/>
          <w:kern w:val="21"/>
          <w:szCs w:val="21"/>
          <w14:textFill>
            <w14:solidFill>
              <w14:schemeClr w14:val="tx1"/>
            </w14:solidFill>
          </w14:textFill>
        </w:rPr>
        <w:fldChar w:fldCharType="end"/>
      </w:r>
      <w:r>
        <w:rPr>
          <w:rFonts w:hint="default" w:ascii="Times New Roman" w:hAnsi="Times New Roman" w:eastAsia="新宋体" w:cs="Times New Roman"/>
          <w:snapToGrid w:val="0"/>
          <w:color w:val="000000" w:themeColor="text1"/>
          <w:spacing w:val="-16"/>
          <w:kern w:val="21"/>
          <w:szCs w:val="21"/>
          <w14:textFill>
            <w14:solidFill>
              <w14:schemeClr w14:val="tx1"/>
            </w14:solidFill>
          </w14:textFill>
        </w:rPr>
        <w:t>-</w:t>
      </w:r>
      <w:r>
        <w:rPr>
          <w:rFonts w:hint="default" w:ascii="Times New Roman" w:hAnsi="Times New Roman" w:eastAsia="新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新宋体" w:cs="Times New Roman"/>
          <w:snapToGrid w:val="0"/>
          <w:color w:val="000000" w:themeColor="text1"/>
          <w:spacing w:val="-6"/>
          <w:kern w:val="21"/>
          <w:szCs w:val="21"/>
          <w14:textFill>
            <w14:solidFill>
              <w14:schemeClr w14:val="tx1"/>
            </w14:solidFill>
          </w14:textFill>
        </w:rPr>
        <w:instrText xml:space="preserve"> = 1 \* GB3 \* MERGEFORMAT </w:instrText>
      </w:r>
      <w:r>
        <w:rPr>
          <w:rFonts w:hint="default" w:ascii="Times New Roman" w:hAnsi="Times New Roman" w:eastAsia="新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新宋体" w:cs="Times New Roman"/>
          <w:color w:val="000000" w:themeColor="text1"/>
          <w:szCs w:val="21"/>
          <w14:textFill>
            <w14:solidFill>
              <w14:schemeClr w14:val="tx1"/>
            </w14:solidFill>
          </w14:textFill>
        </w:rPr>
        <w:t>①</w:t>
      </w:r>
      <w:r>
        <w:rPr>
          <w:rFonts w:hint="default" w:ascii="Times New Roman" w:hAnsi="Times New Roman" w:eastAsia="新宋体" w:cs="Times New Roman"/>
          <w:snapToGrid w:val="0"/>
          <w:color w:val="000000" w:themeColor="text1"/>
          <w:spacing w:val="-6"/>
          <w:kern w:val="21"/>
          <w:szCs w:val="21"/>
          <w14:textFill>
            <w14:solidFill>
              <w14:schemeClr w14:val="tx1"/>
            </w14:solidFill>
          </w14:textFill>
        </w:rPr>
        <w:fldChar w:fldCharType="end"/>
      </w:r>
    </w:p>
    <w:sectPr>
      <w:footerReference r:id="rId7"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auto"/>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3AF8F">
    <w:pPr>
      <w:pStyle w:val="17"/>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95901B6">
                          <w:pPr>
                            <w:pStyle w:val="17"/>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7/4Ej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v/gSN0CAAAmBgAADgAAAAAAAAABACAAAAAfAQAAZHJzL2Uyb0RvYy54bWxQSwUG&#10;AAAAAAYABgBZAQAAbgYAAAAA&#10;">
              <v:fill on="f" focussize="0,0"/>
              <v:stroke on="f" weight="0.5pt"/>
              <v:imagedata o:title=""/>
              <o:lock v:ext="edit" aspectratio="f"/>
              <v:textbox inset="0mm,0mm,0mm,0mm" style="mso-fit-shape-to-text:t;">
                <w:txbxContent>
                  <w:p w14:paraId="495901B6">
                    <w:pPr>
                      <w:pStyle w:val="17"/>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B6D71">
    <w:pPr>
      <w:pStyle w:val="17"/>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D674674">
                          <w:pPr>
                            <w:pStyle w:val="17"/>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A3uL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jA3uLeAgAAJgYAAA4AAAAAAAAAAQAgAAAAHwEAAGRycy9lMm9Eb2MueG1sUEsF&#10;BgAAAAAGAAYAWQEAAG8GAAAAAA==&#10;">
              <v:fill on="f" focussize="0,0"/>
              <v:stroke on="f" weight="0.5pt"/>
              <v:imagedata o:title=""/>
              <o:lock v:ext="edit" aspectratio="f"/>
              <v:textbox inset="0mm,0mm,0mm,0mm" style="mso-fit-shape-to-text:t;">
                <w:txbxContent>
                  <w:p w14:paraId="4D674674">
                    <w:pPr>
                      <w:pStyle w:val="17"/>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BF0D3">
    <w:pPr>
      <w:pStyle w:val="18"/>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3160A9"/>
    <w:multiLevelType w:val="singleLevel"/>
    <w:tmpl w:val="FF3160A9"/>
    <w:lvl w:ilvl="0" w:tentative="0">
      <w:start w:val="1"/>
      <w:numFmt w:val="bullet"/>
      <w:pStyle w:val="14"/>
      <w:lvlText w:val=""/>
      <w:lvlJc w:val="left"/>
      <w:pPr>
        <w:tabs>
          <w:tab w:val="left" w:pos="2040"/>
        </w:tabs>
        <w:ind w:left="2040" w:hanging="360"/>
      </w:pPr>
      <w:rPr>
        <w:rFonts w:hint="default" w:ascii="Wingdings" w:hAnsi="Wingdings"/>
      </w:rPr>
    </w:lvl>
  </w:abstractNum>
  <w:abstractNum w:abstractNumId="1">
    <w:nsid w:val="1E211E64"/>
    <w:multiLevelType w:val="multilevel"/>
    <w:tmpl w:val="1E211E64"/>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pStyle w:val="19"/>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1NmM0YmRlYjQ0NzI1YWJjMDM1YTE2NjZjMzEwZmYifQ=="/>
  </w:docVars>
  <w:rsids>
    <w:rsidRoot w:val="00172A27"/>
    <w:rsid w:val="0001134B"/>
    <w:rsid w:val="00014149"/>
    <w:rsid w:val="00021D6E"/>
    <w:rsid w:val="00021FD4"/>
    <w:rsid w:val="00022090"/>
    <w:rsid w:val="00023CED"/>
    <w:rsid w:val="00026D9C"/>
    <w:rsid w:val="00026F41"/>
    <w:rsid w:val="0003079B"/>
    <w:rsid w:val="00031DE1"/>
    <w:rsid w:val="00050115"/>
    <w:rsid w:val="00051B5D"/>
    <w:rsid w:val="0005412B"/>
    <w:rsid w:val="00062312"/>
    <w:rsid w:val="00063519"/>
    <w:rsid w:val="00066277"/>
    <w:rsid w:val="0006662C"/>
    <w:rsid w:val="000667D3"/>
    <w:rsid w:val="00074CD5"/>
    <w:rsid w:val="000847E7"/>
    <w:rsid w:val="0009182D"/>
    <w:rsid w:val="00094D52"/>
    <w:rsid w:val="00096DD6"/>
    <w:rsid w:val="000A1E95"/>
    <w:rsid w:val="000A23BB"/>
    <w:rsid w:val="000A41AE"/>
    <w:rsid w:val="000B39A8"/>
    <w:rsid w:val="000C4B2A"/>
    <w:rsid w:val="000C7093"/>
    <w:rsid w:val="000D0072"/>
    <w:rsid w:val="000D2E51"/>
    <w:rsid w:val="00100067"/>
    <w:rsid w:val="001009C9"/>
    <w:rsid w:val="0010777C"/>
    <w:rsid w:val="00120C41"/>
    <w:rsid w:val="001238DE"/>
    <w:rsid w:val="00124346"/>
    <w:rsid w:val="00125F3E"/>
    <w:rsid w:val="001317C4"/>
    <w:rsid w:val="001410B2"/>
    <w:rsid w:val="00145940"/>
    <w:rsid w:val="0015616D"/>
    <w:rsid w:val="00157AA7"/>
    <w:rsid w:val="00161C0F"/>
    <w:rsid w:val="001621E5"/>
    <w:rsid w:val="001624B9"/>
    <w:rsid w:val="0018498E"/>
    <w:rsid w:val="00187739"/>
    <w:rsid w:val="00192652"/>
    <w:rsid w:val="001936AC"/>
    <w:rsid w:val="001953BA"/>
    <w:rsid w:val="001A34BF"/>
    <w:rsid w:val="001A6A1C"/>
    <w:rsid w:val="001B6C00"/>
    <w:rsid w:val="001C0CEA"/>
    <w:rsid w:val="001D478E"/>
    <w:rsid w:val="001D6459"/>
    <w:rsid w:val="001E1BB6"/>
    <w:rsid w:val="001E6377"/>
    <w:rsid w:val="001E7C8A"/>
    <w:rsid w:val="001F07BD"/>
    <w:rsid w:val="00202923"/>
    <w:rsid w:val="00207A42"/>
    <w:rsid w:val="00213E6B"/>
    <w:rsid w:val="00231C58"/>
    <w:rsid w:val="00236C9A"/>
    <w:rsid w:val="00236F33"/>
    <w:rsid w:val="0024262B"/>
    <w:rsid w:val="00244F54"/>
    <w:rsid w:val="002451AE"/>
    <w:rsid w:val="002565BA"/>
    <w:rsid w:val="00271F42"/>
    <w:rsid w:val="0027505C"/>
    <w:rsid w:val="00277FD7"/>
    <w:rsid w:val="00284286"/>
    <w:rsid w:val="00290116"/>
    <w:rsid w:val="002975B5"/>
    <w:rsid w:val="002A61EA"/>
    <w:rsid w:val="002A621A"/>
    <w:rsid w:val="002A773E"/>
    <w:rsid w:val="002B03F2"/>
    <w:rsid w:val="002C33A7"/>
    <w:rsid w:val="002D25FD"/>
    <w:rsid w:val="002D7D7A"/>
    <w:rsid w:val="002F1889"/>
    <w:rsid w:val="00304E8B"/>
    <w:rsid w:val="00307BB7"/>
    <w:rsid w:val="00313749"/>
    <w:rsid w:val="003205A3"/>
    <w:rsid w:val="00322B76"/>
    <w:rsid w:val="00323096"/>
    <w:rsid w:val="003256DE"/>
    <w:rsid w:val="00327AE2"/>
    <w:rsid w:val="00331B41"/>
    <w:rsid w:val="00342EB4"/>
    <w:rsid w:val="00346368"/>
    <w:rsid w:val="003502E1"/>
    <w:rsid w:val="00351F4A"/>
    <w:rsid w:val="00355091"/>
    <w:rsid w:val="003575E9"/>
    <w:rsid w:val="00360706"/>
    <w:rsid w:val="00373599"/>
    <w:rsid w:val="00380AD8"/>
    <w:rsid w:val="003833EF"/>
    <w:rsid w:val="00383A9B"/>
    <w:rsid w:val="00394BFB"/>
    <w:rsid w:val="00397AB4"/>
    <w:rsid w:val="003B1C37"/>
    <w:rsid w:val="003B40C0"/>
    <w:rsid w:val="003B4186"/>
    <w:rsid w:val="003B4D30"/>
    <w:rsid w:val="003B63A7"/>
    <w:rsid w:val="003C6DD7"/>
    <w:rsid w:val="003D57BD"/>
    <w:rsid w:val="003F2D78"/>
    <w:rsid w:val="003F7475"/>
    <w:rsid w:val="00410563"/>
    <w:rsid w:val="00415A85"/>
    <w:rsid w:val="00416227"/>
    <w:rsid w:val="00421D91"/>
    <w:rsid w:val="00424838"/>
    <w:rsid w:val="004349DF"/>
    <w:rsid w:val="004459BE"/>
    <w:rsid w:val="004506E3"/>
    <w:rsid w:val="00451D75"/>
    <w:rsid w:val="004524E1"/>
    <w:rsid w:val="00453825"/>
    <w:rsid w:val="00455A65"/>
    <w:rsid w:val="004634EF"/>
    <w:rsid w:val="00467400"/>
    <w:rsid w:val="00467725"/>
    <w:rsid w:val="00472770"/>
    <w:rsid w:val="00473210"/>
    <w:rsid w:val="004851C3"/>
    <w:rsid w:val="004A0032"/>
    <w:rsid w:val="004A52D5"/>
    <w:rsid w:val="004B479B"/>
    <w:rsid w:val="004C40ED"/>
    <w:rsid w:val="004C611E"/>
    <w:rsid w:val="004D5174"/>
    <w:rsid w:val="004E0990"/>
    <w:rsid w:val="004E1B4E"/>
    <w:rsid w:val="004E4086"/>
    <w:rsid w:val="004F770C"/>
    <w:rsid w:val="004F7E57"/>
    <w:rsid w:val="005006BB"/>
    <w:rsid w:val="00503349"/>
    <w:rsid w:val="005047EB"/>
    <w:rsid w:val="00506886"/>
    <w:rsid w:val="00516E66"/>
    <w:rsid w:val="005262E1"/>
    <w:rsid w:val="0055136C"/>
    <w:rsid w:val="005610C1"/>
    <w:rsid w:val="00563133"/>
    <w:rsid w:val="005652B2"/>
    <w:rsid w:val="00583071"/>
    <w:rsid w:val="00587E80"/>
    <w:rsid w:val="00590903"/>
    <w:rsid w:val="005922C3"/>
    <w:rsid w:val="005A177D"/>
    <w:rsid w:val="005A22F3"/>
    <w:rsid w:val="005A6005"/>
    <w:rsid w:val="005B4102"/>
    <w:rsid w:val="005D0084"/>
    <w:rsid w:val="005D0227"/>
    <w:rsid w:val="005E6A79"/>
    <w:rsid w:val="005E6AED"/>
    <w:rsid w:val="005F0A0F"/>
    <w:rsid w:val="005F46F0"/>
    <w:rsid w:val="005F6BDE"/>
    <w:rsid w:val="005F77E2"/>
    <w:rsid w:val="00610373"/>
    <w:rsid w:val="00610433"/>
    <w:rsid w:val="00612AF7"/>
    <w:rsid w:val="006206D1"/>
    <w:rsid w:val="00623DD0"/>
    <w:rsid w:val="0062479B"/>
    <w:rsid w:val="00644BDD"/>
    <w:rsid w:val="00655D47"/>
    <w:rsid w:val="00656E81"/>
    <w:rsid w:val="00660161"/>
    <w:rsid w:val="006649EE"/>
    <w:rsid w:val="00666767"/>
    <w:rsid w:val="0066715B"/>
    <w:rsid w:val="006703D0"/>
    <w:rsid w:val="00675B10"/>
    <w:rsid w:val="00686B39"/>
    <w:rsid w:val="0068773B"/>
    <w:rsid w:val="00691B68"/>
    <w:rsid w:val="006920BA"/>
    <w:rsid w:val="006A08A2"/>
    <w:rsid w:val="006A2187"/>
    <w:rsid w:val="006A470F"/>
    <w:rsid w:val="006B591A"/>
    <w:rsid w:val="006B5D6A"/>
    <w:rsid w:val="006C1A3E"/>
    <w:rsid w:val="006D19CE"/>
    <w:rsid w:val="006E5008"/>
    <w:rsid w:val="006F0D19"/>
    <w:rsid w:val="00704B6B"/>
    <w:rsid w:val="007107A5"/>
    <w:rsid w:val="0072287F"/>
    <w:rsid w:val="00724198"/>
    <w:rsid w:val="00725729"/>
    <w:rsid w:val="00730E4A"/>
    <w:rsid w:val="00744342"/>
    <w:rsid w:val="00756210"/>
    <w:rsid w:val="007569E9"/>
    <w:rsid w:val="007572AF"/>
    <w:rsid w:val="007617A4"/>
    <w:rsid w:val="007629EE"/>
    <w:rsid w:val="00763205"/>
    <w:rsid w:val="00763480"/>
    <w:rsid w:val="00763572"/>
    <w:rsid w:val="00765019"/>
    <w:rsid w:val="00782A90"/>
    <w:rsid w:val="0079348B"/>
    <w:rsid w:val="00795F45"/>
    <w:rsid w:val="007A1AE7"/>
    <w:rsid w:val="007A4FC6"/>
    <w:rsid w:val="007C3BC2"/>
    <w:rsid w:val="007C50E9"/>
    <w:rsid w:val="007D779D"/>
    <w:rsid w:val="007E43C6"/>
    <w:rsid w:val="007E6FF5"/>
    <w:rsid w:val="007F451B"/>
    <w:rsid w:val="007F6DA4"/>
    <w:rsid w:val="007F7127"/>
    <w:rsid w:val="00806ED8"/>
    <w:rsid w:val="00816895"/>
    <w:rsid w:val="008205BE"/>
    <w:rsid w:val="0082778E"/>
    <w:rsid w:val="008278F7"/>
    <w:rsid w:val="00842A5A"/>
    <w:rsid w:val="008527EE"/>
    <w:rsid w:val="0085334C"/>
    <w:rsid w:val="0085570B"/>
    <w:rsid w:val="00865DFC"/>
    <w:rsid w:val="00866E65"/>
    <w:rsid w:val="0086736E"/>
    <w:rsid w:val="00871C50"/>
    <w:rsid w:val="00881148"/>
    <w:rsid w:val="00890DF6"/>
    <w:rsid w:val="00895A13"/>
    <w:rsid w:val="00896A9D"/>
    <w:rsid w:val="008B3D6D"/>
    <w:rsid w:val="008C1014"/>
    <w:rsid w:val="008C1701"/>
    <w:rsid w:val="008C64D5"/>
    <w:rsid w:val="008D771F"/>
    <w:rsid w:val="008F00C9"/>
    <w:rsid w:val="008F3704"/>
    <w:rsid w:val="008F640A"/>
    <w:rsid w:val="00915381"/>
    <w:rsid w:val="00920588"/>
    <w:rsid w:val="00921508"/>
    <w:rsid w:val="00925F9F"/>
    <w:rsid w:val="009329B2"/>
    <w:rsid w:val="009352D7"/>
    <w:rsid w:val="00935352"/>
    <w:rsid w:val="00936DD8"/>
    <w:rsid w:val="0095120C"/>
    <w:rsid w:val="00951E48"/>
    <w:rsid w:val="00953B57"/>
    <w:rsid w:val="00957353"/>
    <w:rsid w:val="00962723"/>
    <w:rsid w:val="0096702D"/>
    <w:rsid w:val="00973590"/>
    <w:rsid w:val="00980970"/>
    <w:rsid w:val="00983709"/>
    <w:rsid w:val="009A641B"/>
    <w:rsid w:val="009A73B9"/>
    <w:rsid w:val="009C1E95"/>
    <w:rsid w:val="009C7EEF"/>
    <w:rsid w:val="009E46B6"/>
    <w:rsid w:val="009F0788"/>
    <w:rsid w:val="009F54B4"/>
    <w:rsid w:val="009F570D"/>
    <w:rsid w:val="009F60A0"/>
    <w:rsid w:val="009F76FC"/>
    <w:rsid w:val="00A04811"/>
    <w:rsid w:val="00A13D90"/>
    <w:rsid w:val="00A20325"/>
    <w:rsid w:val="00A203B8"/>
    <w:rsid w:val="00A278A1"/>
    <w:rsid w:val="00A35044"/>
    <w:rsid w:val="00A363AF"/>
    <w:rsid w:val="00A442DF"/>
    <w:rsid w:val="00A508FD"/>
    <w:rsid w:val="00A54048"/>
    <w:rsid w:val="00A75A2F"/>
    <w:rsid w:val="00A83796"/>
    <w:rsid w:val="00A86274"/>
    <w:rsid w:val="00A92038"/>
    <w:rsid w:val="00A92CF4"/>
    <w:rsid w:val="00AA2764"/>
    <w:rsid w:val="00AA3859"/>
    <w:rsid w:val="00AB4FDD"/>
    <w:rsid w:val="00AE23AB"/>
    <w:rsid w:val="00AE5786"/>
    <w:rsid w:val="00AF6129"/>
    <w:rsid w:val="00B02C0A"/>
    <w:rsid w:val="00B07931"/>
    <w:rsid w:val="00B1335D"/>
    <w:rsid w:val="00B2331A"/>
    <w:rsid w:val="00B25084"/>
    <w:rsid w:val="00B536CC"/>
    <w:rsid w:val="00B5732E"/>
    <w:rsid w:val="00B6105C"/>
    <w:rsid w:val="00B61081"/>
    <w:rsid w:val="00B6293A"/>
    <w:rsid w:val="00B63D4C"/>
    <w:rsid w:val="00B65333"/>
    <w:rsid w:val="00B7404F"/>
    <w:rsid w:val="00B76CD2"/>
    <w:rsid w:val="00BA3F68"/>
    <w:rsid w:val="00BA6497"/>
    <w:rsid w:val="00BA686D"/>
    <w:rsid w:val="00BA70E8"/>
    <w:rsid w:val="00BB0EF5"/>
    <w:rsid w:val="00BB1BB3"/>
    <w:rsid w:val="00BB1D36"/>
    <w:rsid w:val="00BC714F"/>
    <w:rsid w:val="00BD39CD"/>
    <w:rsid w:val="00BD47D4"/>
    <w:rsid w:val="00BE11DA"/>
    <w:rsid w:val="00BE2E77"/>
    <w:rsid w:val="00BF2664"/>
    <w:rsid w:val="00C00A98"/>
    <w:rsid w:val="00C04F61"/>
    <w:rsid w:val="00C10808"/>
    <w:rsid w:val="00C121EE"/>
    <w:rsid w:val="00C13253"/>
    <w:rsid w:val="00C13453"/>
    <w:rsid w:val="00C27A0F"/>
    <w:rsid w:val="00C319EC"/>
    <w:rsid w:val="00C32309"/>
    <w:rsid w:val="00C4085E"/>
    <w:rsid w:val="00C4535C"/>
    <w:rsid w:val="00C6199F"/>
    <w:rsid w:val="00C832EE"/>
    <w:rsid w:val="00C86408"/>
    <w:rsid w:val="00C933EB"/>
    <w:rsid w:val="00C950D0"/>
    <w:rsid w:val="00CA5E2B"/>
    <w:rsid w:val="00CB380B"/>
    <w:rsid w:val="00CC2E84"/>
    <w:rsid w:val="00CC50D9"/>
    <w:rsid w:val="00CD1085"/>
    <w:rsid w:val="00CD2BCC"/>
    <w:rsid w:val="00CD35B0"/>
    <w:rsid w:val="00CD4443"/>
    <w:rsid w:val="00CD5DA8"/>
    <w:rsid w:val="00CD670A"/>
    <w:rsid w:val="00CE206A"/>
    <w:rsid w:val="00CE7557"/>
    <w:rsid w:val="00D110F8"/>
    <w:rsid w:val="00D135D3"/>
    <w:rsid w:val="00D1386F"/>
    <w:rsid w:val="00D14DD6"/>
    <w:rsid w:val="00D17E35"/>
    <w:rsid w:val="00D25542"/>
    <w:rsid w:val="00D27C22"/>
    <w:rsid w:val="00D27D49"/>
    <w:rsid w:val="00D34228"/>
    <w:rsid w:val="00D363F4"/>
    <w:rsid w:val="00D42660"/>
    <w:rsid w:val="00D56F5E"/>
    <w:rsid w:val="00D63E51"/>
    <w:rsid w:val="00D67327"/>
    <w:rsid w:val="00D72A6F"/>
    <w:rsid w:val="00D75294"/>
    <w:rsid w:val="00D77EF7"/>
    <w:rsid w:val="00D83E4B"/>
    <w:rsid w:val="00D9510B"/>
    <w:rsid w:val="00DA473F"/>
    <w:rsid w:val="00DB372E"/>
    <w:rsid w:val="00DB7FF1"/>
    <w:rsid w:val="00DC1110"/>
    <w:rsid w:val="00DC261E"/>
    <w:rsid w:val="00DC2919"/>
    <w:rsid w:val="00DC5EB9"/>
    <w:rsid w:val="00DC67F0"/>
    <w:rsid w:val="00DD1A31"/>
    <w:rsid w:val="00DD7579"/>
    <w:rsid w:val="00DF0A8A"/>
    <w:rsid w:val="00DF2229"/>
    <w:rsid w:val="00DF5A07"/>
    <w:rsid w:val="00E04720"/>
    <w:rsid w:val="00E20DD8"/>
    <w:rsid w:val="00E220D0"/>
    <w:rsid w:val="00E2215B"/>
    <w:rsid w:val="00E22F9A"/>
    <w:rsid w:val="00E3391A"/>
    <w:rsid w:val="00E51BD0"/>
    <w:rsid w:val="00E56C27"/>
    <w:rsid w:val="00E602D1"/>
    <w:rsid w:val="00E61585"/>
    <w:rsid w:val="00E6432D"/>
    <w:rsid w:val="00E67835"/>
    <w:rsid w:val="00E71C57"/>
    <w:rsid w:val="00E76E86"/>
    <w:rsid w:val="00E86969"/>
    <w:rsid w:val="00E967B0"/>
    <w:rsid w:val="00E96C62"/>
    <w:rsid w:val="00EA16B4"/>
    <w:rsid w:val="00EA5FD4"/>
    <w:rsid w:val="00EB3F46"/>
    <w:rsid w:val="00EC4E37"/>
    <w:rsid w:val="00ED4196"/>
    <w:rsid w:val="00ED5986"/>
    <w:rsid w:val="00ED6962"/>
    <w:rsid w:val="00ED7008"/>
    <w:rsid w:val="00ED7839"/>
    <w:rsid w:val="00EE1D18"/>
    <w:rsid w:val="00EE6B9D"/>
    <w:rsid w:val="00EF0D07"/>
    <w:rsid w:val="00EF30EA"/>
    <w:rsid w:val="00EF3467"/>
    <w:rsid w:val="00F074CC"/>
    <w:rsid w:val="00F10B0C"/>
    <w:rsid w:val="00F20098"/>
    <w:rsid w:val="00F21075"/>
    <w:rsid w:val="00F216B0"/>
    <w:rsid w:val="00F2299A"/>
    <w:rsid w:val="00F2453E"/>
    <w:rsid w:val="00F3395A"/>
    <w:rsid w:val="00F6190D"/>
    <w:rsid w:val="00F64342"/>
    <w:rsid w:val="00F66CF1"/>
    <w:rsid w:val="00F76826"/>
    <w:rsid w:val="00F854B6"/>
    <w:rsid w:val="00FA4F7F"/>
    <w:rsid w:val="00FB5FE0"/>
    <w:rsid w:val="00FC0918"/>
    <w:rsid w:val="00FC6E9B"/>
    <w:rsid w:val="00FD4493"/>
    <w:rsid w:val="00FE5AD7"/>
    <w:rsid w:val="00FF3D71"/>
    <w:rsid w:val="010075EB"/>
    <w:rsid w:val="016E1B95"/>
    <w:rsid w:val="017061E0"/>
    <w:rsid w:val="01787946"/>
    <w:rsid w:val="017F459E"/>
    <w:rsid w:val="01AC1015"/>
    <w:rsid w:val="01B906EA"/>
    <w:rsid w:val="01C71988"/>
    <w:rsid w:val="01CB30F3"/>
    <w:rsid w:val="01F70A73"/>
    <w:rsid w:val="023D0B8F"/>
    <w:rsid w:val="025B2DC4"/>
    <w:rsid w:val="026C71DF"/>
    <w:rsid w:val="028B0017"/>
    <w:rsid w:val="028D5A88"/>
    <w:rsid w:val="02B075ED"/>
    <w:rsid w:val="02F84FFF"/>
    <w:rsid w:val="0333098C"/>
    <w:rsid w:val="03345AEF"/>
    <w:rsid w:val="03365A06"/>
    <w:rsid w:val="034505B5"/>
    <w:rsid w:val="034C5500"/>
    <w:rsid w:val="036265F3"/>
    <w:rsid w:val="03773F45"/>
    <w:rsid w:val="03A643D6"/>
    <w:rsid w:val="03CA2EDE"/>
    <w:rsid w:val="03D352CC"/>
    <w:rsid w:val="03D62D88"/>
    <w:rsid w:val="03E671F6"/>
    <w:rsid w:val="0443024F"/>
    <w:rsid w:val="045B6337"/>
    <w:rsid w:val="04687234"/>
    <w:rsid w:val="04D356AB"/>
    <w:rsid w:val="04DA1F6F"/>
    <w:rsid w:val="04DC7DA2"/>
    <w:rsid w:val="04EC7179"/>
    <w:rsid w:val="05244BF5"/>
    <w:rsid w:val="05372E04"/>
    <w:rsid w:val="054F61DB"/>
    <w:rsid w:val="05507636"/>
    <w:rsid w:val="0569197B"/>
    <w:rsid w:val="058E2E91"/>
    <w:rsid w:val="05952629"/>
    <w:rsid w:val="05A46B75"/>
    <w:rsid w:val="062973DE"/>
    <w:rsid w:val="06374124"/>
    <w:rsid w:val="06647EC8"/>
    <w:rsid w:val="066F5090"/>
    <w:rsid w:val="0679310A"/>
    <w:rsid w:val="06897080"/>
    <w:rsid w:val="06976186"/>
    <w:rsid w:val="069B543A"/>
    <w:rsid w:val="06C15548"/>
    <w:rsid w:val="07091A73"/>
    <w:rsid w:val="07156C2A"/>
    <w:rsid w:val="0750342D"/>
    <w:rsid w:val="076D3E07"/>
    <w:rsid w:val="07A04684"/>
    <w:rsid w:val="07BD45C5"/>
    <w:rsid w:val="07C86470"/>
    <w:rsid w:val="07DF7355"/>
    <w:rsid w:val="07FF76F7"/>
    <w:rsid w:val="080812C8"/>
    <w:rsid w:val="083828DC"/>
    <w:rsid w:val="08641983"/>
    <w:rsid w:val="089D4136"/>
    <w:rsid w:val="08FE43E1"/>
    <w:rsid w:val="090304F1"/>
    <w:rsid w:val="09312402"/>
    <w:rsid w:val="096D77AB"/>
    <w:rsid w:val="0A0B3BAC"/>
    <w:rsid w:val="0A186667"/>
    <w:rsid w:val="0A3D72FF"/>
    <w:rsid w:val="0A705610"/>
    <w:rsid w:val="0A7118DB"/>
    <w:rsid w:val="0A7C1F4C"/>
    <w:rsid w:val="0A7F5749"/>
    <w:rsid w:val="0AFE6E12"/>
    <w:rsid w:val="0B06708F"/>
    <w:rsid w:val="0B194C7C"/>
    <w:rsid w:val="0B194EB6"/>
    <w:rsid w:val="0B417214"/>
    <w:rsid w:val="0B576D17"/>
    <w:rsid w:val="0B6409E9"/>
    <w:rsid w:val="0B6E1DBA"/>
    <w:rsid w:val="0B9A5592"/>
    <w:rsid w:val="0BA247DA"/>
    <w:rsid w:val="0BA2519C"/>
    <w:rsid w:val="0BCA6B22"/>
    <w:rsid w:val="0BD61033"/>
    <w:rsid w:val="0C0B76AA"/>
    <w:rsid w:val="0C1F7963"/>
    <w:rsid w:val="0C2F6020"/>
    <w:rsid w:val="0CE8738B"/>
    <w:rsid w:val="0D11407A"/>
    <w:rsid w:val="0D176D22"/>
    <w:rsid w:val="0D1A32D4"/>
    <w:rsid w:val="0D203A08"/>
    <w:rsid w:val="0D3B5703"/>
    <w:rsid w:val="0D766FF6"/>
    <w:rsid w:val="0DAE7580"/>
    <w:rsid w:val="0DB77EC4"/>
    <w:rsid w:val="0DD84EFB"/>
    <w:rsid w:val="0DE46291"/>
    <w:rsid w:val="0DF72D6B"/>
    <w:rsid w:val="0E016F15"/>
    <w:rsid w:val="0E036964"/>
    <w:rsid w:val="0E3B46A0"/>
    <w:rsid w:val="0E40004D"/>
    <w:rsid w:val="0E5D1E8A"/>
    <w:rsid w:val="0E672353"/>
    <w:rsid w:val="0EA26568"/>
    <w:rsid w:val="0EE14702"/>
    <w:rsid w:val="0EF07BBE"/>
    <w:rsid w:val="0F24676E"/>
    <w:rsid w:val="0F3D764B"/>
    <w:rsid w:val="0F3E165A"/>
    <w:rsid w:val="0F5357B9"/>
    <w:rsid w:val="0F590C68"/>
    <w:rsid w:val="0F637817"/>
    <w:rsid w:val="0F7A4A94"/>
    <w:rsid w:val="0F893846"/>
    <w:rsid w:val="0FA77648"/>
    <w:rsid w:val="0FBC30F4"/>
    <w:rsid w:val="0FFA64DD"/>
    <w:rsid w:val="10991391"/>
    <w:rsid w:val="10B42E41"/>
    <w:rsid w:val="10CA1840"/>
    <w:rsid w:val="10DE0889"/>
    <w:rsid w:val="10E93161"/>
    <w:rsid w:val="10F35EDA"/>
    <w:rsid w:val="11136996"/>
    <w:rsid w:val="112C046B"/>
    <w:rsid w:val="11496C09"/>
    <w:rsid w:val="114C50AA"/>
    <w:rsid w:val="115C286F"/>
    <w:rsid w:val="11AC49FA"/>
    <w:rsid w:val="11E00A5D"/>
    <w:rsid w:val="11E2055C"/>
    <w:rsid w:val="12005730"/>
    <w:rsid w:val="120A0749"/>
    <w:rsid w:val="12A51329"/>
    <w:rsid w:val="12AA6B10"/>
    <w:rsid w:val="12CB70C5"/>
    <w:rsid w:val="12DB6CB6"/>
    <w:rsid w:val="12F15453"/>
    <w:rsid w:val="12FE73A6"/>
    <w:rsid w:val="13105586"/>
    <w:rsid w:val="133B07D3"/>
    <w:rsid w:val="13991F19"/>
    <w:rsid w:val="13E56D69"/>
    <w:rsid w:val="1407310B"/>
    <w:rsid w:val="14397D52"/>
    <w:rsid w:val="14455B2E"/>
    <w:rsid w:val="14725914"/>
    <w:rsid w:val="14850746"/>
    <w:rsid w:val="14A43FC5"/>
    <w:rsid w:val="14AC2477"/>
    <w:rsid w:val="14EE4F96"/>
    <w:rsid w:val="14EF1875"/>
    <w:rsid w:val="14EF6105"/>
    <w:rsid w:val="14F71427"/>
    <w:rsid w:val="150808D7"/>
    <w:rsid w:val="150866BF"/>
    <w:rsid w:val="153E5FD3"/>
    <w:rsid w:val="154E3E8A"/>
    <w:rsid w:val="155861D9"/>
    <w:rsid w:val="159D60C5"/>
    <w:rsid w:val="15A563D8"/>
    <w:rsid w:val="15CD64BB"/>
    <w:rsid w:val="15CF72EE"/>
    <w:rsid w:val="15E74B22"/>
    <w:rsid w:val="15F93AD9"/>
    <w:rsid w:val="169A6D37"/>
    <w:rsid w:val="16BC57E5"/>
    <w:rsid w:val="16C6644A"/>
    <w:rsid w:val="16DD507F"/>
    <w:rsid w:val="16DE519B"/>
    <w:rsid w:val="17435EC2"/>
    <w:rsid w:val="175476AC"/>
    <w:rsid w:val="17751119"/>
    <w:rsid w:val="17A4103D"/>
    <w:rsid w:val="17AC44F8"/>
    <w:rsid w:val="17C45A78"/>
    <w:rsid w:val="17CA481C"/>
    <w:rsid w:val="17CF04B1"/>
    <w:rsid w:val="17D510CE"/>
    <w:rsid w:val="17E458DD"/>
    <w:rsid w:val="17E97372"/>
    <w:rsid w:val="182B5120"/>
    <w:rsid w:val="182E539D"/>
    <w:rsid w:val="18363C5F"/>
    <w:rsid w:val="18394EBC"/>
    <w:rsid w:val="184C2670"/>
    <w:rsid w:val="18CA582F"/>
    <w:rsid w:val="19061D94"/>
    <w:rsid w:val="19137AFC"/>
    <w:rsid w:val="19815ECD"/>
    <w:rsid w:val="19A4034B"/>
    <w:rsid w:val="19C47E09"/>
    <w:rsid w:val="19C8203C"/>
    <w:rsid w:val="1A324173"/>
    <w:rsid w:val="1A373492"/>
    <w:rsid w:val="1A535D25"/>
    <w:rsid w:val="1A7A45E9"/>
    <w:rsid w:val="1A7F5400"/>
    <w:rsid w:val="1A9B29AE"/>
    <w:rsid w:val="1A9D7350"/>
    <w:rsid w:val="1ABF31AA"/>
    <w:rsid w:val="1B346BA5"/>
    <w:rsid w:val="1B4510CA"/>
    <w:rsid w:val="1B4639E1"/>
    <w:rsid w:val="1B7B3A5E"/>
    <w:rsid w:val="1BA8254C"/>
    <w:rsid w:val="1BC715CC"/>
    <w:rsid w:val="1C24274C"/>
    <w:rsid w:val="1C4D5C7C"/>
    <w:rsid w:val="1C605C74"/>
    <w:rsid w:val="1C686409"/>
    <w:rsid w:val="1C745F84"/>
    <w:rsid w:val="1C76396F"/>
    <w:rsid w:val="1CEF5C85"/>
    <w:rsid w:val="1CFB7D84"/>
    <w:rsid w:val="1CFB7E6A"/>
    <w:rsid w:val="1D146F1B"/>
    <w:rsid w:val="1D1F7181"/>
    <w:rsid w:val="1D322C47"/>
    <w:rsid w:val="1D4B3D09"/>
    <w:rsid w:val="1D58788A"/>
    <w:rsid w:val="1D5C6884"/>
    <w:rsid w:val="1D787AD8"/>
    <w:rsid w:val="1D882683"/>
    <w:rsid w:val="1D9D61B1"/>
    <w:rsid w:val="1DB66AB8"/>
    <w:rsid w:val="1DFE7A38"/>
    <w:rsid w:val="1E234546"/>
    <w:rsid w:val="1E334EC9"/>
    <w:rsid w:val="1E394A25"/>
    <w:rsid w:val="1E3C61EF"/>
    <w:rsid w:val="1E4E10D5"/>
    <w:rsid w:val="1E771DB6"/>
    <w:rsid w:val="1E7A38FD"/>
    <w:rsid w:val="1E821D91"/>
    <w:rsid w:val="1E9B6AB6"/>
    <w:rsid w:val="1ED55F08"/>
    <w:rsid w:val="1F2B7C29"/>
    <w:rsid w:val="1F47640B"/>
    <w:rsid w:val="1F7673B3"/>
    <w:rsid w:val="1F7F413E"/>
    <w:rsid w:val="1F833C2E"/>
    <w:rsid w:val="1F9B3AB6"/>
    <w:rsid w:val="1FE85AEB"/>
    <w:rsid w:val="202C1A80"/>
    <w:rsid w:val="202D6BDD"/>
    <w:rsid w:val="20340A84"/>
    <w:rsid w:val="20626A10"/>
    <w:rsid w:val="20815C2F"/>
    <w:rsid w:val="20963476"/>
    <w:rsid w:val="20A82D0E"/>
    <w:rsid w:val="20C53DD2"/>
    <w:rsid w:val="21162880"/>
    <w:rsid w:val="21997739"/>
    <w:rsid w:val="22106A67"/>
    <w:rsid w:val="22183599"/>
    <w:rsid w:val="22254A78"/>
    <w:rsid w:val="224D1CF5"/>
    <w:rsid w:val="227C6AFC"/>
    <w:rsid w:val="229A5115"/>
    <w:rsid w:val="22CE3649"/>
    <w:rsid w:val="230A304D"/>
    <w:rsid w:val="23442217"/>
    <w:rsid w:val="234C6D29"/>
    <w:rsid w:val="235D1D88"/>
    <w:rsid w:val="23AE1314"/>
    <w:rsid w:val="23AE2B38"/>
    <w:rsid w:val="23CD191B"/>
    <w:rsid w:val="23EA3AFB"/>
    <w:rsid w:val="23F142AC"/>
    <w:rsid w:val="240422BD"/>
    <w:rsid w:val="24225184"/>
    <w:rsid w:val="24354A7E"/>
    <w:rsid w:val="24424F22"/>
    <w:rsid w:val="244267B1"/>
    <w:rsid w:val="244B1B4E"/>
    <w:rsid w:val="24545B99"/>
    <w:rsid w:val="2492156B"/>
    <w:rsid w:val="24C90FD0"/>
    <w:rsid w:val="25184375"/>
    <w:rsid w:val="25473378"/>
    <w:rsid w:val="25552C67"/>
    <w:rsid w:val="259A1829"/>
    <w:rsid w:val="259A42AB"/>
    <w:rsid w:val="259B6E49"/>
    <w:rsid w:val="25D407F8"/>
    <w:rsid w:val="25D95672"/>
    <w:rsid w:val="261B741D"/>
    <w:rsid w:val="26380C61"/>
    <w:rsid w:val="26635137"/>
    <w:rsid w:val="268246C1"/>
    <w:rsid w:val="26A344CD"/>
    <w:rsid w:val="26A812B9"/>
    <w:rsid w:val="26AF1090"/>
    <w:rsid w:val="26B06FDF"/>
    <w:rsid w:val="26C675E9"/>
    <w:rsid w:val="26C85C45"/>
    <w:rsid w:val="26DE3DB2"/>
    <w:rsid w:val="27200AEF"/>
    <w:rsid w:val="272652E2"/>
    <w:rsid w:val="275D3832"/>
    <w:rsid w:val="277A7FB5"/>
    <w:rsid w:val="27A964B4"/>
    <w:rsid w:val="27C42838"/>
    <w:rsid w:val="27DC16AD"/>
    <w:rsid w:val="27F236F6"/>
    <w:rsid w:val="280E5D0F"/>
    <w:rsid w:val="28177792"/>
    <w:rsid w:val="285A700A"/>
    <w:rsid w:val="289D577B"/>
    <w:rsid w:val="289D744E"/>
    <w:rsid w:val="28AA48CF"/>
    <w:rsid w:val="28AD7DA1"/>
    <w:rsid w:val="28C22466"/>
    <w:rsid w:val="28D923F4"/>
    <w:rsid w:val="28EA6772"/>
    <w:rsid w:val="290C07F0"/>
    <w:rsid w:val="29244ED7"/>
    <w:rsid w:val="296F6E5A"/>
    <w:rsid w:val="29804B06"/>
    <w:rsid w:val="29AE7AF9"/>
    <w:rsid w:val="29C877A7"/>
    <w:rsid w:val="29F924A3"/>
    <w:rsid w:val="2A2C1A7C"/>
    <w:rsid w:val="2A813329"/>
    <w:rsid w:val="2A8730D9"/>
    <w:rsid w:val="2AB73EBA"/>
    <w:rsid w:val="2ABC7FF4"/>
    <w:rsid w:val="2AD75697"/>
    <w:rsid w:val="2B3C3CBF"/>
    <w:rsid w:val="2B617D5A"/>
    <w:rsid w:val="2B63669B"/>
    <w:rsid w:val="2B7F510D"/>
    <w:rsid w:val="2B867927"/>
    <w:rsid w:val="2B8C09FD"/>
    <w:rsid w:val="2BB533FC"/>
    <w:rsid w:val="2BFE75D2"/>
    <w:rsid w:val="2C0448FF"/>
    <w:rsid w:val="2C1C3281"/>
    <w:rsid w:val="2C63625D"/>
    <w:rsid w:val="2CA71F6B"/>
    <w:rsid w:val="2CF85846"/>
    <w:rsid w:val="2D114428"/>
    <w:rsid w:val="2D151688"/>
    <w:rsid w:val="2D580113"/>
    <w:rsid w:val="2D684463"/>
    <w:rsid w:val="2D954B46"/>
    <w:rsid w:val="2DC772E9"/>
    <w:rsid w:val="2DD37107"/>
    <w:rsid w:val="2E2C594D"/>
    <w:rsid w:val="2E4657E4"/>
    <w:rsid w:val="2E813A2E"/>
    <w:rsid w:val="2EAB6111"/>
    <w:rsid w:val="2ED206D1"/>
    <w:rsid w:val="2EDE3101"/>
    <w:rsid w:val="2F38321F"/>
    <w:rsid w:val="2F400E55"/>
    <w:rsid w:val="2F6625AB"/>
    <w:rsid w:val="2F8A6724"/>
    <w:rsid w:val="2F9E26F2"/>
    <w:rsid w:val="2F9E2A31"/>
    <w:rsid w:val="2FD6122A"/>
    <w:rsid w:val="2FD667BA"/>
    <w:rsid w:val="2FE07B7A"/>
    <w:rsid w:val="2FF60336"/>
    <w:rsid w:val="30170931"/>
    <w:rsid w:val="306131F5"/>
    <w:rsid w:val="307D6477"/>
    <w:rsid w:val="308316E5"/>
    <w:rsid w:val="3089084B"/>
    <w:rsid w:val="30AF7FEE"/>
    <w:rsid w:val="30C26C21"/>
    <w:rsid w:val="30ED53AB"/>
    <w:rsid w:val="30EF1C9A"/>
    <w:rsid w:val="30F228C9"/>
    <w:rsid w:val="31730FD6"/>
    <w:rsid w:val="31877160"/>
    <w:rsid w:val="319A560D"/>
    <w:rsid w:val="31CD174F"/>
    <w:rsid w:val="31DC5931"/>
    <w:rsid w:val="3204315F"/>
    <w:rsid w:val="32131E71"/>
    <w:rsid w:val="326638E2"/>
    <w:rsid w:val="32735994"/>
    <w:rsid w:val="329638A5"/>
    <w:rsid w:val="329F4483"/>
    <w:rsid w:val="32AF3B2E"/>
    <w:rsid w:val="32FA3AFF"/>
    <w:rsid w:val="330D71B6"/>
    <w:rsid w:val="33226E62"/>
    <w:rsid w:val="33260700"/>
    <w:rsid w:val="334B4FFB"/>
    <w:rsid w:val="334D1608"/>
    <w:rsid w:val="336E0BD2"/>
    <w:rsid w:val="33772725"/>
    <w:rsid w:val="33D16FC3"/>
    <w:rsid w:val="341541E9"/>
    <w:rsid w:val="343E2B5D"/>
    <w:rsid w:val="3498562E"/>
    <w:rsid w:val="34E70CC6"/>
    <w:rsid w:val="3506401B"/>
    <w:rsid w:val="35174FB0"/>
    <w:rsid w:val="358F6EBA"/>
    <w:rsid w:val="35A31C32"/>
    <w:rsid w:val="35D54660"/>
    <w:rsid w:val="361E6EE4"/>
    <w:rsid w:val="36277E89"/>
    <w:rsid w:val="363B4418"/>
    <w:rsid w:val="364D069A"/>
    <w:rsid w:val="365A1352"/>
    <w:rsid w:val="366B17C1"/>
    <w:rsid w:val="36D54D7E"/>
    <w:rsid w:val="36D6068F"/>
    <w:rsid w:val="36E41617"/>
    <w:rsid w:val="36FB0C74"/>
    <w:rsid w:val="374D3BF9"/>
    <w:rsid w:val="375821D1"/>
    <w:rsid w:val="377121BD"/>
    <w:rsid w:val="37826EC6"/>
    <w:rsid w:val="3785286C"/>
    <w:rsid w:val="379361B2"/>
    <w:rsid w:val="37C354C8"/>
    <w:rsid w:val="37EE310F"/>
    <w:rsid w:val="37EE7A86"/>
    <w:rsid w:val="37F039D3"/>
    <w:rsid w:val="3815537B"/>
    <w:rsid w:val="38214CA2"/>
    <w:rsid w:val="383A6258"/>
    <w:rsid w:val="38A523A3"/>
    <w:rsid w:val="38C22C79"/>
    <w:rsid w:val="38E551E7"/>
    <w:rsid w:val="39103BDF"/>
    <w:rsid w:val="393E7219"/>
    <w:rsid w:val="394E6C03"/>
    <w:rsid w:val="39634E37"/>
    <w:rsid w:val="39A82299"/>
    <w:rsid w:val="39BD04F5"/>
    <w:rsid w:val="39C52809"/>
    <w:rsid w:val="39E20AA0"/>
    <w:rsid w:val="3A0930C9"/>
    <w:rsid w:val="3A1A31C9"/>
    <w:rsid w:val="3A3E27D3"/>
    <w:rsid w:val="3A5E6AB5"/>
    <w:rsid w:val="3A8B1791"/>
    <w:rsid w:val="3B4A7AE9"/>
    <w:rsid w:val="3B643D0F"/>
    <w:rsid w:val="3B6B2052"/>
    <w:rsid w:val="3B707D2D"/>
    <w:rsid w:val="3BB526A6"/>
    <w:rsid w:val="3C50082A"/>
    <w:rsid w:val="3C744B15"/>
    <w:rsid w:val="3C9D0326"/>
    <w:rsid w:val="3CCC31F3"/>
    <w:rsid w:val="3D0B23F6"/>
    <w:rsid w:val="3D136D99"/>
    <w:rsid w:val="3D171F98"/>
    <w:rsid w:val="3D26377B"/>
    <w:rsid w:val="3D553B92"/>
    <w:rsid w:val="3D7A7084"/>
    <w:rsid w:val="3DC76226"/>
    <w:rsid w:val="3DD80821"/>
    <w:rsid w:val="3DDC3ACC"/>
    <w:rsid w:val="3DF84306"/>
    <w:rsid w:val="3E1A56BE"/>
    <w:rsid w:val="3E1B294B"/>
    <w:rsid w:val="3E3A7A10"/>
    <w:rsid w:val="3E761C5E"/>
    <w:rsid w:val="3E8F6181"/>
    <w:rsid w:val="3F060465"/>
    <w:rsid w:val="3F1E2127"/>
    <w:rsid w:val="3F3452BE"/>
    <w:rsid w:val="3F761497"/>
    <w:rsid w:val="3FC245C0"/>
    <w:rsid w:val="3FCF3ECE"/>
    <w:rsid w:val="3FE9114D"/>
    <w:rsid w:val="3FE956A6"/>
    <w:rsid w:val="4000220C"/>
    <w:rsid w:val="400554DE"/>
    <w:rsid w:val="40712601"/>
    <w:rsid w:val="407965F1"/>
    <w:rsid w:val="40913CEB"/>
    <w:rsid w:val="409550E5"/>
    <w:rsid w:val="40B36390"/>
    <w:rsid w:val="40C15F0C"/>
    <w:rsid w:val="40F51B2E"/>
    <w:rsid w:val="41590D34"/>
    <w:rsid w:val="41D8350E"/>
    <w:rsid w:val="41E06579"/>
    <w:rsid w:val="41FF4F3E"/>
    <w:rsid w:val="420844F7"/>
    <w:rsid w:val="422B2EE6"/>
    <w:rsid w:val="422C5FA3"/>
    <w:rsid w:val="424D38D4"/>
    <w:rsid w:val="42586B91"/>
    <w:rsid w:val="428B7207"/>
    <w:rsid w:val="42C61E00"/>
    <w:rsid w:val="42C84B4E"/>
    <w:rsid w:val="42D36818"/>
    <w:rsid w:val="42F119C2"/>
    <w:rsid w:val="431C49A3"/>
    <w:rsid w:val="43243F9D"/>
    <w:rsid w:val="43A86909"/>
    <w:rsid w:val="43AF023B"/>
    <w:rsid w:val="43D42E6F"/>
    <w:rsid w:val="43F97F09"/>
    <w:rsid w:val="44557804"/>
    <w:rsid w:val="44B1076D"/>
    <w:rsid w:val="44B67331"/>
    <w:rsid w:val="44D40BD5"/>
    <w:rsid w:val="44F95BE3"/>
    <w:rsid w:val="45051215"/>
    <w:rsid w:val="45152478"/>
    <w:rsid w:val="45252F50"/>
    <w:rsid w:val="45256FF3"/>
    <w:rsid w:val="454C278D"/>
    <w:rsid w:val="457C4AF8"/>
    <w:rsid w:val="4589059C"/>
    <w:rsid w:val="45DB429F"/>
    <w:rsid w:val="460923A1"/>
    <w:rsid w:val="460A5C60"/>
    <w:rsid w:val="462C6FB6"/>
    <w:rsid w:val="46431172"/>
    <w:rsid w:val="46732C5A"/>
    <w:rsid w:val="46CF766D"/>
    <w:rsid w:val="47065959"/>
    <w:rsid w:val="4749258A"/>
    <w:rsid w:val="47630E51"/>
    <w:rsid w:val="4778690E"/>
    <w:rsid w:val="47884B8B"/>
    <w:rsid w:val="47CA3281"/>
    <w:rsid w:val="47D919D0"/>
    <w:rsid w:val="47FF20C1"/>
    <w:rsid w:val="480B2B0A"/>
    <w:rsid w:val="48280C6A"/>
    <w:rsid w:val="48662DA9"/>
    <w:rsid w:val="487F419C"/>
    <w:rsid w:val="48B452E0"/>
    <w:rsid w:val="48C5154A"/>
    <w:rsid w:val="48CF5BF8"/>
    <w:rsid w:val="48DC37A7"/>
    <w:rsid w:val="48E534ED"/>
    <w:rsid w:val="48F36E7F"/>
    <w:rsid w:val="49024146"/>
    <w:rsid w:val="4941408E"/>
    <w:rsid w:val="496A5E1F"/>
    <w:rsid w:val="499F72A2"/>
    <w:rsid w:val="49DA0D30"/>
    <w:rsid w:val="49EB5DA8"/>
    <w:rsid w:val="49F033BE"/>
    <w:rsid w:val="4A280D86"/>
    <w:rsid w:val="4A616EBA"/>
    <w:rsid w:val="4A806386"/>
    <w:rsid w:val="4A897A9B"/>
    <w:rsid w:val="4A954692"/>
    <w:rsid w:val="4AC458E1"/>
    <w:rsid w:val="4B013AD5"/>
    <w:rsid w:val="4B2058B1"/>
    <w:rsid w:val="4B390D16"/>
    <w:rsid w:val="4B3C5387"/>
    <w:rsid w:val="4B500A30"/>
    <w:rsid w:val="4B6B4193"/>
    <w:rsid w:val="4C0E1B80"/>
    <w:rsid w:val="4C404CBC"/>
    <w:rsid w:val="4C6A7458"/>
    <w:rsid w:val="4C6B1E5E"/>
    <w:rsid w:val="4C7B1857"/>
    <w:rsid w:val="4C8F75A7"/>
    <w:rsid w:val="4C9D11F4"/>
    <w:rsid w:val="4D023B34"/>
    <w:rsid w:val="4D350D98"/>
    <w:rsid w:val="4D4D261B"/>
    <w:rsid w:val="4D51524B"/>
    <w:rsid w:val="4D6C4121"/>
    <w:rsid w:val="4D6E40A1"/>
    <w:rsid w:val="4DD705CC"/>
    <w:rsid w:val="4DE80F7C"/>
    <w:rsid w:val="4E5D63B9"/>
    <w:rsid w:val="4E760336"/>
    <w:rsid w:val="4E9734A1"/>
    <w:rsid w:val="4E9A6CE2"/>
    <w:rsid w:val="4EBD46FA"/>
    <w:rsid w:val="4EDF3A83"/>
    <w:rsid w:val="4EEC314D"/>
    <w:rsid w:val="4EF43951"/>
    <w:rsid w:val="4F0F5E4C"/>
    <w:rsid w:val="4F167A5A"/>
    <w:rsid w:val="4F1B138F"/>
    <w:rsid w:val="4F1B57FE"/>
    <w:rsid w:val="4F2223EC"/>
    <w:rsid w:val="4F2904A7"/>
    <w:rsid w:val="4F597A80"/>
    <w:rsid w:val="4F780A0E"/>
    <w:rsid w:val="4F802680"/>
    <w:rsid w:val="4FDB6AA9"/>
    <w:rsid w:val="5005678B"/>
    <w:rsid w:val="50087459"/>
    <w:rsid w:val="50192196"/>
    <w:rsid w:val="503B3B92"/>
    <w:rsid w:val="5040235C"/>
    <w:rsid w:val="509E01F5"/>
    <w:rsid w:val="50A8750A"/>
    <w:rsid w:val="50D82904"/>
    <w:rsid w:val="50E502BE"/>
    <w:rsid w:val="51084A63"/>
    <w:rsid w:val="512674DF"/>
    <w:rsid w:val="51306BB7"/>
    <w:rsid w:val="5143452A"/>
    <w:rsid w:val="514839CF"/>
    <w:rsid w:val="51A61C82"/>
    <w:rsid w:val="51BB56C9"/>
    <w:rsid w:val="51FA77A2"/>
    <w:rsid w:val="5223246F"/>
    <w:rsid w:val="525D49C0"/>
    <w:rsid w:val="527D2A63"/>
    <w:rsid w:val="52B700B6"/>
    <w:rsid w:val="52C635C9"/>
    <w:rsid w:val="52CE3A49"/>
    <w:rsid w:val="52DF3028"/>
    <w:rsid w:val="5311687F"/>
    <w:rsid w:val="536201B6"/>
    <w:rsid w:val="5375106D"/>
    <w:rsid w:val="537A4BDE"/>
    <w:rsid w:val="53813B01"/>
    <w:rsid w:val="53872AC4"/>
    <w:rsid w:val="539D7ECB"/>
    <w:rsid w:val="53DB0ACB"/>
    <w:rsid w:val="540232AD"/>
    <w:rsid w:val="54744A2E"/>
    <w:rsid w:val="548F3230"/>
    <w:rsid w:val="54B23468"/>
    <w:rsid w:val="54E029AD"/>
    <w:rsid w:val="55191AEA"/>
    <w:rsid w:val="554931DA"/>
    <w:rsid w:val="55591962"/>
    <w:rsid w:val="55885EC4"/>
    <w:rsid w:val="559A2EA4"/>
    <w:rsid w:val="559F24D3"/>
    <w:rsid w:val="55B20C25"/>
    <w:rsid w:val="55B855EA"/>
    <w:rsid w:val="55B94108"/>
    <w:rsid w:val="55F67590"/>
    <w:rsid w:val="5615636F"/>
    <w:rsid w:val="5681102D"/>
    <w:rsid w:val="56AE438F"/>
    <w:rsid w:val="56BC3274"/>
    <w:rsid w:val="56DE51EC"/>
    <w:rsid w:val="56F444EE"/>
    <w:rsid w:val="56FD3BE3"/>
    <w:rsid w:val="57172250"/>
    <w:rsid w:val="571B33B8"/>
    <w:rsid w:val="57340467"/>
    <w:rsid w:val="575E7524"/>
    <w:rsid w:val="577802D8"/>
    <w:rsid w:val="579E6758"/>
    <w:rsid w:val="579F633F"/>
    <w:rsid w:val="57CB544E"/>
    <w:rsid w:val="580A06A9"/>
    <w:rsid w:val="58252522"/>
    <w:rsid w:val="583E5133"/>
    <w:rsid w:val="586E3D95"/>
    <w:rsid w:val="58762A72"/>
    <w:rsid w:val="588224C8"/>
    <w:rsid w:val="58D1558C"/>
    <w:rsid w:val="59335C0C"/>
    <w:rsid w:val="5943153C"/>
    <w:rsid w:val="597F3282"/>
    <w:rsid w:val="59951984"/>
    <w:rsid w:val="59BE39CA"/>
    <w:rsid w:val="5A1062D5"/>
    <w:rsid w:val="5A12434D"/>
    <w:rsid w:val="5A136A7D"/>
    <w:rsid w:val="5A160972"/>
    <w:rsid w:val="5A191000"/>
    <w:rsid w:val="5A227D28"/>
    <w:rsid w:val="5A657F59"/>
    <w:rsid w:val="5A6C2199"/>
    <w:rsid w:val="5A6C25A5"/>
    <w:rsid w:val="5A79496C"/>
    <w:rsid w:val="5A9E3917"/>
    <w:rsid w:val="5AA8091D"/>
    <w:rsid w:val="5B0373F5"/>
    <w:rsid w:val="5B217439"/>
    <w:rsid w:val="5B6A1223"/>
    <w:rsid w:val="5B875F96"/>
    <w:rsid w:val="5BB80D50"/>
    <w:rsid w:val="5BBB58BC"/>
    <w:rsid w:val="5BD437ED"/>
    <w:rsid w:val="5C12013B"/>
    <w:rsid w:val="5C334E92"/>
    <w:rsid w:val="5C4D12C3"/>
    <w:rsid w:val="5C603176"/>
    <w:rsid w:val="5C7443F5"/>
    <w:rsid w:val="5CA37F40"/>
    <w:rsid w:val="5CA6785B"/>
    <w:rsid w:val="5CB80426"/>
    <w:rsid w:val="5CC20B09"/>
    <w:rsid w:val="5CCB371C"/>
    <w:rsid w:val="5D3270ED"/>
    <w:rsid w:val="5D3B1ED8"/>
    <w:rsid w:val="5D5D3103"/>
    <w:rsid w:val="5D707D74"/>
    <w:rsid w:val="5D74250A"/>
    <w:rsid w:val="5E1D72D9"/>
    <w:rsid w:val="5E2B115E"/>
    <w:rsid w:val="5E4D3DF3"/>
    <w:rsid w:val="5E50449C"/>
    <w:rsid w:val="5E816E78"/>
    <w:rsid w:val="5E881556"/>
    <w:rsid w:val="5E9D0968"/>
    <w:rsid w:val="5EAB4CE2"/>
    <w:rsid w:val="5EB33411"/>
    <w:rsid w:val="5EF32261"/>
    <w:rsid w:val="5F502FB7"/>
    <w:rsid w:val="5F69174F"/>
    <w:rsid w:val="5FC230F6"/>
    <w:rsid w:val="5FD54DA6"/>
    <w:rsid w:val="5FE42ED6"/>
    <w:rsid w:val="5FE5706B"/>
    <w:rsid w:val="5FEE688C"/>
    <w:rsid w:val="6005308E"/>
    <w:rsid w:val="601A0875"/>
    <w:rsid w:val="604202D9"/>
    <w:rsid w:val="6045400C"/>
    <w:rsid w:val="60940728"/>
    <w:rsid w:val="609D1752"/>
    <w:rsid w:val="60DE3368"/>
    <w:rsid w:val="60EB233A"/>
    <w:rsid w:val="61005532"/>
    <w:rsid w:val="61113999"/>
    <w:rsid w:val="61217271"/>
    <w:rsid w:val="614736ED"/>
    <w:rsid w:val="615E4557"/>
    <w:rsid w:val="61990C06"/>
    <w:rsid w:val="61CE2E0A"/>
    <w:rsid w:val="61D44B86"/>
    <w:rsid w:val="61D45FB1"/>
    <w:rsid w:val="621902D5"/>
    <w:rsid w:val="623C65FF"/>
    <w:rsid w:val="624D5ACC"/>
    <w:rsid w:val="6282007F"/>
    <w:rsid w:val="62C52FCC"/>
    <w:rsid w:val="62CF4A4F"/>
    <w:rsid w:val="62DA13B7"/>
    <w:rsid w:val="639037F0"/>
    <w:rsid w:val="63A1453B"/>
    <w:rsid w:val="63C02421"/>
    <w:rsid w:val="63E73FB0"/>
    <w:rsid w:val="642068BD"/>
    <w:rsid w:val="64376A10"/>
    <w:rsid w:val="644E49FD"/>
    <w:rsid w:val="64543D6C"/>
    <w:rsid w:val="645A498D"/>
    <w:rsid w:val="64772017"/>
    <w:rsid w:val="647D34EE"/>
    <w:rsid w:val="64BF1471"/>
    <w:rsid w:val="64EA5182"/>
    <w:rsid w:val="64F45254"/>
    <w:rsid w:val="654103B5"/>
    <w:rsid w:val="655D1756"/>
    <w:rsid w:val="65F004D2"/>
    <w:rsid w:val="66065A37"/>
    <w:rsid w:val="663371F3"/>
    <w:rsid w:val="666C5E5C"/>
    <w:rsid w:val="66A94034"/>
    <w:rsid w:val="66AB4239"/>
    <w:rsid w:val="66E94C7F"/>
    <w:rsid w:val="66EF082E"/>
    <w:rsid w:val="671146F3"/>
    <w:rsid w:val="67123919"/>
    <w:rsid w:val="67143206"/>
    <w:rsid w:val="674A0545"/>
    <w:rsid w:val="675F2A6B"/>
    <w:rsid w:val="67647963"/>
    <w:rsid w:val="67787B9A"/>
    <w:rsid w:val="67D87498"/>
    <w:rsid w:val="67FC1454"/>
    <w:rsid w:val="68C71E2C"/>
    <w:rsid w:val="690C59AB"/>
    <w:rsid w:val="692E4BF2"/>
    <w:rsid w:val="699E5E08"/>
    <w:rsid w:val="69CE5072"/>
    <w:rsid w:val="6A55309E"/>
    <w:rsid w:val="6A88701F"/>
    <w:rsid w:val="6B454EC0"/>
    <w:rsid w:val="6BA67A25"/>
    <w:rsid w:val="6BC2462A"/>
    <w:rsid w:val="6BCB386B"/>
    <w:rsid w:val="6BDA577E"/>
    <w:rsid w:val="6BED3748"/>
    <w:rsid w:val="6C1D3C1E"/>
    <w:rsid w:val="6C8345E5"/>
    <w:rsid w:val="6C953C86"/>
    <w:rsid w:val="6C9C3206"/>
    <w:rsid w:val="6CAE084F"/>
    <w:rsid w:val="6CDA4E75"/>
    <w:rsid w:val="6CE2562E"/>
    <w:rsid w:val="6D23026E"/>
    <w:rsid w:val="6D5B62A0"/>
    <w:rsid w:val="6D7D5A70"/>
    <w:rsid w:val="6D7E0FC2"/>
    <w:rsid w:val="6D8A7502"/>
    <w:rsid w:val="6DDE3A6C"/>
    <w:rsid w:val="6DE159B3"/>
    <w:rsid w:val="6E1E687A"/>
    <w:rsid w:val="6E2F3781"/>
    <w:rsid w:val="6E493B2A"/>
    <w:rsid w:val="6E534836"/>
    <w:rsid w:val="6E801606"/>
    <w:rsid w:val="6EBB02F1"/>
    <w:rsid w:val="6EF15FEB"/>
    <w:rsid w:val="6EF17F78"/>
    <w:rsid w:val="6EFD649E"/>
    <w:rsid w:val="6F090BE5"/>
    <w:rsid w:val="6F0B1DDB"/>
    <w:rsid w:val="6F631228"/>
    <w:rsid w:val="6F81233F"/>
    <w:rsid w:val="6F8B490E"/>
    <w:rsid w:val="6FC12258"/>
    <w:rsid w:val="6FC85C1A"/>
    <w:rsid w:val="6FD42CB7"/>
    <w:rsid w:val="6FE40D44"/>
    <w:rsid w:val="700A7221"/>
    <w:rsid w:val="703A1840"/>
    <w:rsid w:val="70705916"/>
    <w:rsid w:val="70817FC6"/>
    <w:rsid w:val="70867FAA"/>
    <w:rsid w:val="70A71732"/>
    <w:rsid w:val="70F74E78"/>
    <w:rsid w:val="710B6BAC"/>
    <w:rsid w:val="71441BEA"/>
    <w:rsid w:val="71E8596A"/>
    <w:rsid w:val="71F2298A"/>
    <w:rsid w:val="7278017B"/>
    <w:rsid w:val="72847805"/>
    <w:rsid w:val="728C559F"/>
    <w:rsid w:val="72A11FB8"/>
    <w:rsid w:val="72D81B76"/>
    <w:rsid w:val="72EF0A4C"/>
    <w:rsid w:val="732568F6"/>
    <w:rsid w:val="737A3DD9"/>
    <w:rsid w:val="73A11102"/>
    <w:rsid w:val="73CB4193"/>
    <w:rsid w:val="73D56622"/>
    <w:rsid w:val="73D66758"/>
    <w:rsid w:val="73DA7AB5"/>
    <w:rsid w:val="746F08E9"/>
    <w:rsid w:val="747641DD"/>
    <w:rsid w:val="747E1443"/>
    <w:rsid w:val="7491021A"/>
    <w:rsid w:val="74FF7083"/>
    <w:rsid w:val="75306BE1"/>
    <w:rsid w:val="757303CD"/>
    <w:rsid w:val="75D955D6"/>
    <w:rsid w:val="75F1685F"/>
    <w:rsid w:val="76571818"/>
    <w:rsid w:val="767833EF"/>
    <w:rsid w:val="768B4AD0"/>
    <w:rsid w:val="76E518CE"/>
    <w:rsid w:val="774E7A26"/>
    <w:rsid w:val="777D4234"/>
    <w:rsid w:val="77A405A9"/>
    <w:rsid w:val="77B2100F"/>
    <w:rsid w:val="77CE017C"/>
    <w:rsid w:val="77DC43BE"/>
    <w:rsid w:val="77EA122B"/>
    <w:rsid w:val="77F20AE8"/>
    <w:rsid w:val="78204033"/>
    <w:rsid w:val="78244C21"/>
    <w:rsid w:val="783970CC"/>
    <w:rsid w:val="78526812"/>
    <w:rsid w:val="785E3922"/>
    <w:rsid w:val="786646C8"/>
    <w:rsid w:val="786C0DC9"/>
    <w:rsid w:val="78811FE0"/>
    <w:rsid w:val="78924843"/>
    <w:rsid w:val="78AC2A23"/>
    <w:rsid w:val="78F529F4"/>
    <w:rsid w:val="79426EE3"/>
    <w:rsid w:val="79674112"/>
    <w:rsid w:val="799C2EA7"/>
    <w:rsid w:val="79D1610F"/>
    <w:rsid w:val="79E40305"/>
    <w:rsid w:val="7A1C76AC"/>
    <w:rsid w:val="7A232871"/>
    <w:rsid w:val="7A582091"/>
    <w:rsid w:val="7A7E6DE7"/>
    <w:rsid w:val="7A8B50A2"/>
    <w:rsid w:val="7AA47B22"/>
    <w:rsid w:val="7AC05B99"/>
    <w:rsid w:val="7ACD57DE"/>
    <w:rsid w:val="7B486307"/>
    <w:rsid w:val="7B706698"/>
    <w:rsid w:val="7B913ADC"/>
    <w:rsid w:val="7B934E7F"/>
    <w:rsid w:val="7BA63759"/>
    <w:rsid w:val="7BB04C77"/>
    <w:rsid w:val="7BDE57E2"/>
    <w:rsid w:val="7C1017DE"/>
    <w:rsid w:val="7C164934"/>
    <w:rsid w:val="7C345209"/>
    <w:rsid w:val="7C480CB4"/>
    <w:rsid w:val="7C591F6A"/>
    <w:rsid w:val="7C5F01D0"/>
    <w:rsid w:val="7C8370BE"/>
    <w:rsid w:val="7C866F61"/>
    <w:rsid w:val="7CC145C3"/>
    <w:rsid w:val="7D492DAE"/>
    <w:rsid w:val="7D814B7E"/>
    <w:rsid w:val="7D83292E"/>
    <w:rsid w:val="7D8643C5"/>
    <w:rsid w:val="7DA80BF3"/>
    <w:rsid w:val="7DAE5481"/>
    <w:rsid w:val="7DBA04C2"/>
    <w:rsid w:val="7DC97164"/>
    <w:rsid w:val="7DD10F6D"/>
    <w:rsid w:val="7DF71BD3"/>
    <w:rsid w:val="7DF954A7"/>
    <w:rsid w:val="7E01780E"/>
    <w:rsid w:val="7E161589"/>
    <w:rsid w:val="7E8A59B9"/>
    <w:rsid w:val="7EB51A7A"/>
    <w:rsid w:val="7EEB1E01"/>
    <w:rsid w:val="7F056209"/>
    <w:rsid w:val="7F3A3035"/>
    <w:rsid w:val="7F3B065C"/>
    <w:rsid w:val="7F66595D"/>
    <w:rsid w:val="7FA15A5B"/>
    <w:rsid w:val="7FD848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uiPriority w:val="0"/>
    <w:pPr>
      <w:keepNext/>
      <w:keepLines/>
      <w:spacing w:line="240" w:lineRule="auto"/>
      <w:ind w:firstLine="0" w:firstLineChars="0"/>
      <w:outlineLvl w:val="1"/>
    </w:pPr>
    <w:rPr>
      <w:rFonts w:ascii="等线 Light" w:hAnsi="等线 Light"/>
      <w:b/>
      <w:bCs/>
      <w:sz w:val="28"/>
      <w:szCs w:val="32"/>
    </w:rPr>
  </w:style>
  <w:style w:type="paragraph" w:styleId="5">
    <w:name w:val="heading 3"/>
    <w:basedOn w:val="1"/>
    <w:next w:val="1"/>
    <w:link w:val="64"/>
    <w:autoRedefine/>
    <w:unhideWhenUsed/>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0"/>
    <w:pPr>
      <w:keepNext/>
      <w:keepLines/>
      <w:spacing w:line="360" w:lineRule="auto"/>
      <w:ind w:firstLine="1440" w:firstLineChars="200"/>
      <w:outlineLvl w:val="3"/>
    </w:pPr>
    <w:rPr>
      <w:b/>
      <w:bCs/>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qFormat/>
    <w:uiPriority w:val="0"/>
    <w:pPr>
      <w:spacing w:after="120" w:line="360" w:lineRule="auto"/>
      <w:ind w:left="420" w:leftChars="200"/>
    </w:pPr>
    <w:rPr>
      <w:rFonts w:ascii="Times New Roman" w:hAnsi="Times New Roman"/>
      <w:sz w:val="24"/>
    </w:rPr>
  </w:style>
  <w:style w:type="paragraph" w:styleId="7">
    <w:name w:val="Normal Indent"/>
    <w:basedOn w:val="1"/>
    <w:next w:val="8"/>
    <w:qFormat/>
    <w:uiPriority w:val="0"/>
    <w:pPr>
      <w:ind w:firstLine="420"/>
      <w:textAlignment w:val="center"/>
    </w:pPr>
    <w:rPr>
      <w:rFonts w:ascii="Calibri" w:hAnsi="Calibri"/>
      <w:szCs w:val="20"/>
    </w:rPr>
  </w:style>
  <w:style w:type="paragraph" w:styleId="8">
    <w:name w:val="Body Text First Indent 2"/>
    <w:basedOn w:val="9"/>
    <w:qFormat/>
    <w:uiPriority w:val="0"/>
    <w:pPr>
      <w:ind w:firstLine="420"/>
    </w:pPr>
    <w:rPr>
      <w:kern w:val="2"/>
      <w:sz w:val="21"/>
      <w:szCs w:val="24"/>
    </w:rPr>
  </w:style>
  <w:style w:type="paragraph" w:styleId="9">
    <w:name w:val="Body Text Indent"/>
    <w:basedOn w:val="1"/>
    <w:qFormat/>
    <w:uiPriority w:val="0"/>
    <w:pPr>
      <w:spacing w:after="120"/>
      <w:ind w:left="420" w:leftChars="200"/>
    </w:pPr>
    <w:rPr>
      <w:kern w:val="0"/>
      <w:szCs w:val="20"/>
    </w:rPr>
  </w:style>
  <w:style w:type="paragraph" w:styleId="10">
    <w:name w:val="annotation text"/>
    <w:basedOn w:val="1"/>
    <w:link w:val="51"/>
    <w:autoRedefine/>
    <w:qFormat/>
    <w:uiPriority w:val="0"/>
    <w:pPr>
      <w:jc w:val="left"/>
    </w:pPr>
  </w:style>
  <w:style w:type="paragraph" w:styleId="11">
    <w:name w:val="Body Text"/>
    <w:basedOn w:val="1"/>
    <w:next w:val="1"/>
    <w:qFormat/>
    <w:uiPriority w:val="0"/>
    <w:pPr>
      <w:widowControl/>
      <w:snapToGrid w:val="0"/>
      <w:spacing w:before="60" w:after="160" w:line="259" w:lineRule="auto"/>
      <w:ind w:right="113"/>
    </w:pPr>
    <w:rPr>
      <w:kern w:val="0"/>
      <w:sz w:val="18"/>
      <w:szCs w:val="20"/>
    </w:rPr>
  </w:style>
  <w:style w:type="paragraph" w:styleId="12">
    <w:name w:val="Plain Text"/>
    <w:basedOn w:val="1"/>
    <w:next w:val="13"/>
    <w:qFormat/>
    <w:uiPriority w:val="0"/>
    <w:pPr>
      <w:adjustRightInd w:val="0"/>
      <w:textAlignment w:val="baseline"/>
    </w:pPr>
    <w:rPr>
      <w:rFonts w:ascii="宋体" w:hAnsi="Courier New"/>
      <w:kern w:val="0"/>
    </w:rPr>
  </w:style>
  <w:style w:type="paragraph" w:styleId="13">
    <w:name w:val="toc 1"/>
    <w:basedOn w:val="1"/>
    <w:next w:val="1"/>
    <w:qFormat/>
    <w:uiPriority w:val="39"/>
    <w:pPr>
      <w:snapToGrid w:val="0"/>
      <w:spacing w:line="360" w:lineRule="auto"/>
    </w:pPr>
    <w:rPr>
      <w:rFonts w:ascii="黑体" w:eastAsia="黑体"/>
      <w:bCs/>
      <w:sz w:val="28"/>
      <w:szCs w:val="24"/>
    </w:rPr>
  </w:style>
  <w:style w:type="paragraph" w:styleId="14">
    <w:name w:val="List Bullet 5"/>
    <w:basedOn w:val="1"/>
    <w:qFormat/>
    <w:uiPriority w:val="0"/>
    <w:pPr>
      <w:numPr>
        <w:ilvl w:val="0"/>
        <w:numId w:val="1"/>
      </w:numPr>
    </w:pPr>
  </w:style>
  <w:style w:type="paragraph" w:styleId="15">
    <w:name w:val="endnote text"/>
    <w:basedOn w:val="1"/>
    <w:autoRedefine/>
    <w:semiHidden/>
    <w:qFormat/>
    <w:uiPriority w:val="0"/>
    <w:pPr>
      <w:snapToGrid w:val="0"/>
      <w:jc w:val="left"/>
    </w:pPr>
    <w:rPr>
      <w:szCs w:val="24"/>
    </w:rPr>
  </w:style>
  <w:style w:type="paragraph" w:styleId="16">
    <w:name w:val="Balloon Text"/>
    <w:basedOn w:val="1"/>
    <w:link w:val="53"/>
    <w:autoRedefine/>
    <w:qFormat/>
    <w:uiPriority w:val="0"/>
    <w:pPr>
      <w:spacing w:line="240" w:lineRule="auto"/>
    </w:pPr>
    <w:rPr>
      <w:sz w:val="18"/>
      <w:szCs w:val="18"/>
    </w:rPr>
  </w:style>
  <w:style w:type="paragraph" w:styleId="17">
    <w:name w:val="footer"/>
    <w:basedOn w:val="1"/>
    <w:qFormat/>
    <w:uiPriority w:val="99"/>
    <w:pPr>
      <w:tabs>
        <w:tab w:val="center" w:pos="4153"/>
        <w:tab w:val="right" w:pos="8306"/>
      </w:tabs>
      <w:snapToGrid w:val="0"/>
      <w:jc w:val="left"/>
    </w:pPr>
    <w:rPr>
      <w:kern w:val="0"/>
      <w:sz w:val="18"/>
      <w:szCs w:val="20"/>
    </w:rPr>
  </w:style>
  <w:style w:type="paragraph" w:styleId="18">
    <w:name w:val="header"/>
    <w:basedOn w:val="1"/>
    <w:next w:val="19"/>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19">
    <w:name w:val="样式5"/>
    <w:basedOn w:val="20"/>
    <w:next w:val="15"/>
    <w:qFormat/>
    <w:uiPriority w:val="0"/>
    <w:pPr>
      <w:numPr>
        <w:ilvl w:val="2"/>
        <w:numId w:val="2"/>
      </w:numPr>
      <w:tabs>
        <w:tab w:val="center" w:pos="4153"/>
        <w:tab w:val="right" w:pos="8306"/>
      </w:tabs>
      <w:snapToGrid w:val="0"/>
      <w:ind w:left="0" w:firstLine="0"/>
    </w:pPr>
    <w:rPr>
      <w:sz w:val="18"/>
    </w:rPr>
  </w:style>
  <w:style w:type="paragraph" w:customStyle="1" w:styleId="20">
    <w:name w:val="样式2"/>
    <w:basedOn w:val="21"/>
    <w:autoRedefine/>
    <w:qFormat/>
    <w:uiPriority w:val="0"/>
    <w:pPr>
      <w:ind w:firstLine="533" w:firstLineChars="200"/>
    </w:pPr>
    <w:rPr>
      <w:bCs/>
      <w:color w:val="0000FF"/>
    </w:rPr>
  </w:style>
  <w:style w:type="paragraph" w:customStyle="1" w:styleId="21">
    <w:name w:val="正文 + 宋体"/>
    <w:basedOn w:val="1"/>
    <w:qFormat/>
    <w:uiPriority w:val="0"/>
    <w:pPr>
      <w:snapToGrid w:val="0"/>
      <w:ind w:firstLine="648" w:firstLineChars="245"/>
    </w:pPr>
    <w:rPr>
      <w:rFonts w:ascii="宋体" w:hAnsi="宋体"/>
    </w:rPr>
  </w:style>
  <w:style w:type="paragraph" w:styleId="22">
    <w:name w:val="List"/>
    <w:basedOn w:val="1"/>
    <w:next w:val="1"/>
    <w:autoRedefine/>
    <w:unhideWhenUsed/>
    <w:qFormat/>
    <w:uiPriority w:val="0"/>
    <w:pPr>
      <w:ind w:left="200" w:hanging="200" w:hangingChars="200"/>
      <w:contextualSpacing/>
    </w:pPr>
    <w:rPr>
      <w:szCs w:val="20"/>
    </w:rPr>
  </w:style>
  <w:style w:type="paragraph" w:styleId="23">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4">
    <w:name w:val="Normal (Web)"/>
    <w:basedOn w:val="1"/>
    <w:qFormat/>
    <w:uiPriority w:val="99"/>
    <w:pPr>
      <w:widowControl/>
      <w:spacing w:before="100" w:beforeAutospacing="1" w:after="100" w:afterAutospacing="1"/>
      <w:jc w:val="left"/>
    </w:pPr>
    <w:rPr>
      <w:rFonts w:ascii="宋体" w:hAnsi="宋体"/>
      <w:kern w:val="0"/>
      <w:szCs w:val="20"/>
    </w:rPr>
  </w:style>
  <w:style w:type="paragraph" w:styleId="25">
    <w:name w:val="index 1"/>
    <w:basedOn w:val="1"/>
    <w:next w:val="1"/>
    <w:qFormat/>
    <w:uiPriority w:val="0"/>
    <w:rPr>
      <w:szCs w:val="22"/>
    </w:rPr>
  </w:style>
  <w:style w:type="paragraph" w:styleId="26">
    <w:name w:val="annotation subject"/>
    <w:basedOn w:val="10"/>
    <w:next w:val="10"/>
    <w:link w:val="52"/>
    <w:qFormat/>
    <w:uiPriority w:val="0"/>
    <w:rPr>
      <w:b/>
      <w:bCs/>
    </w:rPr>
  </w:style>
  <w:style w:type="paragraph" w:styleId="27">
    <w:name w:val="Body Text First Indent"/>
    <w:basedOn w:val="11"/>
    <w:next w:val="1"/>
    <w:unhideWhenUsed/>
    <w:qFormat/>
    <w:uiPriority w:val="99"/>
    <w:pPr>
      <w:ind w:firstLine="420" w:firstLineChars="100"/>
    </w:p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page number"/>
    <w:autoRedefine/>
    <w:qFormat/>
    <w:uiPriority w:val="0"/>
  </w:style>
  <w:style w:type="character" w:styleId="32">
    <w:name w:val="Emphasis"/>
    <w:basedOn w:val="30"/>
    <w:autoRedefine/>
    <w:qFormat/>
    <w:uiPriority w:val="0"/>
    <w:rPr>
      <w:i/>
    </w:rPr>
  </w:style>
  <w:style w:type="character" w:styleId="33">
    <w:name w:val="Hyperlink"/>
    <w:basedOn w:val="30"/>
    <w:autoRedefine/>
    <w:qFormat/>
    <w:uiPriority w:val="0"/>
    <w:rPr>
      <w:color w:val="0000FF"/>
      <w:u w:val="single"/>
    </w:rPr>
  </w:style>
  <w:style w:type="character" w:styleId="34">
    <w:name w:val="annotation reference"/>
    <w:basedOn w:val="30"/>
    <w:autoRedefine/>
    <w:qFormat/>
    <w:uiPriority w:val="0"/>
    <w:rPr>
      <w:sz w:val="21"/>
      <w:szCs w:val="21"/>
    </w:rPr>
  </w:style>
  <w:style w:type="paragraph" w:customStyle="1" w:styleId="35">
    <w:name w:val="Default"/>
    <w:basedOn w:val="36"/>
    <w:next w:val="1"/>
    <w:autoRedefine/>
    <w:qFormat/>
    <w:uiPriority w:val="0"/>
    <w:pPr>
      <w:autoSpaceDE w:val="0"/>
      <w:autoSpaceDN w:val="0"/>
    </w:pPr>
    <w:rPr>
      <w:rFonts w:ascii="宋体" w:hAnsi="Calibri" w:cs="宋体"/>
      <w:sz w:val="24"/>
      <w:szCs w:val="24"/>
    </w:rPr>
  </w:style>
  <w:style w:type="paragraph" w:customStyle="1" w:styleId="36">
    <w:name w:val="1 表头"/>
    <w:basedOn w:val="1"/>
    <w:autoRedefine/>
    <w:qFormat/>
    <w:uiPriority w:val="0"/>
    <w:pPr>
      <w:adjustRightInd w:val="0"/>
      <w:snapToGrid w:val="0"/>
      <w:spacing w:line="240" w:lineRule="auto"/>
      <w:ind w:firstLine="0" w:firstLineChars="0"/>
      <w:jc w:val="center"/>
    </w:pPr>
    <w:rPr>
      <w:b/>
      <w:color w:val="000000"/>
      <w:sz w:val="21"/>
      <w:szCs w:val="21"/>
    </w:rPr>
  </w:style>
  <w:style w:type="paragraph" w:customStyle="1" w:styleId="37">
    <w:name w:val="纯文本1"/>
    <w:basedOn w:val="1"/>
    <w:autoRedefine/>
    <w:qFormat/>
    <w:uiPriority w:val="0"/>
    <w:rPr>
      <w:rFonts w:ascii="宋体" w:hAnsi="Courier New" w:cs="Courier New"/>
      <w:kern w:val="2"/>
      <w:sz w:val="21"/>
      <w:szCs w:val="21"/>
    </w:rPr>
  </w:style>
  <w:style w:type="paragraph" w:customStyle="1" w:styleId="38">
    <w:name w:val="样式 正文文本缩进 + 行距: 1.5 倍行距"/>
    <w:basedOn w:val="9"/>
    <w:autoRedefine/>
    <w:qFormat/>
    <w:uiPriority w:val="0"/>
    <w:pPr>
      <w:spacing w:line="360" w:lineRule="auto"/>
      <w:ind w:firstLine="560"/>
    </w:pPr>
    <w:rPr>
      <w:rFonts w:cs="宋体"/>
      <w:sz w:val="28"/>
    </w:rPr>
  </w:style>
  <w:style w:type="paragraph" w:customStyle="1" w:styleId="39">
    <w:name w:val="表头"/>
    <w:basedOn w:val="40"/>
    <w:next w:val="1"/>
    <w:link w:val="58"/>
    <w:autoRedefine/>
    <w:qFormat/>
    <w:uiPriority w:val="0"/>
    <w:pPr>
      <w:adjustRightInd w:val="0"/>
      <w:spacing w:line="240" w:lineRule="auto"/>
      <w:ind w:firstLine="0" w:firstLineChars="0"/>
      <w:jc w:val="center"/>
      <w:textAlignment w:val="baseline"/>
    </w:pPr>
    <w:rPr>
      <w:rFonts w:ascii="黑体"/>
      <w:b/>
      <w:kern w:val="0"/>
      <w:sz w:val="21"/>
      <w:szCs w:val="20"/>
    </w:rPr>
  </w:style>
  <w:style w:type="paragraph" w:customStyle="1" w:styleId="40">
    <w:name w:val="表格内容"/>
    <w:next w:val="1"/>
    <w:autoRedefine/>
    <w:qFormat/>
    <w:uiPriority w:val="0"/>
    <w:pPr>
      <w:adjustRightInd w:val="0"/>
      <w:snapToGrid w:val="0"/>
      <w:spacing w:before="60" w:after="60"/>
      <w:jc w:val="center"/>
    </w:pPr>
    <w:rPr>
      <w:rFonts w:ascii="Times New Roman" w:hAnsi="Times New Roman" w:eastAsia="宋体" w:cs="Times New Roman"/>
      <w:kern w:val="2"/>
      <w:sz w:val="21"/>
      <w:szCs w:val="21"/>
      <w:lang w:val="en-US" w:eastAsia="zh-CN" w:bidi="ar-SA"/>
    </w:rPr>
  </w:style>
  <w:style w:type="paragraph" w:customStyle="1" w:styleId="41">
    <w:name w:val="表格文字2"/>
    <w:basedOn w:val="1"/>
    <w:link w:val="56"/>
    <w:autoRedefine/>
    <w:qFormat/>
    <w:uiPriority w:val="0"/>
    <w:pPr>
      <w:tabs>
        <w:tab w:val="left" w:pos="277"/>
        <w:tab w:val="left" w:pos="600"/>
        <w:tab w:val="left" w:pos="780"/>
        <w:tab w:val="left" w:pos="2517"/>
      </w:tabs>
      <w:adjustRightInd w:val="0"/>
      <w:spacing w:line="240" w:lineRule="auto"/>
      <w:ind w:firstLine="0" w:firstLineChars="0"/>
      <w:jc w:val="center"/>
    </w:pPr>
    <w:rPr>
      <w:rFonts w:ascii="宋体" w:hAnsi="宋体" w:cs="宋体"/>
      <w:bCs/>
      <w:spacing w:val="5"/>
      <w:kern w:val="0"/>
      <w:sz w:val="21"/>
      <w:szCs w:val="21"/>
    </w:rPr>
  </w:style>
  <w:style w:type="paragraph" w:customStyle="1" w:styleId="42">
    <w:name w:val="li_正文"/>
    <w:basedOn w:val="1"/>
    <w:autoRedefine/>
    <w:qFormat/>
    <w:uiPriority w:val="0"/>
    <w:pPr>
      <w:jc w:val="left"/>
    </w:pPr>
  </w:style>
  <w:style w:type="paragraph" w:customStyle="1" w:styleId="43">
    <w:name w:val="表格内容格式"/>
    <w:basedOn w:val="1"/>
    <w:autoRedefine/>
    <w:qFormat/>
    <w:uiPriority w:val="0"/>
    <w:pPr>
      <w:tabs>
        <w:tab w:val="left" w:pos="1755"/>
      </w:tabs>
      <w:adjustRightInd w:val="0"/>
      <w:spacing w:line="240" w:lineRule="auto"/>
      <w:ind w:firstLine="0" w:firstLineChars="0"/>
      <w:jc w:val="center"/>
      <w:textAlignment w:val="baseline"/>
    </w:pPr>
    <w:rPr>
      <w:rFonts w:ascii="宋体" w:hAnsi="宋体"/>
      <w:snapToGrid w:val="0"/>
      <w:w w:val="95"/>
      <w:kern w:val="0"/>
      <w:sz w:val="21"/>
      <w:szCs w:val="20"/>
    </w:rPr>
  </w:style>
  <w:style w:type="paragraph" w:customStyle="1" w:styleId="44">
    <w:name w:val="文本"/>
    <w:basedOn w:val="1"/>
    <w:autoRedefine/>
    <w:qFormat/>
    <w:uiPriority w:val="0"/>
    <w:pPr>
      <w:adjustRightInd w:val="0"/>
      <w:snapToGrid w:val="0"/>
      <w:spacing w:line="520" w:lineRule="exact"/>
    </w:pPr>
    <w:rPr>
      <w:rFonts w:ascii="宋体" w:hAnsi="Calibri" w:eastAsia="仿宋_GB2312"/>
      <w:kern w:val="0"/>
      <w:lang w:bidi="ug-CN"/>
    </w:rPr>
  </w:style>
  <w:style w:type="paragraph" w:customStyle="1" w:styleId="45">
    <w:name w:val="。正文格式"/>
    <w:autoRedefine/>
    <w:qFormat/>
    <w:uiPriority w:val="0"/>
    <w:pPr>
      <w:widowControl w:val="0"/>
      <w:spacing w:line="360" w:lineRule="auto"/>
      <w:ind w:firstLine="200" w:firstLineChars="200"/>
    </w:pPr>
    <w:rPr>
      <w:rFonts w:ascii="Times New Roman" w:hAnsi="Times New Roman" w:eastAsia="宋体" w:cs="Times New Roman"/>
      <w:sz w:val="24"/>
      <w:lang w:val="en-US" w:eastAsia="zh-CN" w:bidi="ar-SA"/>
    </w:rPr>
  </w:style>
  <w:style w:type="paragraph" w:customStyle="1" w:styleId="46">
    <w:name w:val="表题"/>
    <w:basedOn w:val="1"/>
    <w:next w:val="1"/>
    <w:autoRedefine/>
    <w:qFormat/>
    <w:uiPriority w:val="0"/>
    <w:pPr>
      <w:spacing w:before="50" w:beforeLines="50"/>
      <w:jc w:val="center"/>
      <w:textAlignment w:val="center"/>
    </w:pPr>
    <w:rPr>
      <w:b/>
      <w:szCs w:val="22"/>
    </w:rPr>
  </w:style>
  <w:style w:type="paragraph" w:customStyle="1" w:styleId="47">
    <w:name w:val="正文2"/>
    <w:basedOn w:val="11"/>
    <w:link w:val="57"/>
    <w:autoRedefine/>
    <w:qFormat/>
    <w:uiPriority w:val="0"/>
    <w:pPr>
      <w:widowControl w:val="0"/>
      <w:snapToGrid/>
      <w:spacing w:before="0" w:after="0" w:line="360" w:lineRule="auto"/>
      <w:ind w:right="0"/>
    </w:pPr>
    <w:rPr>
      <w:kern w:val="2"/>
      <w:sz w:val="24"/>
      <w:szCs w:val="22"/>
    </w:rPr>
  </w:style>
  <w:style w:type="paragraph" w:customStyle="1" w:styleId="48">
    <w:name w:val="。。。。。。。。。2级标题"/>
    <w:autoRedefine/>
    <w:qFormat/>
    <w:uiPriority w:val="0"/>
    <w:pPr>
      <w:keepNext/>
      <w:keepLines/>
      <w:widowControl w:val="0"/>
      <w:tabs>
        <w:tab w:val="left" w:pos="425"/>
        <w:tab w:val="left" w:pos="567"/>
      </w:tabs>
      <w:spacing w:line="360" w:lineRule="auto"/>
      <w:jc w:val="both"/>
      <w:outlineLvl w:val="1"/>
    </w:pPr>
    <w:rPr>
      <w:rFonts w:ascii="Times New Roman" w:hAnsi="Times New Roman" w:eastAsia="宋体" w:cs="Times New Roman"/>
      <w:b/>
      <w:bCs/>
      <w:kern w:val="2"/>
      <w:sz w:val="30"/>
      <w:szCs w:val="30"/>
      <w:lang w:val="en-US" w:eastAsia="zh-CN" w:bidi="ar-SA"/>
    </w:rPr>
  </w:style>
  <w:style w:type="paragraph" w:customStyle="1" w:styleId="49">
    <w:name w:val="图名、表头"/>
    <w:next w:val="1"/>
    <w:autoRedefine/>
    <w:unhideWhenUsed/>
    <w:qFormat/>
    <w:uiPriority w:val="0"/>
    <w:pPr>
      <w:widowControl w:val="0"/>
      <w:ind w:firstLine="640" w:firstLineChars="200"/>
      <w:jc w:val="center"/>
    </w:pPr>
    <w:rPr>
      <w:rFonts w:ascii="Times New Roman" w:hAnsi="Times New Roman" w:eastAsia="宋体" w:cs="Times New Roman"/>
      <w:b/>
      <w:color w:val="FF0000"/>
      <w:kern w:val="2"/>
      <w:sz w:val="24"/>
      <w:lang w:val="en-US" w:eastAsia="zh-CN" w:bidi="ar-SA"/>
    </w:rPr>
  </w:style>
  <w:style w:type="paragraph" w:customStyle="1" w:styleId="50">
    <w:name w:val="表格"/>
    <w:basedOn w:val="1"/>
    <w:next w:val="1"/>
    <w:autoRedefine/>
    <w:qFormat/>
    <w:uiPriority w:val="0"/>
    <w:pPr>
      <w:adjustRightInd w:val="0"/>
      <w:snapToGrid w:val="0"/>
      <w:spacing w:beforeLines="10" w:afterLines="10" w:line="259" w:lineRule="auto"/>
      <w:jc w:val="center"/>
    </w:pPr>
    <w:rPr>
      <w:rFonts w:ascii="宋体"/>
      <w:kern w:val="0"/>
      <w:szCs w:val="20"/>
    </w:rPr>
  </w:style>
  <w:style w:type="character" w:customStyle="1" w:styleId="51">
    <w:name w:val="批注文字 Char"/>
    <w:basedOn w:val="30"/>
    <w:link w:val="10"/>
    <w:autoRedefine/>
    <w:qFormat/>
    <w:uiPriority w:val="0"/>
    <w:rPr>
      <w:kern w:val="2"/>
      <w:sz w:val="24"/>
      <w:szCs w:val="24"/>
    </w:rPr>
  </w:style>
  <w:style w:type="character" w:customStyle="1" w:styleId="52">
    <w:name w:val="批注主题 Char"/>
    <w:basedOn w:val="51"/>
    <w:link w:val="26"/>
    <w:qFormat/>
    <w:uiPriority w:val="0"/>
    <w:rPr>
      <w:b/>
      <w:bCs/>
      <w:kern w:val="2"/>
      <w:sz w:val="24"/>
      <w:szCs w:val="24"/>
    </w:rPr>
  </w:style>
  <w:style w:type="character" w:customStyle="1" w:styleId="53">
    <w:name w:val="批注框文本 Char"/>
    <w:basedOn w:val="30"/>
    <w:link w:val="16"/>
    <w:qFormat/>
    <w:uiPriority w:val="0"/>
    <w:rPr>
      <w:kern w:val="2"/>
      <w:sz w:val="18"/>
      <w:szCs w:val="18"/>
    </w:rPr>
  </w:style>
  <w:style w:type="paragraph" w:styleId="54">
    <w:name w:val="List Paragraph"/>
    <w:basedOn w:val="1"/>
    <w:autoRedefine/>
    <w:qFormat/>
    <w:uiPriority w:val="34"/>
    <w:pPr>
      <w:ind w:firstLine="420"/>
    </w:pPr>
  </w:style>
  <w:style w:type="paragraph" w:customStyle="1" w:styleId="55">
    <w:name w:val="正文(首行缩进)"/>
    <w:basedOn w:val="1"/>
    <w:next w:val="4"/>
    <w:autoRedefine/>
    <w:qFormat/>
    <w:uiPriority w:val="0"/>
    <w:pPr>
      <w:ind w:firstLine="480"/>
    </w:pPr>
    <w:rPr>
      <w:bCs/>
      <w:color w:val="000000"/>
      <w:kern w:val="24"/>
    </w:rPr>
  </w:style>
  <w:style w:type="character" w:customStyle="1" w:styleId="56">
    <w:name w:val="表格文字2 Char"/>
    <w:link w:val="41"/>
    <w:autoRedefine/>
    <w:qFormat/>
    <w:locked/>
    <w:uiPriority w:val="0"/>
    <w:rPr>
      <w:rFonts w:ascii="宋体" w:hAnsi="宋体" w:cs="宋体"/>
      <w:bCs/>
      <w:spacing w:val="5"/>
      <w:sz w:val="21"/>
      <w:szCs w:val="21"/>
    </w:rPr>
  </w:style>
  <w:style w:type="character" w:customStyle="1" w:styleId="57">
    <w:name w:val="正文2 Char"/>
    <w:basedOn w:val="30"/>
    <w:link w:val="47"/>
    <w:autoRedefine/>
    <w:qFormat/>
    <w:uiPriority w:val="0"/>
    <w:rPr>
      <w:kern w:val="2"/>
      <w:sz w:val="24"/>
      <w:szCs w:val="22"/>
    </w:rPr>
  </w:style>
  <w:style w:type="character" w:customStyle="1" w:styleId="58">
    <w:name w:val="表头 Char"/>
    <w:link w:val="39"/>
    <w:autoRedefine/>
    <w:qFormat/>
    <w:uiPriority w:val="0"/>
    <w:rPr>
      <w:rFonts w:ascii="黑体"/>
      <w:b/>
      <w:sz w:val="21"/>
    </w:rPr>
  </w:style>
  <w:style w:type="paragraph" w:customStyle="1" w:styleId="59">
    <w:name w:val="正文1"/>
    <w:basedOn w:val="7"/>
    <w:next w:val="1"/>
    <w:link w:val="60"/>
    <w:autoRedefine/>
    <w:qFormat/>
    <w:uiPriority w:val="0"/>
    <w:pPr>
      <w:ind w:firstLine="482" w:firstLineChars="0"/>
    </w:pPr>
    <w:rPr>
      <w:kern w:val="0"/>
      <w:szCs w:val="22"/>
      <w:lang w:val="zh-CN"/>
    </w:rPr>
  </w:style>
  <w:style w:type="character" w:customStyle="1" w:styleId="60">
    <w:name w:val="正文 Char"/>
    <w:basedOn w:val="30"/>
    <w:link w:val="59"/>
    <w:qFormat/>
    <w:uiPriority w:val="0"/>
    <w:rPr>
      <w:sz w:val="24"/>
      <w:szCs w:val="22"/>
      <w:lang w:val="zh-CN"/>
    </w:rPr>
  </w:style>
  <w:style w:type="paragraph" w:styleId="61">
    <w:name w:val="No Spacing"/>
    <w:basedOn w:val="22"/>
    <w:next w:val="1"/>
    <w:link w:val="62"/>
    <w:autoRedefine/>
    <w:qFormat/>
    <w:uiPriority w:val="1"/>
    <w:pPr>
      <w:spacing w:line="240" w:lineRule="auto"/>
      <w:ind w:left="0" w:firstLine="0" w:firstLineChars="0"/>
      <w:jc w:val="center"/>
      <w:textAlignment w:val="center"/>
    </w:pPr>
    <w:rPr>
      <w:rFonts w:cstheme="minorBidi"/>
      <w:sz w:val="21"/>
      <w:szCs w:val="22"/>
    </w:rPr>
  </w:style>
  <w:style w:type="character" w:customStyle="1" w:styleId="62">
    <w:name w:val="无间隔 Char"/>
    <w:basedOn w:val="30"/>
    <w:link w:val="61"/>
    <w:qFormat/>
    <w:locked/>
    <w:uiPriority w:val="1"/>
    <w:rPr>
      <w:rFonts w:cstheme="minorBidi"/>
      <w:kern w:val="2"/>
      <w:sz w:val="21"/>
      <w:szCs w:val="22"/>
    </w:rPr>
  </w:style>
  <w:style w:type="character" w:styleId="63">
    <w:name w:val="Placeholder Text"/>
    <w:basedOn w:val="30"/>
    <w:autoRedefine/>
    <w:semiHidden/>
    <w:qFormat/>
    <w:uiPriority w:val="99"/>
    <w:rPr>
      <w:color w:val="808080"/>
    </w:rPr>
  </w:style>
  <w:style w:type="character" w:customStyle="1" w:styleId="64">
    <w:name w:val="标题 3 Char"/>
    <w:basedOn w:val="30"/>
    <w:link w:val="5"/>
    <w:qFormat/>
    <w:uiPriority w:val="0"/>
    <w:rPr>
      <w:b/>
      <w:bCs/>
      <w:kern w:val="2"/>
      <w:sz w:val="32"/>
      <w:szCs w:val="32"/>
    </w:rPr>
  </w:style>
  <w:style w:type="paragraph" w:customStyle="1" w:styleId="65">
    <w:name w:val="Table Paragraph"/>
    <w:basedOn w:val="1"/>
    <w:qFormat/>
    <w:uiPriority w:val="1"/>
  </w:style>
  <w:style w:type="paragraph" w:customStyle="1" w:styleId="66">
    <w:name w:val="样式 表内容 + 行距: 固定值 28 磅"/>
    <w:basedOn w:val="67"/>
    <w:autoRedefine/>
    <w:qFormat/>
    <w:uiPriority w:val="0"/>
    <w:rPr>
      <w:rFonts w:cs="宋体"/>
      <w:szCs w:val="20"/>
    </w:rPr>
  </w:style>
  <w:style w:type="paragraph" w:customStyle="1" w:styleId="67">
    <w:name w:val="表内容"/>
    <w:basedOn w:val="1"/>
    <w:next w:val="1"/>
    <w:autoRedefine/>
    <w:qFormat/>
    <w:uiPriority w:val="0"/>
    <w:pPr>
      <w:jc w:val="center"/>
    </w:pPr>
    <w:rPr>
      <w:rFonts w:ascii="宋体" w:hAnsi="宋体"/>
    </w:rPr>
  </w:style>
  <w:style w:type="paragraph" w:customStyle="1" w:styleId="68">
    <w:name w:val="Char"/>
    <w:basedOn w:val="1"/>
    <w:qFormat/>
    <w:uiPriority w:val="0"/>
    <w:pPr>
      <w:spacing w:line="360" w:lineRule="auto"/>
      <w:ind w:firstLine="200" w:firstLineChars="200"/>
    </w:pPr>
    <w:rPr>
      <w:rFonts w:ascii="宋体" w:hAnsi="宋体" w:cs="宋体"/>
      <w:sz w:val="24"/>
    </w:rPr>
  </w:style>
  <w:style w:type="paragraph" w:customStyle="1" w:styleId="69">
    <w:name w:val="Body Text 21"/>
    <w:basedOn w:val="1"/>
    <w:autoRedefine/>
    <w:qFormat/>
    <w:uiPriority w:val="0"/>
    <w:pPr>
      <w:spacing w:after="120" w:line="480" w:lineRule="auto"/>
    </w:pPr>
  </w:style>
  <w:style w:type="paragraph" w:customStyle="1" w:styleId="70">
    <w:name w:val="表格标题-段前0.3行"/>
    <w:basedOn w:val="1"/>
    <w:autoRedefine/>
    <w:qFormat/>
    <w:uiPriority w:val="0"/>
    <w:pPr>
      <w:keepNext/>
      <w:keepLines/>
      <w:widowControl/>
      <w:spacing w:before="30" w:beforeLines="30"/>
      <w:jc w:val="center"/>
    </w:pPr>
    <w:rPr>
      <w:b/>
      <w:bCs/>
    </w:rPr>
  </w:style>
  <w:style w:type="paragraph" w:customStyle="1" w:styleId="71">
    <w:name w:val="表格内文字"/>
    <w:basedOn w:val="1"/>
    <w:qFormat/>
    <w:uiPriority w:val="0"/>
    <w:pPr>
      <w:widowControl/>
      <w:jc w:val="center"/>
    </w:pPr>
    <w:rPr>
      <w:sz w:val="21"/>
      <w:szCs w:val="21"/>
    </w:rPr>
  </w:style>
  <w:style w:type="paragraph" w:customStyle="1" w:styleId="72">
    <w:name w:val="表格内"/>
    <w:basedOn w:val="1"/>
    <w:qFormat/>
    <w:uiPriority w:val="0"/>
    <w:pPr>
      <w:widowControl/>
      <w:jc w:val="center"/>
    </w:pPr>
    <w:rPr>
      <w:rFonts w:ascii="Calibri" w:hAnsi="Calibri"/>
      <w:szCs w:val="21"/>
    </w:rPr>
  </w:style>
  <w:style w:type="paragraph" w:customStyle="1" w:styleId="73">
    <w:name w:val="正文（缩进）"/>
    <w:basedOn w:val="1"/>
    <w:autoRedefine/>
    <w:qFormat/>
    <w:uiPriority w:val="99"/>
    <w:pPr>
      <w:spacing w:line="360" w:lineRule="auto"/>
      <w:ind w:firstLine="480" w:firstLineChars="200"/>
    </w:pPr>
    <w:rPr>
      <w:rFonts w:ascii="Times New Roman" w:hAnsi="Times New Roman" w:cs="Times New Roman"/>
      <w:sz w:val="24"/>
      <w:szCs w:val="24"/>
    </w:rPr>
  </w:style>
  <w:style w:type="paragraph" w:customStyle="1" w:styleId="74">
    <w:name w:val="孙常亮 表格"/>
    <w:basedOn w:val="75"/>
    <w:qFormat/>
    <w:uiPriority w:val="0"/>
    <w:pPr>
      <w:ind w:firstLine="0" w:firstLineChars="0"/>
    </w:pPr>
    <w:rPr>
      <w:sz w:val="21"/>
    </w:rPr>
  </w:style>
  <w:style w:type="paragraph" w:customStyle="1" w:styleId="75">
    <w:name w:val="表格内容五号"/>
    <w:basedOn w:val="1"/>
    <w:autoRedefine/>
    <w:qFormat/>
    <w:uiPriority w:val="0"/>
    <w:pPr>
      <w:ind w:firstLine="200" w:firstLineChars="200"/>
      <w:jc w:val="center"/>
    </w:pPr>
    <w:rPr>
      <w:rFonts w:ascii="Times New Roman" w:hAnsi="Times New Roman" w:cs="Times New Roman"/>
      <w:color w:val="000000"/>
      <w:sz w:val="34"/>
      <w:szCs w:val="21"/>
    </w:rPr>
  </w:style>
  <w:style w:type="paragraph" w:customStyle="1" w:styleId="76">
    <w:name w:val="a-表内"/>
    <w:autoRedefine/>
    <w:qFormat/>
    <w:uiPriority w:val="0"/>
    <w:pPr>
      <w:adjustRightInd w:val="0"/>
      <w:snapToGrid w:val="0"/>
      <w:spacing w:line="0" w:lineRule="atLeast"/>
      <w:jc w:val="center"/>
    </w:pPr>
    <w:rPr>
      <w:rFonts w:ascii="Times New Roman" w:hAnsi="Times New Roman" w:eastAsia="宋体" w:cs="Times New Roman"/>
      <w:color w:val="000000"/>
      <w:kern w:val="2"/>
      <w:sz w:val="21"/>
      <w:szCs w:val="21"/>
      <w:lang w:val="en-US" w:eastAsia="zh-CN" w:bidi="ar-SA"/>
    </w:rPr>
  </w:style>
  <w:style w:type="character" w:customStyle="1" w:styleId="77">
    <w:name w:val="font21"/>
    <w:basedOn w:val="30"/>
    <w:autoRedefine/>
    <w:qFormat/>
    <w:uiPriority w:val="0"/>
    <w:rPr>
      <w:rFonts w:ascii="Calibri" w:hAnsi="Calibri" w:cs="Calibri"/>
      <w:color w:val="000000"/>
      <w:sz w:val="24"/>
      <w:szCs w:val="24"/>
      <w:u w:val="none"/>
    </w:rPr>
  </w:style>
  <w:style w:type="paragraph" w:customStyle="1" w:styleId="78">
    <w:name w:val="0正文"/>
    <w:basedOn w:val="9"/>
    <w:next w:val="18"/>
    <w:autoRedefine/>
    <w:unhideWhenUsed/>
    <w:qFormat/>
    <w:uiPriority w:val="0"/>
    <w:pPr>
      <w:spacing w:line="360" w:lineRule="auto"/>
      <w:ind w:firstLine="720" w:firstLineChars="200"/>
    </w:pPr>
    <w:rPr>
      <w:rFonts w:ascii="Times New Roman" w:hAnsi="Times New Roman" w:cs="Times New Roman"/>
      <w:sz w:val="24"/>
      <w:lang w:val="en-US" w:bidi="ar-SA"/>
    </w:rPr>
  </w:style>
  <w:style w:type="paragraph" w:customStyle="1" w:styleId="79">
    <w:name w:val="Normal"/>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80">
    <w:name w:val="CM9"/>
    <w:basedOn w:val="1"/>
    <w:next w:val="1"/>
    <w:qFormat/>
    <w:uiPriority w:val="0"/>
    <w:pPr>
      <w:autoSpaceDE w:val="0"/>
      <w:autoSpaceDN w:val="0"/>
      <w:adjustRightInd w:val="0"/>
      <w:spacing w:line="468" w:lineRule="atLeast"/>
      <w:jc w:val="left"/>
    </w:pPr>
    <w:rPr>
      <w:rFonts w:ascii="黑体" w:eastAsia="黑体"/>
      <w:kern w:val="0"/>
      <w:sz w:val="24"/>
      <w:szCs w:val="24"/>
    </w:rPr>
  </w:style>
  <w:style w:type="paragraph" w:customStyle="1" w:styleId="81">
    <w:name w:val="标1"/>
    <w:basedOn w:val="1"/>
    <w:autoRedefine/>
    <w:qFormat/>
    <w:uiPriority w:val="0"/>
    <w:pPr>
      <w:spacing w:before="60" w:beforeLines="0" w:beforeAutospacing="0" w:line="460" w:lineRule="exact"/>
      <w:outlineLvl w:val="0"/>
    </w:pPr>
    <w:rPr>
      <w:rFonts w:ascii="Times New Roman" w:hAnsi="Times New Roman" w:eastAsia="宋体" w:cs="Times New Roman"/>
      <w:b/>
      <w:kern w:val="2"/>
      <w:sz w:val="32"/>
      <w:lang w:val="en-US" w:eastAsia="zh-CN"/>
    </w:rPr>
  </w:style>
  <w:style w:type="paragraph" w:customStyle="1" w:styleId="82">
    <w:name w:val="表格文字"/>
    <w:basedOn w:val="1"/>
    <w:autoRedefine/>
    <w:qFormat/>
    <w:uiPriority w:val="0"/>
    <w:pPr>
      <w:snapToGrid/>
      <w:spacing w:line="240" w:lineRule="auto"/>
      <w:ind w:right="0" w:firstLine="0" w:firstLineChars="0"/>
      <w:jc w:val="center"/>
    </w:pPr>
    <w:rPr>
      <w:rFonts w:ascii="Times New Roman" w:hAnsi="Times New Roman"/>
    </w:rPr>
  </w:style>
  <w:style w:type="table" w:customStyle="1" w:styleId="83">
    <w:name w:val="Table Normal"/>
    <w:semiHidden/>
    <w:unhideWhenUsed/>
    <w:qFormat/>
    <w:uiPriority w:val="0"/>
    <w:tblPr>
      <w:tblCellMar>
        <w:top w:w="0" w:type="dxa"/>
        <w:left w:w="0" w:type="dxa"/>
        <w:bottom w:w="0" w:type="dxa"/>
        <w:right w:w="0" w:type="dxa"/>
      </w:tblCellMar>
    </w:tblPr>
  </w:style>
  <w:style w:type="paragraph" w:customStyle="1" w:styleId="84">
    <w:name w:val="Table Text"/>
    <w:basedOn w:val="1"/>
    <w:autoRedefine/>
    <w:semiHidden/>
    <w:qFormat/>
    <w:uiPriority w:val="0"/>
    <w:rPr>
      <w:rFonts w:ascii="宋体" w:hAnsi="宋体" w:eastAsia="宋体" w:cs="宋体"/>
      <w:sz w:val="24"/>
      <w:szCs w:val="24"/>
      <w:lang w:val="en-US" w:eastAsia="en-US" w:bidi="ar-SA"/>
    </w:rPr>
  </w:style>
  <w:style w:type="paragraph" w:customStyle="1" w:styleId="85">
    <w:name w:val="表内居中"/>
    <w:autoRedefine/>
    <w:qFormat/>
    <w:uiPriority w:val="0"/>
    <w:pPr>
      <w:tabs>
        <w:tab w:val="right" w:leader="middleDot" w:pos="7938"/>
      </w:tabs>
      <w:adjustRightInd w:val="0"/>
      <w:snapToGrid w:val="0"/>
      <w:jc w:val="center"/>
    </w:pPr>
    <w:rPr>
      <w:rFonts w:ascii="宋体" w:hAnsi="Times New Roman" w:eastAsia="宋体" w:cs="Times New Roman"/>
      <w:sz w:val="21"/>
      <w:lang w:val="en-US" w:eastAsia="zh-CN" w:bidi="ar-SA"/>
    </w:rPr>
  </w:style>
  <w:style w:type="paragraph" w:customStyle="1" w:styleId="86">
    <w:name w:val="表格后空行"/>
    <w:basedOn w:val="1"/>
    <w:autoRedefine/>
    <w:qFormat/>
    <w:uiPriority w:val="0"/>
    <w:pPr>
      <w:widowControl/>
      <w:spacing w:line="240" w:lineRule="exact"/>
      <w:textAlignment w:val="baseline"/>
    </w:pPr>
    <w:rPr>
      <w:rFonts w:ascii="宋体" w:cs="宋体"/>
      <w:color w:val="000000"/>
      <w:kern w:val="0"/>
      <w:sz w:val="18"/>
      <w:szCs w:val="20"/>
      <w:u w:val="none" w:color="000000"/>
    </w:rPr>
  </w:style>
  <w:style w:type="paragraph" w:customStyle="1" w:styleId="87">
    <w:name w:val="正文-1"/>
    <w:qFormat/>
    <w:uiPriority w:val="0"/>
    <w:pPr>
      <w:spacing w:line="480" w:lineRule="exact"/>
      <w:ind w:firstLine="200" w:firstLineChars="200"/>
      <w:jc w:val="both"/>
    </w:pPr>
    <w:rPr>
      <w:rFonts w:ascii="宋体" w:hAnsi="宋体" w:eastAsia="宋体" w:cs="宋体"/>
      <w:kern w:val="2"/>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75</Pages>
  <Words>42336</Words>
  <Characters>46734</Characters>
  <Lines>133</Lines>
  <Paragraphs>37</Paragraphs>
  <TotalTime>5</TotalTime>
  <ScaleCrop>false</ScaleCrop>
  <LinksUpToDate>false</LinksUpToDate>
  <CharactersWithSpaces>46744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2022-01-26T02:39:00Z</dcterms:created>
  <dc:creator>.</dc:creator>
  <cp:lastModifiedBy></cp:lastModifiedBy>
  <dcterms:modified xsi:type="dcterms:W3CDTF">2025-03-29T07:25:50Z</dcterms:modified>
  <cp:revision>424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25937A55D67A46AF92D9CA60B29B1135</vt:lpwstr>
  </property>
  <property fmtid="{D5CDD505-2E9C-101B-9397-08002B2CF9AE}" pid="4" name="KSOTemplateDocerSaveRecord">
    <vt:lpwstr>eyJoZGlkIjoiZDA1NmM0YmRlYjQ0NzI1YWJjMDM1YTE2NjZjMzEwZmYiLCJ1c2VySWQiOiIxMDA5MjQyMjI4In0=</vt:lpwstr>
  </property>
</Properties>
</file>