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5B2FB">
      <w:pPr>
        <w:rPr>
          <w:rFonts w:eastAsia="仿宋_GB2312"/>
          <w:sz w:val="36"/>
          <w:szCs w:val="36"/>
        </w:rPr>
      </w:pPr>
    </w:p>
    <w:p w14:paraId="08801A7F">
      <w:pPr>
        <w:tabs>
          <w:tab w:val="left" w:pos="3739"/>
        </w:tabs>
        <w:rPr>
          <w:rFonts w:hint="eastAsia" w:eastAsia="仿宋_GB2312"/>
          <w:sz w:val="36"/>
          <w:szCs w:val="36"/>
          <w:lang w:eastAsia="zh-CN"/>
        </w:rPr>
      </w:pPr>
      <w:r>
        <w:rPr>
          <w:rFonts w:hint="eastAsia" w:eastAsia="仿宋_GB2312"/>
          <w:sz w:val="36"/>
          <w:szCs w:val="36"/>
          <w:lang w:eastAsia="zh-CN"/>
        </w:rPr>
        <w:tab/>
      </w:r>
    </w:p>
    <w:p w14:paraId="212D632A">
      <w:pPr>
        <w:rPr>
          <w:rFonts w:eastAsia="仿宋_GB2312"/>
          <w:sz w:val="36"/>
          <w:szCs w:val="36"/>
        </w:rPr>
      </w:pPr>
    </w:p>
    <w:p w14:paraId="45BEA6FE">
      <w:pPr>
        <w:rPr>
          <w:rFonts w:eastAsia="仿宋_GB2312"/>
          <w:sz w:val="36"/>
          <w:szCs w:val="36"/>
        </w:rPr>
      </w:pPr>
    </w:p>
    <w:p w14:paraId="6FACD695">
      <w:pPr>
        <w:rPr>
          <w:rFonts w:eastAsia="仿宋_GB2312"/>
          <w:sz w:val="36"/>
          <w:szCs w:val="36"/>
        </w:rPr>
      </w:pPr>
    </w:p>
    <w:p w14:paraId="0E1F1F78">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55C11E15">
      <w:pPr>
        <w:adjustRightInd w:val="0"/>
        <w:snapToGrid w:val="0"/>
        <w:spacing w:before="192" w:beforeLines="80"/>
        <w:jc w:val="center"/>
        <w:rPr>
          <w:rFonts w:hint="eastAsia" w:eastAsia="楷体_GB2312"/>
          <w:bCs/>
          <w:sz w:val="44"/>
          <w:szCs w:val="44"/>
          <w:lang w:eastAsia="zh-CN"/>
        </w:rPr>
      </w:pPr>
      <w:r>
        <w:rPr>
          <w:rFonts w:eastAsia="楷体_GB2312"/>
          <w:bCs/>
          <w:sz w:val="44"/>
          <w:szCs w:val="44"/>
        </w:rPr>
        <w:t>（污染影响类</w:t>
      </w:r>
      <w:r>
        <w:rPr>
          <w:rFonts w:hint="eastAsia" w:eastAsia="楷体_GB2312"/>
          <w:bCs/>
          <w:sz w:val="44"/>
          <w:szCs w:val="44"/>
          <w:lang w:eastAsia="zh-CN"/>
        </w:rPr>
        <w:t>）</w:t>
      </w:r>
    </w:p>
    <w:p w14:paraId="10C4B381">
      <w:pPr>
        <w:adjustRightInd w:val="0"/>
        <w:snapToGrid w:val="0"/>
        <w:spacing w:line="288" w:lineRule="auto"/>
        <w:jc w:val="center"/>
        <w:rPr>
          <w:rFonts w:eastAsia="华文仿宋"/>
          <w:kern w:val="44"/>
          <w:sz w:val="44"/>
          <w:szCs w:val="44"/>
        </w:rPr>
      </w:pPr>
    </w:p>
    <w:p w14:paraId="3ED8BE80">
      <w:pPr>
        <w:jc w:val="center"/>
        <w:rPr>
          <w:rFonts w:eastAsia="仿宋"/>
          <w:sz w:val="52"/>
          <w:szCs w:val="52"/>
        </w:rPr>
      </w:pPr>
    </w:p>
    <w:p w14:paraId="772A11DD">
      <w:pPr>
        <w:ind w:firstLine="1040"/>
        <w:rPr>
          <w:rFonts w:eastAsia="仿宋"/>
          <w:sz w:val="44"/>
          <w:szCs w:val="44"/>
        </w:rPr>
      </w:pPr>
    </w:p>
    <w:p w14:paraId="12B4BF34">
      <w:pPr>
        <w:ind w:firstLine="1040"/>
        <w:rPr>
          <w:rFonts w:eastAsia="仿宋"/>
          <w:sz w:val="44"/>
          <w:szCs w:val="44"/>
        </w:rPr>
      </w:pPr>
    </w:p>
    <w:p w14:paraId="567AE0FE">
      <w:pPr>
        <w:ind w:firstLine="1040"/>
        <w:rPr>
          <w:rFonts w:eastAsia="仿宋"/>
          <w:sz w:val="44"/>
          <w:szCs w:val="44"/>
        </w:rPr>
      </w:pPr>
    </w:p>
    <w:p w14:paraId="5AB65DEF">
      <w:pPr>
        <w:ind w:firstLine="1040"/>
        <w:rPr>
          <w:rFonts w:eastAsia="仿宋"/>
          <w:sz w:val="44"/>
          <w:szCs w:val="44"/>
        </w:rPr>
      </w:pPr>
    </w:p>
    <w:p w14:paraId="54BE16F8">
      <w:pPr>
        <w:adjustRightInd w:val="0"/>
        <w:snapToGrid w:val="0"/>
        <w:spacing w:line="360" w:lineRule="auto"/>
        <w:ind w:left="2558" w:leftChars="304" w:hanging="1920" w:hangingChars="600"/>
        <w:rPr>
          <w:rFonts w:hint="default" w:eastAsia="仿宋_GB2312"/>
          <w:sz w:val="32"/>
          <w:szCs w:val="32"/>
          <w:u w:val="single"/>
          <w:lang w:val="en-US" w:eastAsia="zh-CN"/>
        </w:rPr>
      </w:pPr>
      <w:r>
        <w:rPr>
          <w:rFonts w:eastAsia="仿宋_GB2312"/>
          <w:sz w:val="32"/>
          <w:szCs w:val="32"/>
        </w:rPr>
        <w:t>项目名称：</w:t>
      </w:r>
      <w:r>
        <w:rPr>
          <w:rFonts w:hint="eastAsia" w:eastAsia="仿宋_GB2312"/>
          <w:sz w:val="32"/>
          <w:szCs w:val="32"/>
          <w:u w:val="single"/>
          <w:lang w:eastAsia="zh-CN"/>
        </w:rPr>
        <w:t>库尔勒市兰干乡速冻食品加工项目</w:t>
      </w:r>
      <w:r>
        <w:rPr>
          <w:rFonts w:hint="eastAsia" w:eastAsia="仿宋_GB2312"/>
          <w:sz w:val="32"/>
          <w:szCs w:val="32"/>
          <w:u w:val="single"/>
          <w:lang w:val="en-US" w:eastAsia="zh-CN"/>
        </w:rPr>
        <w:t xml:space="preserve">        </w:t>
      </w:r>
    </w:p>
    <w:p w14:paraId="76C3EA83">
      <w:pPr>
        <w:adjustRightInd w:val="0"/>
        <w:snapToGrid w:val="0"/>
        <w:spacing w:line="360" w:lineRule="auto"/>
        <w:ind w:firstLine="640" w:firstLineChars="200"/>
        <w:rPr>
          <w:rFonts w:hint="default" w:eastAsia="仿宋_GB2312"/>
          <w:sz w:val="32"/>
          <w:szCs w:val="32"/>
          <w:u w:val="single"/>
          <w:lang w:val="en-US" w:eastAsia="zh-CN"/>
        </w:rPr>
      </w:pPr>
      <w:r>
        <w:rPr>
          <w:rFonts w:eastAsia="仿宋_GB2312"/>
          <w:sz w:val="32"/>
          <w:szCs w:val="32"/>
        </w:rPr>
        <w:t>建设单位（盖章</w:t>
      </w:r>
      <w:r>
        <w:rPr>
          <w:rFonts w:hint="eastAsia" w:eastAsia="仿宋_GB2312"/>
          <w:sz w:val="32"/>
          <w:szCs w:val="32"/>
          <w:lang w:eastAsia="zh-CN"/>
        </w:rPr>
        <w:t>）</w:t>
      </w:r>
      <w:r>
        <w:rPr>
          <w:rFonts w:eastAsia="仿宋_GB2312"/>
          <w:sz w:val="32"/>
          <w:szCs w:val="32"/>
        </w:rPr>
        <w:t>：</w:t>
      </w:r>
      <w:r>
        <w:rPr>
          <w:rFonts w:hint="eastAsia" w:eastAsia="仿宋_GB2312"/>
          <w:sz w:val="32"/>
          <w:szCs w:val="32"/>
          <w:u w:val="single"/>
          <w:lang w:eastAsia="zh-CN"/>
        </w:rPr>
        <w:t>新疆维吾尔自治区库尔勒市兰干乡</w:t>
      </w:r>
    </w:p>
    <w:p w14:paraId="53B8C8B3">
      <w:pPr>
        <w:adjustRightInd w:val="0"/>
        <w:snapToGrid w:val="0"/>
        <w:spacing w:line="360" w:lineRule="auto"/>
        <w:ind w:firstLine="3520" w:firstLineChars="1100"/>
        <w:rPr>
          <w:rFonts w:hint="default" w:eastAsia="仿宋_GB2312"/>
          <w:sz w:val="32"/>
          <w:szCs w:val="32"/>
          <w:u w:val="single"/>
          <w:lang w:val="en-US" w:eastAsia="zh-CN"/>
        </w:rPr>
      </w:pPr>
      <w:r>
        <w:rPr>
          <w:rFonts w:hint="eastAsia" w:eastAsia="仿宋_GB2312"/>
          <w:sz w:val="32"/>
          <w:szCs w:val="32"/>
          <w:u w:val="single"/>
          <w:lang w:eastAsia="zh-CN"/>
        </w:rPr>
        <w:t>兰干村村民委员会</w:t>
      </w:r>
      <w:r>
        <w:rPr>
          <w:rFonts w:hint="eastAsia" w:eastAsia="仿宋_GB2312"/>
          <w:sz w:val="32"/>
          <w:szCs w:val="32"/>
          <w:u w:val="single"/>
          <w:lang w:val="en-US" w:eastAsia="zh-CN"/>
        </w:rPr>
        <w:t xml:space="preserve">              </w:t>
      </w:r>
    </w:p>
    <w:p w14:paraId="2E24D4C1">
      <w:pPr>
        <w:adjustRightInd w:val="0"/>
        <w:snapToGrid w:val="0"/>
        <w:spacing w:line="360" w:lineRule="auto"/>
        <w:ind w:firstLine="640" w:firstLineChars="200"/>
        <w:rPr>
          <w:rFonts w:hint="default" w:eastAsia="仿宋_GB2312"/>
          <w:sz w:val="36"/>
          <w:szCs w:val="36"/>
          <w:u w:val="single"/>
          <w:lang w:val="en-US" w:eastAsia="zh-CN"/>
        </w:rPr>
      </w:pPr>
      <w:r>
        <w:rPr>
          <w:rFonts w:eastAsia="仿宋_GB2312"/>
          <w:sz w:val="32"/>
          <w:szCs w:val="32"/>
        </w:rPr>
        <w:t>编制日期：</w:t>
      </w:r>
      <w:r>
        <w:rPr>
          <w:rFonts w:hint="eastAsia" w:eastAsia="仿宋_GB2312"/>
          <w:sz w:val="32"/>
          <w:szCs w:val="32"/>
          <w:u w:val="single"/>
          <w:lang w:val="en-US" w:eastAsia="zh-CN"/>
        </w:rPr>
        <w:t xml:space="preserve">       </w:t>
      </w:r>
      <w:r>
        <w:rPr>
          <w:rFonts w:eastAsia="仿宋_GB2312"/>
          <w:sz w:val="32"/>
          <w:szCs w:val="32"/>
          <w:u w:val="single"/>
        </w:rPr>
        <w:t>202</w:t>
      </w:r>
      <w:r>
        <w:rPr>
          <w:rFonts w:hint="eastAsia" w:eastAsia="仿宋_GB2312"/>
          <w:sz w:val="32"/>
          <w:szCs w:val="32"/>
          <w:u w:val="single"/>
          <w:lang w:val="en-US" w:eastAsia="zh-CN"/>
        </w:rPr>
        <w:t>5</w:t>
      </w:r>
      <w:r>
        <w:rPr>
          <w:rFonts w:eastAsia="仿宋_GB2312"/>
          <w:sz w:val="32"/>
          <w:szCs w:val="32"/>
          <w:u w:val="single"/>
        </w:rPr>
        <w:t>年</w:t>
      </w:r>
      <w:r>
        <w:rPr>
          <w:rFonts w:hint="eastAsia" w:eastAsia="仿宋_GB2312"/>
          <w:sz w:val="32"/>
          <w:szCs w:val="32"/>
          <w:u w:val="single"/>
          <w:lang w:val="en-US" w:eastAsia="zh-CN"/>
        </w:rPr>
        <w:t>3</w:t>
      </w:r>
      <w:r>
        <w:rPr>
          <w:rFonts w:eastAsia="仿宋_GB2312"/>
          <w:sz w:val="32"/>
          <w:szCs w:val="32"/>
          <w:u w:val="single"/>
        </w:rPr>
        <w:t>月</w:t>
      </w:r>
      <w:r>
        <w:rPr>
          <w:rFonts w:hint="eastAsia" w:eastAsia="仿宋_GB2312"/>
          <w:sz w:val="32"/>
          <w:szCs w:val="32"/>
          <w:u w:val="single"/>
          <w:lang w:val="en-US" w:eastAsia="zh-CN"/>
        </w:rPr>
        <w:t xml:space="preserve">                   </w:t>
      </w:r>
    </w:p>
    <w:p w14:paraId="6B7E2349">
      <w:pPr>
        <w:adjustRightInd w:val="0"/>
        <w:snapToGrid w:val="0"/>
        <w:spacing w:line="480" w:lineRule="auto"/>
        <w:ind w:firstLine="1040"/>
        <w:rPr>
          <w:rFonts w:eastAsia="仿宋_GB2312"/>
          <w:sz w:val="36"/>
          <w:szCs w:val="36"/>
          <w:u w:val="single"/>
        </w:rPr>
      </w:pPr>
      <w:bookmarkStart w:id="0" w:name="_Hlk57884087"/>
    </w:p>
    <w:p w14:paraId="7AA13A90">
      <w:pPr>
        <w:adjustRightInd w:val="0"/>
        <w:snapToGrid w:val="0"/>
        <w:spacing w:line="288" w:lineRule="auto"/>
        <w:ind w:firstLine="1040"/>
        <w:rPr>
          <w:rFonts w:eastAsia="仿宋_GB2312"/>
          <w:sz w:val="36"/>
          <w:szCs w:val="36"/>
        </w:rPr>
      </w:pPr>
    </w:p>
    <w:p w14:paraId="6576D112">
      <w:pPr>
        <w:adjustRightInd w:val="0"/>
        <w:snapToGrid w:val="0"/>
        <w:spacing w:line="288" w:lineRule="auto"/>
        <w:ind w:firstLine="1040"/>
        <w:rPr>
          <w:rFonts w:eastAsia="仿宋_GB2312"/>
          <w:sz w:val="36"/>
          <w:szCs w:val="36"/>
        </w:rPr>
      </w:pPr>
    </w:p>
    <w:p w14:paraId="6EC1BE49">
      <w:pPr>
        <w:adjustRightInd w:val="0"/>
        <w:snapToGrid w:val="0"/>
        <w:spacing w:line="288" w:lineRule="auto"/>
        <w:ind w:firstLine="1040"/>
        <w:rPr>
          <w:rFonts w:eastAsia="仿宋_GB2312"/>
          <w:sz w:val="36"/>
          <w:szCs w:val="36"/>
        </w:rPr>
      </w:pPr>
    </w:p>
    <w:bookmarkEnd w:id="0"/>
    <w:p w14:paraId="6822B5F0">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2DAE386A">
      <w:pPr>
        <w:adjustRightInd w:val="0"/>
        <w:snapToGrid w:val="0"/>
        <w:spacing w:line="288" w:lineRule="auto"/>
        <w:ind w:firstLine="1040"/>
        <w:rPr>
          <w:rFonts w:eastAsia="仿宋_GB2312"/>
          <w:sz w:val="36"/>
          <w:szCs w:val="36"/>
        </w:rPr>
        <w:sectPr>
          <w:footerReference r:id="rId3" w:type="default"/>
          <w:footerReference r:id="rId4" w:type="even"/>
          <w:pgSz w:w="11906" w:h="16838"/>
          <w:pgMar w:top="1531" w:right="1531" w:bottom="153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4F76625">
      <w:pPr>
        <w:pStyle w:val="26"/>
        <w:rPr>
          <w:rFonts w:ascii="Times New Roman" w:hAnsi="Times New Roman" w:cs="Times New Roman"/>
          <w:snapToGrid w:val="0"/>
        </w:rPr>
      </w:pPr>
      <w:r>
        <w:rPr>
          <w:rFonts w:ascii="Times New Roman" w:hAnsi="Times New Roman" w:cs="Times New Roman"/>
          <w:snapToGrid w:val="0"/>
        </w:rPr>
        <w:t>一、建设项目基本情况</w:t>
      </w:r>
    </w:p>
    <w:tbl>
      <w:tblPr>
        <w:tblStyle w:val="2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0"/>
        <w:gridCol w:w="2387"/>
        <w:gridCol w:w="2246"/>
        <w:gridCol w:w="3556"/>
      </w:tblGrid>
      <w:tr w14:paraId="3A47F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0" w:hRule="atLeast"/>
          <w:jc w:val="center"/>
        </w:trPr>
        <w:tc>
          <w:tcPr>
            <w:tcW w:w="553" w:type="pct"/>
            <w:tcMar>
              <w:top w:w="16" w:type="dxa"/>
              <w:left w:w="16" w:type="dxa"/>
              <w:right w:w="16" w:type="dxa"/>
            </w:tcMar>
            <w:vAlign w:val="center"/>
          </w:tcPr>
          <w:p w14:paraId="3A402294">
            <w:pPr>
              <w:adjustRightInd w:val="0"/>
              <w:snapToGrid w:val="0"/>
              <w:jc w:val="center"/>
              <w:rPr>
                <w:color w:val="auto"/>
                <w:sz w:val="24"/>
                <w:szCs w:val="24"/>
              </w:rPr>
            </w:pPr>
            <w:r>
              <w:rPr>
                <w:color w:val="auto"/>
                <w:sz w:val="24"/>
                <w:szCs w:val="24"/>
              </w:rPr>
              <w:t>建设项目名称</w:t>
            </w:r>
          </w:p>
        </w:tc>
        <w:tc>
          <w:tcPr>
            <w:tcW w:w="4446" w:type="pct"/>
            <w:gridSpan w:val="3"/>
            <w:vAlign w:val="center"/>
          </w:tcPr>
          <w:p w14:paraId="789138B1">
            <w:pPr>
              <w:adjustRightInd w:val="0"/>
              <w:snapToGrid w:val="0"/>
              <w:jc w:val="center"/>
              <w:rPr>
                <w:rFonts w:hint="eastAsia" w:eastAsia="宋体"/>
                <w:color w:val="auto"/>
                <w:sz w:val="24"/>
                <w:szCs w:val="24"/>
                <w:lang w:eastAsia="zh-CN"/>
              </w:rPr>
            </w:pPr>
            <w:r>
              <w:rPr>
                <w:rFonts w:hint="default" w:ascii="Times New Roman" w:hAnsi="Times New Roman" w:eastAsia="宋体" w:cs="Times New Roman"/>
                <w:color w:val="auto"/>
                <w:sz w:val="28"/>
                <w:szCs w:val="28"/>
                <w:lang w:val="en-US" w:eastAsia="zh-CN"/>
              </w:rPr>
              <w:t>库尔勒市兰干乡速冻食品加工项目</w:t>
            </w:r>
          </w:p>
        </w:tc>
      </w:tr>
      <w:tr w14:paraId="0E7A2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7122F73D">
            <w:pPr>
              <w:adjustRightInd w:val="0"/>
              <w:snapToGrid w:val="0"/>
              <w:jc w:val="center"/>
              <w:rPr>
                <w:color w:val="auto"/>
                <w:sz w:val="24"/>
                <w:szCs w:val="24"/>
              </w:rPr>
            </w:pPr>
            <w:r>
              <w:rPr>
                <w:color w:val="auto"/>
                <w:sz w:val="24"/>
                <w:szCs w:val="24"/>
              </w:rPr>
              <w:t>项目代码</w:t>
            </w:r>
          </w:p>
        </w:tc>
        <w:tc>
          <w:tcPr>
            <w:tcW w:w="4446" w:type="pct"/>
            <w:gridSpan w:val="3"/>
            <w:vAlign w:val="center"/>
          </w:tcPr>
          <w:p w14:paraId="58CAA734">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2402-652801-04-01-478007</w:t>
            </w:r>
          </w:p>
        </w:tc>
      </w:tr>
      <w:tr w14:paraId="3716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39994316">
            <w:pPr>
              <w:adjustRightInd w:val="0"/>
              <w:snapToGrid w:val="0"/>
              <w:jc w:val="center"/>
              <w:rPr>
                <w:color w:val="auto"/>
                <w:sz w:val="24"/>
                <w:szCs w:val="24"/>
              </w:rPr>
            </w:pPr>
            <w:r>
              <w:rPr>
                <w:color w:val="auto"/>
                <w:sz w:val="24"/>
                <w:szCs w:val="24"/>
              </w:rPr>
              <w:t>建设单位联系人</w:t>
            </w:r>
          </w:p>
        </w:tc>
        <w:tc>
          <w:tcPr>
            <w:tcW w:w="1296" w:type="pct"/>
            <w:vAlign w:val="center"/>
          </w:tcPr>
          <w:p w14:paraId="402AC27B">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周志明</w:t>
            </w:r>
          </w:p>
        </w:tc>
        <w:tc>
          <w:tcPr>
            <w:tcW w:w="1219" w:type="pct"/>
            <w:vAlign w:val="center"/>
          </w:tcPr>
          <w:p w14:paraId="69F2A88E">
            <w:pPr>
              <w:adjustRightInd w:val="0"/>
              <w:snapToGrid w:val="0"/>
              <w:jc w:val="center"/>
              <w:rPr>
                <w:color w:val="auto"/>
                <w:sz w:val="24"/>
                <w:szCs w:val="24"/>
              </w:rPr>
            </w:pPr>
            <w:r>
              <w:rPr>
                <w:color w:val="auto"/>
                <w:sz w:val="24"/>
                <w:szCs w:val="24"/>
              </w:rPr>
              <w:t>联系方式</w:t>
            </w:r>
          </w:p>
        </w:tc>
        <w:tc>
          <w:tcPr>
            <w:tcW w:w="1930" w:type="pct"/>
            <w:vAlign w:val="center"/>
          </w:tcPr>
          <w:p w14:paraId="3A5AC95E">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17399075156</w:t>
            </w:r>
          </w:p>
        </w:tc>
      </w:tr>
      <w:tr w14:paraId="55DA5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30E569FB">
            <w:pPr>
              <w:adjustRightInd w:val="0"/>
              <w:snapToGrid w:val="0"/>
              <w:jc w:val="center"/>
              <w:rPr>
                <w:color w:val="auto"/>
                <w:sz w:val="24"/>
                <w:szCs w:val="24"/>
              </w:rPr>
            </w:pPr>
            <w:r>
              <w:rPr>
                <w:color w:val="auto"/>
                <w:sz w:val="24"/>
                <w:szCs w:val="24"/>
              </w:rPr>
              <w:t>建设地点</w:t>
            </w:r>
          </w:p>
        </w:tc>
        <w:tc>
          <w:tcPr>
            <w:tcW w:w="4446" w:type="pct"/>
            <w:gridSpan w:val="3"/>
            <w:vAlign w:val="center"/>
          </w:tcPr>
          <w:p w14:paraId="6DE74ED0">
            <w:pPr>
              <w:adjustRightInd w:val="0"/>
              <w:snapToGrid w:val="0"/>
              <w:jc w:val="center"/>
              <w:rPr>
                <w:rFonts w:hint="default" w:eastAsia="宋体"/>
                <w:color w:val="auto"/>
                <w:sz w:val="24"/>
                <w:szCs w:val="24"/>
                <w:lang w:val="en-US" w:eastAsia="zh-CN"/>
              </w:rPr>
            </w:pPr>
            <w:r>
              <w:rPr>
                <w:color w:val="auto"/>
                <w:sz w:val="24"/>
                <w:szCs w:val="24"/>
              </w:rPr>
              <w:t>新疆巴州</w:t>
            </w:r>
            <w:r>
              <w:rPr>
                <w:rFonts w:hint="eastAsia"/>
                <w:color w:val="auto"/>
                <w:sz w:val="24"/>
                <w:szCs w:val="24"/>
                <w:lang w:val="en-US" w:eastAsia="zh-CN"/>
              </w:rPr>
              <w:t>库尔勒市兰干乡兰干村（库尔勒市食品加工产业小镇内）</w:t>
            </w:r>
          </w:p>
        </w:tc>
      </w:tr>
      <w:tr w14:paraId="6B73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5BB12B1C">
            <w:pPr>
              <w:adjustRightInd w:val="0"/>
              <w:snapToGrid w:val="0"/>
              <w:jc w:val="center"/>
              <w:rPr>
                <w:color w:val="auto"/>
                <w:sz w:val="24"/>
                <w:szCs w:val="24"/>
              </w:rPr>
            </w:pPr>
            <w:r>
              <w:rPr>
                <w:color w:val="auto"/>
                <w:sz w:val="24"/>
                <w:szCs w:val="24"/>
              </w:rPr>
              <w:t>地理坐标</w:t>
            </w:r>
          </w:p>
        </w:tc>
        <w:tc>
          <w:tcPr>
            <w:tcW w:w="4446" w:type="pct"/>
            <w:gridSpan w:val="3"/>
            <w:vAlign w:val="center"/>
          </w:tcPr>
          <w:p w14:paraId="7E74FF90">
            <w:pPr>
              <w:jc w:val="center"/>
              <w:rPr>
                <w:color w:val="auto"/>
                <w:sz w:val="24"/>
                <w:szCs w:val="24"/>
              </w:rPr>
            </w:pPr>
            <w:r>
              <w:rPr>
                <w:color w:val="auto"/>
                <w:sz w:val="24"/>
                <w:szCs w:val="24"/>
              </w:rPr>
              <w:t>东经</w:t>
            </w:r>
            <w:r>
              <w:rPr>
                <w:color w:val="auto"/>
                <w:sz w:val="24"/>
                <w:szCs w:val="24"/>
                <w:u w:val="single"/>
              </w:rPr>
              <w:t>86</w:t>
            </w:r>
            <w:r>
              <w:rPr>
                <w:color w:val="auto"/>
                <w:sz w:val="24"/>
                <w:szCs w:val="24"/>
              </w:rPr>
              <w:t>度</w:t>
            </w:r>
            <w:r>
              <w:rPr>
                <w:rFonts w:hint="eastAsia"/>
                <w:color w:val="auto"/>
                <w:sz w:val="24"/>
                <w:szCs w:val="24"/>
                <w:u w:val="single"/>
                <w:lang w:val="en-US" w:eastAsia="zh-CN"/>
              </w:rPr>
              <w:t>2</w:t>
            </w:r>
            <w:r>
              <w:rPr>
                <w:color w:val="auto"/>
                <w:sz w:val="24"/>
                <w:szCs w:val="24"/>
              </w:rPr>
              <w:t>分</w:t>
            </w:r>
            <w:r>
              <w:rPr>
                <w:rFonts w:hint="eastAsia"/>
                <w:color w:val="auto"/>
                <w:sz w:val="24"/>
                <w:szCs w:val="24"/>
                <w:u w:val="single"/>
                <w:lang w:val="en-US" w:eastAsia="zh-CN"/>
              </w:rPr>
              <w:t>52.108</w:t>
            </w:r>
            <w:r>
              <w:rPr>
                <w:color w:val="auto"/>
                <w:sz w:val="24"/>
                <w:szCs w:val="24"/>
              </w:rPr>
              <w:t>秒，北纬</w:t>
            </w:r>
            <w:r>
              <w:rPr>
                <w:color w:val="auto"/>
                <w:sz w:val="24"/>
                <w:szCs w:val="24"/>
                <w:u w:val="single"/>
              </w:rPr>
              <w:t>4</w:t>
            </w:r>
            <w:r>
              <w:rPr>
                <w:rFonts w:hint="eastAsia"/>
                <w:color w:val="auto"/>
                <w:sz w:val="24"/>
                <w:szCs w:val="24"/>
                <w:u w:val="single"/>
                <w:lang w:val="en-US" w:eastAsia="zh-CN"/>
              </w:rPr>
              <w:t>1</w:t>
            </w:r>
            <w:r>
              <w:rPr>
                <w:color w:val="auto"/>
                <w:sz w:val="24"/>
                <w:szCs w:val="24"/>
              </w:rPr>
              <w:t>度</w:t>
            </w:r>
            <w:r>
              <w:rPr>
                <w:rFonts w:hint="eastAsia"/>
                <w:color w:val="auto"/>
                <w:sz w:val="24"/>
                <w:szCs w:val="24"/>
                <w:u w:val="single"/>
                <w:lang w:val="en-US" w:eastAsia="zh-CN"/>
              </w:rPr>
              <w:t>45</w:t>
            </w:r>
            <w:r>
              <w:rPr>
                <w:color w:val="auto"/>
                <w:sz w:val="24"/>
                <w:szCs w:val="24"/>
              </w:rPr>
              <w:t>分</w:t>
            </w:r>
            <w:r>
              <w:rPr>
                <w:rFonts w:hint="eastAsia"/>
                <w:color w:val="auto"/>
                <w:sz w:val="24"/>
                <w:szCs w:val="24"/>
                <w:u w:val="single"/>
                <w:lang w:val="en-US" w:eastAsia="zh-CN"/>
              </w:rPr>
              <w:t>36.890</w:t>
            </w:r>
            <w:r>
              <w:rPr>
                <w:color w:val="auto"/>
                <w:sz w:val="24"/>
                <w:szCs w:val="24"/>
              </w:rPr>
              <w:t>秒</w:t>
            </w:r>
          </w:p>
        </w:tc>
      </w:tr>
      <w:tr w14:paraId="64CCB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53" w:type="pct"/>
            <w:shd w:val="clear" w:color="auto" w:fill="auto"/>
            <w:tcMar>
              <w:top w:w="16" w:type="dxa"/>
              <w:left w:w="16" w:type="dxa"/>
              <w:right w:w="16" w:type="dxa"/>
            </w:tcMar>
            <w:vAlign w:val="center"/>
          </w:tcPr>
          <w:p w14:paraId="32110D8A">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color w:val="auto"/>
                <w:sz w:val="24"/>
                <w:szCs w:val="24"/>
              </w:rPr>
              <w:t>国民经济</w:t>
            </w:r>
          </w:p>
          <w:p w14:paraId="2B766063">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color w:val="auto"/>
                <w:sz w:val="24"/>
                <w:szCs w:val="24"/>
              </w:rPr>
              <w:t>行业类别</w:t>
            </w:r>
          </w:p>
        </w:tc>
        <w:tc>
          <w:tcPr>
            <w:tcW w:w="1296" w:type="pct"/>
            <w:shd w:val="clear" w:color="auto" w:fill="auto"/>
            <w:vAlign w:val="center"/>
          </w:tcPr>
          <w:p w14:paraId="6A1C88C9">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1391淀粉及淀粉制品制造</w:t>
            </w:r>
          </w:p>
          <w:p w14:paraId="34D30886">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1392豆制品制造</w:t>
            </w:r>
          </w:p>
          <w:p w14:paraId="71A27F0F">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1353肉制品及副产品加工</w:t>
            </w:r>
          </w:p>
          <w:p w14:paraId="4ADE674E">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144乳制品制造</w:t>
            </w:r>
          </w:p>
          <w:p w14:paraId="08B3F7A9">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4620污水处理及其再生利用</w:t>
            </w:r>
          </w:p>
        </w:tc>
        <w:tc>
          <w:tcPr>
            <w:tcW w:w="1219" w:type="pct"/>
            <w:shd w:val="clear" w:color="auto" w:fill="auto"/>
            <w:vAlign w:val="center"/>
          </w:tcPr>
          <w:p w14:paraId="4F7D6C0D">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bookmarkStart w:id="1" w:name="_Hlk49843745"/>
            <w:r>
              <w:rPr>
                <w:color w:val="auto"/>
                <w:sz w:val="24"/>
                <w:szCs w:val="24"/>
              </w:rPr>
              <w:t>建设项目</w:t>
            </w:r>
          </w:p>
          <w:p w14:paraId="200CBAD1">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color w:val="auto"/>
                <w:sz w:val="24"/>
                <w:szCs w:val="24"/>
              </w:rPr>
              <w:t>行业类别</w:t>
            </w:r>
            <w:bookmarkEnd w:id="1"/>
          </w:p>
        </w:tc>
        <w:tc>
          <w:tcPr>
            <w:tcW w:w="1930" w:type="pct"/>
            <w:shd w:val="clear" w:color="auto" w:fill="auto"/>
            <w:vAlign w:val="center"/>
          </w:tcPr>
          <w:p w14:paraId="4A7687EC">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十、农副食品加工业13，20、其他农副食品加工139，不含发酵工艺的淀粉、淀粉糖制造；淀粉制品制造；豆制品制造以上均不含单纯分装的</w:t>
            </w:r>
          </w:p>
          <w:p w14:paraId="0F15E943">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十、农副食品加工业13-18屠宰及肉类加工135*-其他肉类加工</w:t>
            </w:r>
          </w:p>
          <w:p w14:paraId="64ECD747">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十一、食品制造业14-22乳制品制造144-除单独混合分装外的</w:t>
            </w:r>
          </w:p>
          <w:p w14:paraId="5A488581">
            <w:pPr>
              <w:keepNext w:val="0"/>
              <w:keepLines w:val="0"/>
              <w:pageBreakBefore w:val="0"/>
              <w:widowControl w:val="0"/>
              <w:kinsoku/>
              <w:wordWrap/>
              <w:overflowPunct/>
              <w:topLinePunct w:val="0"/>
              <w:autoSpaceDE/>
              <w:autoSpaceDN/>
              <w:bidi w:val="0"/>
              <w:adjustRightInd w:val="0"/>
              <w:snapToGrid w:val="0"/>
              <w:ind w:left="21" w:leftChars="10" w:right="21" w:rightChars="10"/>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t>四十三、水的生产和供应业，95污水处理及再生利用，新建、扩建其他工业废水处理的（不含建设单位自建自用仅处理生活污水的；不含出水间接排入地表水体且不排放重金属的）</w:t>
            </w:r>
          </w:p>
        </w:tc>
      </w:tr>
      <w:tr w14:paraId="753E5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53" w:type="pct"/>
            <w:tcMar>
              <w:top w:w="16" w:type="dxa"/>
              <w:left w:w="16" w:type="dxa"/>
              <w:right w:w="16" w:type="dxa"/>
            </w:tcMar>
            <w:vAlign w:val="center"/>
          </w:tcPr>
          <w:p w14:paraId="143A6B97">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color w:val="auto"/>
                <w:sz w:val="24"/>
                <w:szCs w:val="24"/>
              </w:rPr>
              <w:t>建设性质</w:t>
            </w:r>
          </w:p>
        </w:tc>
        <w:tc>
          <w:tcPr>
            <w:tcW w:w="1296" w:type="pct"/>
            <w:vAlign w:val="center"/>
          </w:tcPr>
          <w:p w14:paraId="5F7A7309">
            <w:pPr>
              <w:keepNext w:val="0"/>
              <w:keepLines w:val="0"/>
              <w:pageBreakBefore w:val="0"/>
              <w:widowControl w:val="0"/>
              <w:kinsoku/>
              <w:wordWrap/>
              <w:overflowPunct/>
              <w:topLinePunct w:val="0"/>
              <w:autoSpaceDE/>
              <w:autoSpaceDN/>
              <w:bidi w:val="0"/>
              <w:ind w:left="21" w:leftChars="10" w:right="21" w:rightChars="1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sym w:font="Wingdings 2" w:char="0052"/>
            </w:r>
            <w:r>
              <w:rPr>
                <w:color w:val="auto"/>
                <w:sz w:val="24"/>
                <w:szCs w:val="24"/>
                <w:highlight w:val="none"/>
              </w:rPr>
              <w:t>新建（迁建</w:t>
            </w:r>
            <w:r>
              <w:rPr>
                <w:rFonts w:hint="eastAsia"/>
                <w:color w:val="auto"/>
                <w:sz w:val="24"/>
                <w:szCs w:val="24"/>
                <w:highlight w:val="none"/>
                <w:lang w:eastAsia="zh-CN"/>
              </w:rPr>
              <w:t>）</w:t>
            </w:r>
          </w:p>
          <w:p w14:paraId="5A3C3C4F">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改建</w:t>
            </w:r>
          </w:p>
          <w:p w14:paraId="4BAE739D">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扩建</w:t>
            </w:r>
          </w:p>
          <w:p w14:paraId="50938420">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技术改造</w:t>
            </w:r>
          </w:p>
        </w:tc>
        <w:tc>
          <w:tcPr>
            <w:tcW w:w="1219" w:type="pct"/>
            <w:vAlign w:val="center"/>
          </w:tcPr>
          <w:p w14:paraId="2389EB3F">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highlight w:val="none"/>
              </w:rPr>
            </w:pPr>
            <w:r>
              <w:rPr>
                <w:color w:val="auto"/>
                <w:sz w:val="24"/>
                <w:szCs w:val="24"/>
                <w:highlight w:val="none"/>
              </w:rPr>
              <w:t>建设项目</w:t>
            </w:r>
          </w:p>
          <w:p w14:paraId="60CA465E">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highlight w:val="none"/>
              </w:rPr>
            </w:pPr>
            <w:r>
              <w:rPr>
                <w:color w:val="auto"/>
                <w:sz w:val="24"/>
                <w:szCs w:val="24"/>
                <w:highlight w:val="none"/>
              </w:rPr>
              <w:t>申报情形</w:t>
            </w:r>
          </w:p>
        </w:tc>
        <w:tc>
          <w:tcPr>
            <w:tcW w:w="1930" w:type="pct"/>
            <w:vAlign w:val="center"/>
          </w:tcPr>
          <w:p w14:paraId="3ED8227F">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52"/>
            </w:r>
            <w:r>
              <w:rPr>
                <w:color w:val="auto"/>
                <w:sz w:val="24"/>
                <w:szCs w:val="24"/>
                <w:highlight w:val="none"/>
              </w:rPr>
              <w:t>首次申报项目</w:t>
            </w:r>
          </w:p>
          <w:p w14:paraId="0BC50A37">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不予批准后再次申报项目</w:t>
            </w:r>
          </w:p>
          <w:p w14:paraId="6073DCB4">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超五年重新审核项目</w:t>
            </w:r>
          </w:p>
          <w:p w14:paraId="493A0507">
            <w:pPr>
              <w:keepNext w:val="0"/>
              <w:keepLines w:val="0"/>
              <w:pageBreakBefore w:val="0"/>
              <w:widowControl w:val="0"/>
              <w:kinsoku/>
              <w:wordWrap/>
              <w:overflowPunct/>
              <w:topLinePunct w:val="0"/>
              <w:autoSpaceDE/>
              <w:autoSpaceDN/>
              <w:bidi w:val="0"/>
              <w:ind w:left="21" w:leftChars="10" w:right="21" w:rightChars="10"/>
              <w:jc w:val="left"/>
              <w:textAlignment w:val="auto"/>
              <w:rPr>
                <w:color w:val="auto"/>
                <w:sz w:val="24"/>
                <w:szCs w:val="24"/>
                <w:highlight w:val="none"/>
              </w:rPr>
            </w:pPr>
            <w:r>
              <w:rPr>
                <w:rFonts w:hint="eastAsia"/>
                <w:color w:val="auto"/>
                <w:sz w:val="24"/>
                <w:szCs w:val="24"/>
                <w:highlight w:val="none"/>
                <w:lang w:eastAsia="zh-CN"/>
              </w:rPr>
              <w:sym w:font="Wingdings 2" w:char="00A3"/>
            </w:r>
            <w:r>
              <w:rPr>
                <w:color w:val="auto"/>
                <w:sz w:val="24"/>
                <w:szCs w:val="24"/>
                <w:highlight w:val="none"/>
              </w:rPr>
              <w:t>重大变动重新报批项目</w:t>
            </w:r>
          </w:p>
        </w:tc>
      </w:tr>
      <w:tr w14:paraId="7D84C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553" w:type="pct"/>
            <w:tcMar>
              <w:top w:w="16" w:type="dxa"/>
              <w:left w:w="16" w:type="dxa"/>
              <w:right w:w="16" w:type="dxa"/>
            </w:tcMar>
            <w:vAlign w:val="center"/>
          </w:tcPr>
          <w:p w14:paraId="0EC797EE">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eastAsia" w:eastAsia="宋体"/>
                <w:color w:val="auto"/>
                <w:sz w:val="24"/>
                <w:szCs w:val="24"/>
                <w:lang w:eastAsia="zh-CN"/>
              </w:rPr>
            </w:pPr>
            <w:r>
              <w:rPr>
                <w:color w:val="auto"/>
                <w:sz w:val="24"/>
                <w:szCs w:val="24"/>
              </w:rPr>
              <w:t>项目审批（核准/备案</w:t>
            </w:r>
            <w:r>
              <w:rPr>
                <w:rFonts w:hint="eastAsia"/>
                <w:color w:val="auto"/>
                <w:sz w:val="24"/>
                <w:szCs w:val="24"/>
                <w:lang w:eastAsia="zh-CN"/>
              </w:rPr>
              <w:t>）</w:t>
            </w:r>
            <w:r>
              <w:rPr>
                <w:color w:val="auto"/>
                <w:sz w:val="24"/>
                <w:szCs w:val="24"/>
              </w:rPr>
              <w:t>部门（选填</w:t>
            </w:r>
            <w:r>
              <w:rPr>
                <w:rFonts w:hint="eastAsia"/>
                <w:color w:val="auto"/>
                <w:sz w:val="24"/>
                <w:szCs w:val="24"/>
                <w:lang w:eastAsia="zh-CN"/>
              </w:rPr>
              <w:t>）</w:t>
            </w:r>
          </w:p>
        </w:tc>
        <w:tc>
          <w:tcPr>
            <w:tcW w:w="1296" w:type="pct"/>
            <w:vAlign w:val="center"/>
          </w:tcPr>
          <w:p w14:paraId="3BF1E6F3">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rFonts w:hint="eastAsia"/>
                <w:color w:val="auto"/>
                <w:sz w:val="24"/>
                <w:szCs w:val="24"/>
                <w:lang w:eastAsia="zh-CN"/>
              </w:rPr>
              <w:t>库尔勒市</w:t>
            </w:r>
            <w:r>
              <w:rPr>
                <w:color w:val="auto"/>
                <w:sz w:val="24"/>
                <w:szCs w:val="24"/>
              </w:rPr>
              <w:t>发展和改革委员会</w:t>
            </w:r>
          </w:p>
        </w:tc>
        <w:tc>
          <w:tcPr>
            <w:tcW w:w="1219" w:type="pct"/>
            <w:vAlign w:val="center"/>
          </w:tcPr>
          <w:p w14:paraId="2292B0A1">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color w:val="auto"/>
                <w:sz w:val="24"/>
                <w:szCs w:val="24"/>
              </w:rPr>
            </w:pPr>
            <w:r>
              <w:rPr>
                <w:color w:val="auto"/>
                <w:sz w:val="24"/>
                <w:szCs w:val="24"/>
              </w:rPr>
              <w:t>项目审批（核准/</w:t>
            </w:r>
          </w:p>
          <w:p w14:paraId="23B052FA">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eastAsia" w:eastAsia="宋体"/>
                <w:color w:val="auto"/>
                <w:sz w:val="24"/>
                <w:szCs w:val="24"/>
                <w:lang w:eastAsia="zh-CN"/>
              </w:rPr>
            </w:pPr>
            <w:r>
              <w:rPr>
                <w:color w:val="auto"/>
                <w:sz w:val="24"/>
                <w:szCs w:val="24"/>
              </w:rPr>
              <w:t>备案</w:t>
            </w:r>
            <w:r>
              <w:rPr>
                <w:rFonts w:hint="eastAsia"/>
                <w:color w:val="auto"/>
                <w:sz w:val="24"/>
                <w:szCs w:val="24"/>
                <w:lang w:eastAsia="zh-CN"/>
              </w:rPr>
              <w:t>）</w:t>
            </w:r>
            <w:r>
              <w:rPr>
                <w:color w:val="auto"/>
                <w:sz w:val="24"/>
                <w:szCs w:val="24"/>
              </w:rPr>
              <w:t>文号（选填</w:t>
            </w:r>
            <w:r>
              <w:rPr>
                <w:rFonts w:hint="eastAsia"/>
                <w:color w:val="auto"/>
                <w:sz w:val="24"/>
                <w:szCs w:val="24"/>
                <w:lang w:eastAsia="zh-CN"/>
              </w:rPr>
              <w:t>）</w:t>
            </w:r>
          </w:p>
        </w:tc>
        <w:tc>
          <w:tcPr>
            <w:tcW w:w="1930" w:type="pct"/>
            <w:vAlign w:val="center"/>
          </w:tcPr>
          <w:p w14:paraId="42B39DFA">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eastAsia" w:eastAsia="宋体"/>
                <w:color w:val="auto"/>
                <w:sz w:val="24"/>
                <w:szCs w:val="24"/>
                <w:lang w:eastAsia="zh-CN"/>
              </w:rPr>
            </w:pPr>
            <w:r>
              <w:rPr>
                <w:rFonts w:hint="eastAsia"/>
                <w:color w:val="auto"/>
                <w:sz w:val="24"/>
                <w:szCs w:val="24"/>
                <w:lang w:val="en-US" w:eastAsia="zh-CN"/>
              </w:rPr>
              <w:t>库发改农经</w:t>
            </w:r>
            <w:r>
              <w:rPr>
                <w:rFonts w:hint="eastAsia" w:ascii="宋体" w:hAnsi="宋体" w:eastAsia="宋体" w:cs="宋体"/>
                <w:color w:val="auto"/>
                <w:sz w:val="24"/>
                <w:szCs w:val="24"/>
                <w:lang w:val="en-US" w:eastAsia="zh-CN"/>
              </w:rPr>
              <w:t>〔</w:t>
            </w:r>
            <w:r>
              <w:rPr>
                <w:rFonts w:hint="eastAsia"/>
                <w:color w:val="auto"/>
                <w:sz w:val="24"/>
                <w:szCs w:val="24"/>
                <w:lang w:val="en-US" w:eastAsia="zh-CN"/>
              </w:rPr>
              <w:t>2024</w:t>
            </w:r>
            <w:r>
              <w:rPr>
                <w:rFonts w:hint="eastAsia" w:ascii="宋体" w:hAnsi="宋体" w:eastAsia="宋体" w:cs="宋体"/>
                <w:color w:val="auto"/>
                <w:sz w:val="24"/>
                <w:szCs w:val="24"/>
                <w:lang w:val="en-US" w:eastAsia="zh-CN"/>
              </w:rPr>
              <w:t>〕</w:t>
            </w:r>
            <w:r>
              <w:rPr>
                <w:rFonts w:hint="eastAsia"/>
                <w:color w:val="auto"/>
                <w:sz w:val="24"/>
                <w:szCs w:val="24"/>
                <w:lang w:val="en-US" w:eastAsia="zh-CN"/>
              </w:rPr>
              <w:t>46号</w:t>
            </w:r>
          </w:p>
        </w:tc>
      </w:tr>
      <w:tr w14:paraId="48AA9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1458B79E">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eastAsia" w:eastAsia="宋体"/>
                <w:color w:val="auto"/>
                <w:sz w:val="24"/>
                <w:szCs w:val="24"/>
                <w:lang w:eastAsia="zh-CN"/>
              </w:rPr>
            </w:pPr>
            <w:r>
              <w:rPr>
                <w:color w:val="auto"/>
                <w:sz w:val="24"/>
                <w:szCs w:val="24"/>
              </w:rPr>
              <w:t>总投资（万元</w:t>
            </w:r>
            <w:r>
              <w:rPr>
                <w:rFonts w:hint="eastAsia"/>
                <w:color w:val="auto"/>
                <w:sz w:val="24"/>
                <w:szCs w:val="24"/>
                <w:lang w:eastAsia="zh-CN"/>
              </w:rPr>
              <w:t>）</w:t>
            </w:r>
          </w:p>
        </w:tc>
        <w:tc>
          <w:tcPr>
            <w:tcW w:w="1296" w:type="pct"/>
            <w:vAlign w:val="center"/>
          </w:tcPr>
          <w:p w14:paraId="78218BFC">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default" w:eastAsia="宋体"/>
                <w:color w:val="auto"/>
                <w:sz w:val="24"/>
                <w:szCs w:val="24"/>
                <w:lang w:val="en-US" w:eastAsia="zh-CN"/>
              </w:rPr>
            </w:pPr>
            <w:r>
              <w:rPr>
                <w:rFonts w:hint="eastAsia"/>
                <w:color w:val="auto"/>
                <w:sz w:val="24"/>
                <w:szCs w:val="24"/>
                <w:lang w:val="en-US" w:eastAsia="zh-CN"/>
              </w:rPr>
              <w:t>850</w:t>
            </w:r>
          </w:p>
        </w:tc>
        <w:tc>
          <w:tcPr>
            <w:tcW w:w="1219" w:type="pct"/>
            <w:tcMar>
              <w:top w:w="16" w:type="dxa"/>
              <w:left w:w="16" w:type="dxa"/>
              <w:right w:w="16" w:type="dxa"/>
            </w:tcMar>
            <w:vAlign w:val="center"/>
          </w:tcPr>
          <w:p w14:paraId="38766121">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eastAsia" w:eastAsia="宋体"/>
                <w:color w:val="auto"/>
                <w:sz w:val="24"/>
                <w:szCs w:val="24"/>
                <w:lang w:eastAsia="zh-CN"/>
              </w:rPr>
            </w:pPr>
            <w:r>
              <w:rPr>
                <w:color w:val="auto"/>
                <w:sz w:val="24"/>
                <w:szCs w:val="24"/>
              </w:rPr>
              <w:t>环保投资（万元</w:t>
            </w:r>
            <w:r>
              <w:rPr>
                <w:rFonts w:hint="eastAsia"/>
                <w:color w:val="auto"/>
                <w:sz w:val="24"/>
                <w:szCs w:val="24"/>
                <w:lang w:eastAsia="zh-CN"/>
              </w:rPr>
              <w:t>）</w:t>
            </w:r>
          </w:p>
        </w:tc>
        <w:tc>
          <w:tcPr>
            <w:tcW w:w="1930" w:type="pct"/>
            <w:vAlign w:val="center"/>
          </w:tcPr>
          <w:p w14:paraId="0A460195">
            <w:pPr>
              <w:keepNext w:val="0"/>
              <w:keepLines w:val="0"/>
              <w:pageBreakBefore w:val="0"/>
              <w:widowControl w:val="0"/>
              <w:kinsoku/>
              <w:wordWrap/>
              <w:overflowPunct/>
              <w:topLinePunct w:val="0"/>
              <w:autoSpaceDE/>
              <w:autoSpaceDN/>
              <w:bidi w:val="0"/>
              <w:adjustRightInd w:val="0"/>
              <w:snapToGrid w:val="0"/>
              <w:ind w:left="21" w:leftChars="10" w:right="21" w:rightChars="10"/>
              <w:jc w:val="center"/>
              <w:textAlignment w:val="auto"/>
              <w:rPr>
                <w:rFonts w:hint="default" w:eastAsia="宋体"/>
                <w:color w:val="auto"/>
                <w:sz w:val="24"/>
                <w:szCs w:val="24"/>
                <w:lang w:val="en-US" w:eastAsia="zh-CN"/>
              </w:rPr>
            </w:pPr>
            <w:r>
              <w:rPr>
                <w:rFonts w:hint="eastAsia"/>
                <w:color w:val="auto"/>
                <w:sz w:val="24"/>
                <w:szCs w:val="24"/>
                <w:lang w:val="en-US" w:eastAsia="zh-CN"/>
              </w:rPr>
              <w:t>145</w:t>
            </w:r>
          </w:p>
        </w:tc>
      </w:tr>
      <w:tr w14:paraId="73437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3" w:type="pct"/>
            <w:tcMar>
              <w:top w:w="16" w:type="dxa"/>
              <w:left w:w="16" w:type="dxa"/>
              <w:right w:w="16" w:type="dxa"/>
            </w:tcMar>
            <w:vAlign w:val="center"/>
          </w:tcPr>
          <w:p w14:paraId="58A58B3D">
            <w:pPr>
              <w:adjustRightInd w:val="0"/>
              <w:snapToGrid w:val="0"/>
              <w:jc w:val="center"/>
              <w:rPr>
                <w:rFonts w:hint="eastAsia" w:eastAsia="宋体"/>
                <w:color w:val="auto"/>
                <w:sz w:val="24"/>
                <w:szCs w:val="24"/>
                <w:lang w:eastAsia="zh-CN"/>
              </w:rPr>
            </w:pPr>
            <w:r>
              <w:rPr>
                <w:color w:val="auto"/>
                <w:sz w:val="24"/>
                <w:szCs w:val="24"/>
              </w:rPr>
              <w:t>环保投资占比（%</w:t>
            </w:r>
            <w:r>
              <w:rPr>
                <w:rFonts w:hint="eastAsia"/>
                <w:color w:val="auto"/>
                <w:sz w:val="24"/>
                <w:szCs w:val="24"/>
                <w:lang w:eastAsia="zh-CN"/>
              </w:rPr>
              <w:t>）</w:t>
            </w:r>
          </w:p>
        </w:tc>
        <w:tc>
          <w:tcPr>
            <w:tcW w:w="1296" w:type="pct"/>
            <w:vAlign w:val="center"/>
          </w:tcPr>
          <w:p w14:paraId="6113E933">
            <w:pPr>
              <w:adjustRightInd w:val="0"/>
              <w:snapToGrid w:val="0"/>
              <w:jc w:val="center"/>
              <w:rPr>
                <w:color w:val="auto"/>
                <w:sz w:val="24"/>
                <w:szCs w:val="24"/>
              </w:rPr>
            </w:pPr>
            <w:r>
              <w:rPr>
                <w:rFonts w:hint="eastAsia"/>
                <w:color w:val="auto"/>
                <w:sz w:val="24"/>
                <w:szCs w:val="24"/>
                <w:lang w:val="en-US" w:eastAsia="zh-CN"/>
              </w:rPr>
              <w:t>18.13</w:t>
            </w:r>
            <w:r>
              <w:rPr>
                <w:color w:val="auto"/>
                <w:sz w:val="24"/>
                <w:szCs w:val="24"/>
              </w:rPr>
              <w:t>%</w:t>
            </w:r>
          </w:p>
        </w:tc>
        <w:tc>
          <w:tcPr>
            <w:tcW w:w="1219" w:type="pct"/>
            <w:tcMar>
              <w:top w:w="16" w:type="dxa"/>
              <w:left w:w="16" w:type="dxa"/>
              <w:right w:w="16" w:type="dxa"/>
            </w:tcMar>
            <w:vAlign w:val="center"/>
          </w:tcPr>
          <w:p w14:paraId="1B629C1C">
            <w:pPr>
              <w:adjustRightInd w:val="0"/>
              <w:snapToGrid w:val="0"/>
              <w:jc w:val="center"/>
              <w:rPr>
                <w:color w:val="auto"/>
                <w:sz w:val="24"/>
                <w:szCs w:val="24"/>
              </w:rPr>
            </w:pPr>
            <w:r>
              <w:rPr>
                <w:color w:val="auto"/>
                <w:sz w:val="24"/>
                <w:szCs w:val="24"/>
              </w:rPr>
              <w:t>施工工期</w:t>
            </w:r>
          </w:p>
        </w:tc>
        <w:tc>
          <w:tcPr>
            <w:tcW w:w="1930" w:type="pct"/>
            <w:vAlign w:val="center"/>
          </w:tcPr>
          <w:p w14:paraId="06B8131B">
            <w:pPr>
              <w:adjustRightInd w:val="0"/>
              <w:snapToGrid w:val="0"/>
              <w:jc w:val="center"/>
              <w:rPr>
                <w:color w:val="auto"/>
                <w:sz w:val="24"/>
                <w:szCs w:val="24"/>
              </w:rPr>
            </w:pPr>
            <w:r>
              <w:rPr>
                <w:rFonts w:hint="eastAsia"/>
                <w:color w:val="auto"/>
                <w:sz w:val="24"/>
                <w:szCs w:val="24"/>
                <w:lang w:val="en-US" w:eastAsia="zh-CN"/>
              </w:rPr>
              <w:t>5</w:t>
            </w:r>
            <w:r>
              <w:rPr>
                <w:color w:val="auto"/>
                <w:sz w:val="24"/>
                <w:szCs w:val="24"/>
              </w:rPr>
              <w:t>个月</w:t>
            </w:r>
          </w:p>
        </w:tc>
      </w:tr>
      <w:tr w14:paraId="59E29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tcMar>
              <w:top w:w="16" w:type="dxa"/>
              <w:left w:w="16" w:type="dxa"/>
              <w:right w:w="16" w:type="dxa"/>
            </w:tcMar>
            <w:vAlign w:val="center"/>
          </w:tcPr>
          <w:p w14:paraId="5C36EC5E">
            <w:pPr>
              <w:adjustRightInd w:val="0"/>
              <w:snapToGrid w:val="0"/>
              <w:jc w:val="center"/>
              <w:rPr>
                <w:color w:val="auto"/>
                <w:sz w:val="24"/>
                <w:szCs w:val="24"/>
              </w:rPr>
            </w:pPr>
            <w:r>
              <w:rPr>
                <w:color w:val="auto"/>
                <w:sz w:val="24"/>
                <w:szCs w:val="24"/>
              </w:rPr>
              <w:t>是否开工建设</w:t>
            </w:r>
          </w:p>
        </w:tc>
        <w:tc>
          <w:tcPr>
            <w:tcW w:w="1296" w:type="pct"/>
            <w:vAlign w:val="center"/>
          </w:tcPr>
          <w:p w14:paraId="4DA5FCEE">
            <w:pPr>
              <w:adjustRightInd w:val="0"/>
              <w:snapToGrid w:val="0"/>
              <w:rPr>
                <w:color w:val="auto"/>
                <w:sz w:val="24"/>
                <w:szCs w:val="24"/>
              </w:rPr>
            </w:pPr>
            <w:r>
              <w:rPr>
                <w:rFonts w:hint="eastAsia"/>
                <w:color w:val="auto"/>
                <w:sz w:val="24"/>
                <w:szCs w:val="24"/>
                <w:lang w:eastAsia="zh-CN"/>
              </w:rPr>
              <w:sym w:font="Wingdings 2" w:char="00A3"/>
            </w:r>
            <w:r>
              <w:rPr>
                <w:color w:val="auto"/>
                <w:sz w:val="24"/>
                <w:szCs w:val="24"/>
              </w:rPr>
              <w:t>否</w:t>
            </w:r>
          </w:p>
          <w:p w14:paraId="11DD450F">
            <w:pPr>
              <w:adjustRightInd w:val="0"/>
              <w:snapToGrid w:val="0"/>
              <w:rPr>
                <w:rFonts w:hint="default" w:eastAsia="宋体"/>
                <w:color w:val="auto"/>
                <w:sz w:val="24"/>
                <w:szCs w:val="24"/>
                <w:lang w:val="en-US" w:eastAsia="zh-CN"/>
              </w:rPr>
            </w:pPr>
            <w:r>
              <w:rPr>
                <w:rFonts w:hint="eastAsia"/>
                <w:color w:val="auto"/>
                <w:sz w:val="24"/>
                <w:szCs w:val="24"/>
                <w:lang w:eastAsia="zh-CN"/>
              </w:rPr>
              <w:sym w:font="Wingdings 2" w:char="0052"/>
            </w:r>
            <w:r>
              <w:rPr>
                <w:color w:val="auto"/>
                <w:sz w:val="24"/>
                <w:szCs w:val="24"/>
              </w:rPr>
              <w:t>是：</w:t>
            </w:r>
            <w:r>
              <w:rPr>
                <w:rFonts w:hint="eastAsia"/>
                <w:color w:val="auto"/>
                <w:sz w:val="24"/>
                <w:szCs w:val="24"/>
                <w:lang w:val="en-US" w:eastAsia="zh-CN"/>
              </w:rPr>
              <w:t>已完成厂房（1栋，2F）建设，未安装生产设备</w:t>
            </w:r>
          </w:p>
        </w:tc>
        <w:tc>
          <w:tcPr>
            <w:tcW w:w="1219" w:type="pct"/>
            <w:tcMar>
              <w:top w:w="16" w:type="dxa"/>
              <w:left w:w="16" w:type="dxa"/>
              <w:right w:w="16" w:type="dxa"/>
            </w:tcMar>
            <w:vAlign w:val="center"/>
          </w:tcPr>
          <w:p w14:paraId="1EE64559">
            <w:pPr>
              <w:adjustRightInd w:val="0"/>
              <w:snapToGrid w:val="0"/>
              <w:jc w:val="center"/>
              <w:rPr>
                <w:rFonts w:hint="eastAsia" w:eastAsia="宋体"/>
                <w:color w:val="auto"/>
                <w:spacing w:val="-6"/>
                <w:sz w:val="24"/>
                <w:szCs w:val="24"/>
                <w:lang w:eastAsia="zh-CN"/>
              </w:rPr>
            </w:pPr>
            <w:r>
              <w:rPr>
                <w:color w:val="auto"/>
                <w:spacing w:val="-6"/>
                <w:sz w:val="24"/>
                <w:szCs w:val="24"/>
              </w:rPr>
              <w:t>用地（用海</w:t>
            </w:r>
            <w:r>
              <w:rPr>
                <w:rFonts w:hint="eastAsia"/>
                <w:color w:val="auto"/>
                <w:spacing w:val="-6"/>
                <w:sz w:val="24"/>
                <w:szCs w:val="24"/>
                <w:lang w:eastAsia="zh-CN"/>
              </w:rPr>
              <w:t>）</w:t>
            </w:r>
          </w:p>
          <w:p w14:paraId="4F6E3ABB">
            <w:pPr>
              <w:adjustRightInd w:val="0"/>
              <w:snapToGrid w:val="0"/>
              <w:jc w:val="center"/>
              <w:rPr>
                <w:rFonts w:hint="eastAsia" w:eastAsia="宋体"/>
                <w:color w:val="auto"/>
                <w:sz w:val="24"/>
                <w:szCs w:val="24"/>
                <w:lang w:eastAsia="zh-CN"/>
              </w:rPr>
            </w:pPr>
            <w:r>
              <w:rPr>
                <w:color w:val="auto"/>
                <w:spacing w:val="-6"/>
                <w:sz w:val="24"/>
                <w:szCs w:val="24"/>
              </w:rPr>
              <w:t>面积（m</w:t>
            </w:r>
            <w:r>
              <w:rPr>
                <w:color w:val="auto"/>
                <w:spacing w:val="-6"/>
                <w:sz w:val="24"/>
                <w:szCs w:val="24"/>
                <w:vertAlign w:val="superscript"/>
              </w:rPr>
              <w:t>2</w:t>
            </w:r>
            <w:r>
              <w:rPr>
                <w:rFonts w:hint="eastAsia"/>
                <w:color w:val="auto"/>
                <w:spacing w:val="-6"/>
                <w:sz w:val="24"/>
                <w:szCs w:val="24"/>
                <w:lang w:eastAsia="zh-CN"/>
              </w:rPr>
              <w:t>）</w:t>
            </w:r>
          </w:p>
        </w:tc>
        <w:tc>
          <w:tcPr>
            <w:tcW w:w="1930" w:type="pct"/>
            <w:vAlign w:val="center"/>
          </w:tcPr>
          <w:p w14:paraId="5489EA00">
            <w:pPr>
              <w:adjustRightInd w:val="0"/>
              <w:snapToGrid w:val="0"/>
              <w:jc w:val="center"/>
              <w:rPr>
                <w:color w:val="auto"/>
                <w:sz w:val="24"/>
                <w:szCs w:val="24"/>
              </w:rPr>
            </w:pPr>
            <w:r>
              <w:rPr>
                <w:rFonts w:hint="eastAsia"/>
                <w:color w:val="auto"/>
                <w:spacing w:val="-6"/>
                <w:sz w:val="24"/>
                <w:szCs w:val="24"/>
                <w:lang w:val="en-US" w:eastAsia="zh-CN"/>
              </w:rPr>
              <w:t>2479.2</w:t>
            </w:r>
            <w:r>
              <w:rPr>
                <w:color w:val="auto"/>
                <w:spacing w:val="-6"/>
                <w:sz w:val="24"/>
                <w:szCs w:val="24"/>
              </w:rPr>
              <w:t>m</w:t>
            </w:r>
            <w:r>
              <w:rPr>
                <w:color w:val="auto"/>
                <w:spacing w:val="-6"/>
                <w:sz w:val="24"/>
                <w:szCs w:val="24"/>
                <w:vertAlign w:val="superscript"/>
              </w:rPr>
              <w:t>2</w:t>
            </w:r>
          </w:p>
        </w:tc>
      </w:tr>
      <w:tr w14:paraId="0CAEF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553" w:type="pct"/>
            <w:vAlign w:val="center"/>
          </w:tcPr>
          <w:p w14:paraId="43187C63">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4446" w:type="pct"/>
            <w:gridSpan w:val="3"/>
            <w:vAlign w:val="center"/>
          </w:tcPr>
          <w:p w14:paraId="4025ACA0">
            <w:pPr>
              <w:pStyle w:val="111"/>
              <w:spacing w:line="500" w:lineRule="exact"/>
              <w:ind w:firstLine="480"/>
              <w:rPr>
                <w:rFonts w:hint="default" w:ascii="Times New Roman" w:hAnsi="Times New Roman" w:eastAsia="新宋体" w:cs="Times New Roman"/>
                <w:color w:val="auto"/>
                <w:sz w:val="24"/>
                <w:szCs w:val="24"/>
              </w:rPr>
            </w:pPr>
            <w:r>
              <w:rPr>
                <w:rFonts w:hint="default" w:ascii="Times New Roman" w:hAnsi="Times New Roman" w:eastAsia="新宋体" w:cs="Times New Roman"/>
                <w:color w:val="auto"/>
                <w:sz w:val="24"/>
                <w:szCs w:val="24"/>
              </w:rPr>
              <w:t>根据《建设项目环境影响报告表编制技术指南（污染影响类</w:t>
            </w:r>
            <w:r>
              <w:rPr>
                <w:rFonts w:hint="eastAsia" w:eastAsia="新宋体" w:cs="Times New Roman"/>
                <w:color w:val="auto"/>
                <w:sz w:val="24"/>
                <w:szCs w:val="24"/>
                <w:lang w:eastAsia="zh-CN"/>
              </w:rPr>
              <w:t>）</w:t>
            </w:r>
            <w:r>
              <w:rPr>
                <w:rFonts w:hint="default" w:ascii="Times New Roman" w:hAnsi="Times New Roman" w:eastAsia="新宋体" w:cs="Times New Roman"/>
                <w:color w:val="auto"/>
                <w:sz w:val="24"/>
                <w:szCs w:val="24"/>
              </w:rPr>
              <w:t>（试行</w:t>
            </w:r>
            <w:r>
              <w:rPr>
                <w:rFonts w:hint="eastAsia" w:eastAsia="新宋体" w:cs="Times New Roman"/>
                <w:color w:val="auto"/>
                <w:sz w:val="24"/>
                <w:szCs w:val="24"/>
                <w:lang w:eastAsia="zh-CN"/>
              </w:rPr>
              <w:t>）</w:t>
            </w:r>
            <w:r>
              <w:rPr>
                <w:rFonts w:hint="default" w:ascii="Times New Roman" w:hAnsi="Times New Roman" w:eastAsia="新宋体" w:cs="Times New Roman"/>
                <w:color w:val="auto"/>
                <w:sz w:val="24"/>
                <w:szCs w:val="24"/>
              </w:rPr>
              <w:t>》，项目专项设置情况参照下表。</w:t>
            </w:r>
          </w:p>
          <w:p w14:paraId="346A9E3A">
            <w:pPr>
              <w:pStyle w:val="112"/>
              <w:rPr>
                <w:rFonts w:hint="default" w:ascii="Times New Roman" w:hAnsi="Times New Roman" w:eastAsia="新宋体" w:cs="Times New Roman"/>
                <w:b/>
                <w:bCs/>
                <w:color w:val="auto"/>
                <w:sz w:val="24"/>
                <w:szCs w:val="24"/>
              </w:rPr>
            </w:pPr>
            <w:r>
              <w:rPr>
                <w:rFonts w:hint="default" w:ascii="Times New Roman" w:hAnsi="Times New Roman" w:eastAsia="新宋体" w:cs="Times New Roman"/>
                <w:b/>
                <w:bCs/>
                <w:color w:val="auto"/>
                <w:sz w:val="24"/>
                <w:szCs w:val="24"/>
              </w:rPr>
              <w:t>表1-1专项评价设置情况一览表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551"/>
              <w:gridCol w:w="2805"/>
              <w:gridCol w:w="856"/>
            </w:tblGrid>
            <w:tr w14:paraId="0861F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477" w:type="pct"/>
                  <w:tcBorders>
                    <w:tl2br w:val="nil"/>
                    <w:tr2bl w:val="nil"/>
                  </w:tcBorders>
                  <w:vAlign w:val="center"/>
                </w:tcPr>
                <w:p w14:paraId="4C580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专项评价类别</w:t>
                  </w:r>
                </w:p>
              </w:tc>
              <w:tc>
                <w:tcPr>
                  <w:tcW w:w="2226" w:type="pct"/>
                  <w:tcBorders>
                    <w:tl2br w:val="nil"/>
                    <w:tr2bl w:val="nil"/>
                  </w:tcBorders>
                  <w:vAlign w:val="center"/>
                </w:tcPr>
                <w:p w14:paraId="7AD0B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设置原则</w:t>
                  </w:r>
                </w:p>
              </w:tc>
              <w:tc>
                <w:tcPr>
                  <w:tcW w:w="1758" w:type="pct"/>
                  <w:tcBorders>
                    <w:tl2br w:val="nil"/>
                    <w:tr2bl w:val="nil"/>
                  </w:tcBorders>
                  <w:vAlign w:val="center"/>
                </w:tcPr>
                <w:p w14:paraId="028C0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本项目情况</w:t>
                  </w:r>
                </w:p>
              </w:tc>
              <w:tc>
                <w:tcPr>
                  <w:tcW w:w="536" w:type="pct"/>
                  <w:tcBorders>
                    <w:tl2br w:val="nil"/>
                    <w:tr2bl w:val="nil"/>
                  </w:tcBorders>
                  <w:vAlign w:val="center"/>
                </w:tcPr>
                <w:p w14:paraId="4032C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是否设置专项</w:t>
                  </w:r>
                </w:p>
              </w:tc>
            </w:tr>
            <w:tr w14:paraId="1364E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477" w:type="pct"/>
                  <w:tcBorders>
                    <w:tl2br w:val="nil"/>
                    <w:tr2bl w:val="nil"/>
                  </w:tcBorders>
                  <w:vAlign w:val="center"/>
                </w:tcPr>
                <w:p w14:paraId="63B2D6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大气</w:t>
                  </w:r>
                </w:p>
              </w:tc>
              <w:tc>
                <w:tcPr>
                  <w:tcW w:w="2226" w:type="pct"/>
                  <w:tcBorders>
                    <w:tl2br w:val="nil"/>
                    <w:tr2bl w:val="nil"/>
                  </w:tcBorders>
                  <w:vAlign w:val="center"/>
                </w:tcPr>
                <w:p w14:paraId="3E18ED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排放废气含有毒有害污染物</w:t>
                  </w:r>
                  <w:r>
                    <w:rPr>
                      <w:rFonts w:hint="default" w:ascii="Times New Roman" w:hAnsi="Times New Roman" w:eastAsia="宋体" w:cs="Times New Roman"/>
                      <w:color w:val="auto"/>
                      <w:kern w:val="0"/>
                      <w:sz w:val="24"/>
                      <w:szCs w:val="24"/>
                      <w:vertAlign w:val="superscript"/>
                    </w:rPr>
                    <w:t>①</w:t>
                  </w:r>
                  <w:r>
                    <w:rPr>
                      <w:rFonts w:hint="default" w:ascii="Times New Roman" w:hAnsi="Times New Roman" w:eastAsia="宋体" w:cs="Times New Roman"/>
                      <w:color w:val="auto"/>
                      <w:kern w:val="0"/>
                      <w:sz w:val="24"/>
                      <w:szCs w:val="24"/>
                    </w:rPr>
                    <w:t>、二噁英、苯并[a]芘、氰化物、氯气且厂界外500米范围内有环境空气保护目标</w:t>
                  </w:r>
                  <w:r>
                    <w:rPr>
                      <w:rFonts w:hint="default" w:ascii="Times New Roman" w:hAnsi="Times New Roman" w:eastAsia="宋体" w:cs="Times New Roman"/>
                      <w:color w:val="auto"/>
                      <w:kern w:val="0"/>
                      <w:sz w:val="24"/>
                      <w:szCs w:val="24"/>
                      <w:vertAlign w:val="superscript"/>
                    </w:rPr>
                    <w:t>②</w:t>
                  </w:r>
                  <w:r>
                    <w:rPr>
                      <w:rFonts w:hint="default" w:ascii="Times New Roman" w:hAnsi="Times New Roman" w:eastAsia="宋体" w:cs="Times New Roman"/>
                      <w:color w:val="auto"/>
                      <w:kern w:val="0"/>
                      <w:sz w:val="24"/>
                      <w:szCs w:val="24"/>
                    </w:rPr>
                    <w:t>的建设项目</w:t>
                  </w:r>
                </w:p>
              </w:tc>
              <w:tc>
                <w:tcPr>
                  <w:tcW w:w="1758" w:type="pct"/>
                  <w:tcBorders>
                    <w:tl2br w:val="nil"/>
                    <w:tr2bl w:val="nil"/>
                  </w:tcBorders>
                  <w:vAlign w:val="center"/>
                </w:tcPr>
                <w:p w14:paraId="6A6967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本项目不涉及大气专项设置原则中提及的有毒有害物质</w:t>
                  </w:r>
                </w:p>
              </w:tc>
              <w:tc>
                <w:tcPr>
                  <w:tcW w:w="536" w:type="pct"/>
                  <w:tcBorders>
                    <w:tl2br w:val="nil"/>
                    <w:tr2bl w:val="nil"/>
                  </w:tcBorders>
                  <w:vAlign w:val="center"/>
                </w:tcPr>
                <w:p w14:paraId="3FDB4F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否</w:t>
                  </w:r>
                </w:p>
              </w:tc>
            </w:tr>
            <w:tr w14:paraId="1076B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77" w:type="pct"/>
                  <w:tcBorders>
                    <w:tl2br w:val="nil"/>
                    <w:tr2bl w:val="nil"/>
                  </w:tcBorders>
                  <w:vAlign w:val="center"/>
                </w:tcPr>
                <w:p w14:paraId="259F59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地表水</w:t>
                  </w:r>
                </w:p>
              </w:tc>
              <w:tc>
                <w:tcPr>
                  <w:tcW w:w="2226" w:type="pct"/>
                  <w:tcBorders>
                    <w:tl2br w:val="nil"/>
                    <w:tr2bl w:val="nil"/>
                  </w:tcBorders>
                  <w:vAlign w:val="center"/>
                </w:tcPr>
                <w:p w14:paraId="6E01E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新增工业废水直排建设项目（槽罐车外送污水处理厂的除外</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；新增废水直排的污水集中处理厂</w:t>
                  </w:r>
                </w:p>
              </w:tc>
              <w:tc>
                <w:tcPr>
                  <w:tcW w:w="1758" w:type="pct"/>
                  <w:tcBorders>
                    <w:tl2br w:val="nil"/>
                    <w:tr2bl w:val="nil"/>
                  </w:tcBorders>
                  <w:vAlign w:val="center"/>
                </w:tcPr>
                <w:p w14:paraId="5C2DA7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生活污水同</w:t>
                  </w:r>
                  <w:r>
                    <w:rPr>
                      <w:rFonts w:hint="default" w:ascii="Times New Roman" w:hAnsi="Times New Roman" w:eastAsia="宋体" w:cs="Times New Roman"/>
                      <w:color w:val="auto"/>
                      <w:sz w:val="24"/>
                      <w:szCs w:val="24"/>
                    </w:rPr>
                    <w:t>生产废水经自建污水处理站（处理能力</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处理后排入</w:t>
                  </w:r>
                  <w:r>
                    <w:rPr>
                      <w:rFonts w:hint="default" w:ascii="Times New Roman" w:hAnsi="Times New Roman" w:eastAsia="宋体" w:cs="Times New Roman"/>
                      <w:color w:val="auto"/>
                      <w:sz w:val="24"/>
                      <w:szCs w:val="24"/>
                      <w:lang w:val="en-US" w:eastAsia="zh-CN"/>
                    </w:rPr>
                    <w:t>市政</w:t>
                  </w:r>
                  <w:r>
                    <w:rPr>
                      <w:rFonts w:hint="default" w:ascii="Times New Roman" w:hAnsi="Times New Roman" w:eastAsia="宋体" w:cs="Times New Roman"/>
                      <w:color w:val="auto"/>
                      <w:sz w:val="24"/>
                      <w:szCs w:val="24"/>
                    </w:rPr>
                    <w:t>污水管网，最终进入</w:t>
                  </w:r>
                  <w:r>
                    <w:rPr>
                      <w:rFonts w:hint="default" w:ascii="Times New Roman" w:hAnsi="Times New Roman" w:eastAsia="宋体" w:cs="Times New Roman"/>
                      <w:color w:val="auto"/>
                      <w:sz w:val="24"/>
                      <w:szCs w:val="24"/>
                      <w:lang w:eastAsia="zh-CN"/>
                    </w:rPr>
                    <w:t>库尔勒金城洁净排水有限责任公司库尔勒市老城区污水处理厂</w:t>
                  </w:r>
                  <w:r>
                    <w:rPr>
                      <w:rFonts w:hint="default" w:ascii="Times New Roman" w:hAnsi="Times New Roman" w:eastAsia="宋体" w:cs="Times New Roman"/>
                      <w:color w:val="auto"/>
                      <w:sz w:val="24"/>
                      <w:szCs w:val="24"/>
                    </w:rPr>
                    <w:t>处理。</w:t>
                  </w:r>
                </w:p>
              </w:tc>
              <w:tc>
                <w:tcPr>
                  <w:tcW w:w="536" w:type="pct"/>
                  <w:tcBorders>
                    <w:tl2br w:val="nil"/>
                    <w:tr2bl w:val="nil"/>
                  </w:tcBorders>
                  <w:vAlign w:val="center"/>
                </w:tcPr>
                <w:p w14:paraId="725994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否</w:t>
                  </w:r>
                </w:p>
              </w:tc>
            </w:tr>
            <w:tr w14:paraId="1CFE4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77" w:type="pct"/>
                  <w:tcBorders>
                    <w:tl2br w:val="nil"/>
                    <w:tr2bl w:val="nil"/>
                  </w:tcBorders>
                  <w:vAlign w:val="center"/>
                </w:tcPr>
                <w:p w14:paraId="269319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环境风险</w:t>
                  </w:r>
                </w:p>
              </w:tc>
              <w:tc>
                <w:tcPr>
                  <w:tcW w:w="2226" w:type="pct"/>
                  <w:tcBorders>
                    <w:tl2br w:val="nil"/>
                    <w:tr2bl w:val="nil"/>
                  </w:tcBorders>
                  <w:vAlign w:val="center"/>
                </w:tcPr>
                <w:p w14:paraId="0F4036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有毒有害和易燃易爆危险物质存储量超过临界量</w:t>
                  </w:r>
                  <w:r>
                    <w:rPr>
                      <w:rFonts w:hint="default" w:ascii="Times New Roman" w:hAnsi="Times New Roman" w:eastAsia="宋体" w:cs="Times New Roman"/>
                      <w:color w:val="auto"/>
                      <w:kern w:val="0"/>
                      <w:sz w:val="24"/>
                      <w:szCs w:val="24"/>
                      <w:vertAlign w:val="superscript"/>
                    </w:rPr>
                    <w:t>③</w:t>
                  </w:r>
                  <w:r>
                    <w:rPr>
                      <w:rFonts w:hint="default" w:ascii="Times New Roman" w:hAnsi="Times New Roman" w:eastAsia="宋体" w:cs="Times New Roman"/>
                      <w:color w:val="auto"/>
                      <w:kern w:val="0"/>
                      <w:sz w:val="24"/>
                      <w:szCs w:val="24"/>
                    </w:rPr>
                    <w:t>的建设项目</w:t>
                  </w:r>
                </w:p>
              </w:tc>
              <w:tc>
                <w:tcPr>
                  <w:tcW w:w="1758" w:type="pct"/>
                  <w:tcBorders>
                    <w:tl2br w:val="nil"/>
                    <w:tr2bl w:val="nil"/>
                  </w:tcBorders>
                  <w:vAlign w:val="center"/>
                </w:tcPr>
                <w:p w14:paraId="446CA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本项目不涉及有毒有害和易燃易爆危险物质</w:t>
                  </w:r>
                </w:p>
              </w:tc>
              <w:tc>
                <w:tcPr>
                  <w:tcW w:w="536" w:type="pct"/>
                  <w:tcBorders>
                    <w:tl2br w:val="nil"/>
                    <w:tr2bl w:val="nil"/>
                  </w:tcBorders>
                  <w:vAlign w:val="center"/>
                </w:tcPr>
                <w:p w14:paraId="5F60DA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否</w:t>
                  </w:r>
                </w:p>
              </w:tc>
            </w:tr>
            <w:tr w14:paraId="6B8F2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477" w:type="pct"/>
                  <w:tcBorders>
                    <w:tl2br w:val="nil"/>
                    <w:tr2bl w:val="nil"/>
                  </w:tcBorders>
                  <w:vAlign w:val="center"/>
                </w:tcPr>
                <w:p w14:paraId="2B8532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w:t>
                  </w:r>
                </w:p>
              </w:tc>
              <w:tc>
                <w:tcPr>
                  <w:tcW w:w="2226" w:type="pct"/>
                  <w:tcBorders>
                    <w:tl2br w:val="nil"/>
                    <w:tr2bl w:val="nil"/>
                  </w:tcBorders>
                  <w:vAlign w:val="center"/>
                </w:tcPr>
                <w:p w14:paraId="1E7E5F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取水口下游500米范围内有重要水生生物的自然产卵场、索饵场、越冬场和洄游通道的新增河道取水的污染类建设项目</w:t>
                  </w:r>
                </w:p>
              </w:tc>
              <w:tc>
                <w:tcPr>
                  <w:tcW w:w="1758" w:type="pct"/>
                  <w:tcBorders>
                    <w:tl2br w:val="nil"/>
                    <w:tr2bl w:val="nil"/>
                  </w:tcBorders>
                  <w:vAlign w:val="center"/>
                </w:tcPr>
                <w:p w14:paraId="4E2207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本项目不涉及取水口</w:t>
                  </w:r>
                </w:p>
              </w:tc>
              <w:tc>
                <w:tcPr>
                  <w:tcW w:w="536" w:type="pct"/>
                  <w:tcBorders>
                    <w:tl2br w:val="nil"/>
                    <w:tr2bl w:val="nil"/>
                  </w:tcBorders>
                  <w:vAlign w:val="center"/>
                </w:tcPr>
                <w:p w14:paraId="7EB9CC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否</w:t>
                  </w:r>
                </w:p>
              </w:tc>
            </w:tr>
            <w:tr w14:paraId="01146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477" w:type="pct"/>
                  <w:tcBorders>
                    <w:tl2br w:val="nil"/>
                    <w:tr2bl w:val="nil"/>
                  </w:tcBorders>
                  <w:vAlign w:val="center"/>
                </w:tcPr>
                <w:p w14:paraId="03FA28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海洋</w:t>
                  </w:r>
                </w:p>
              </w:tc>
              <w:tc>
                <w:tcPr>
                  <w:tcW w:w="2226" w:type="pct"/>
                  <w:tcBorders>
                    <w:tl2br w:val="nil"/>
                    <w:tr2bl w:val="nil"/>
                  </w:tcBorders>
                  <w:vAlign w:val="center"/>
                </w:tcPr>
                <w:p w14:paraId="1EDFA1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直接向海排放污染物的海洋工程建设项目</w:t>
                  </w:r>
                </w:p>
              </w:tc>
              <w:tc>
                <w:tcPr>
                  <w:tcW w:w="1758" w:type="pct"/>
                  <w:tcBorders>
                    <w:tl2br w:val="nil"/>
                    <w:tr2bl w:val="nil"/>
                  </w:tcBorders>
                  <w:vAlign w:val="center"/>
                </w:tcPr>
                <w:p w14:paraId="0B8F51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不涉及</w:t>
                  </w:r>
                </w:p>
              </w:tc>
              <w:tc>
                <w:tcPr>
                  <w:tcW w:w="536" w:type="pct"/>
                  <w:tcBorders>
                    <w:tl2br w:val="nil"/>
                    <w:tr2bl w:val="nil"/>
                  </w:tcBorders>
                  <w:vAlign w:val="center"/>
                </w:tcPr>
                <w:p w14:paraId="7675EB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否</w:t>
                  </w:r>
                </w:p>
              </w:tc>
            </w:tr>
            <w:tr w14:paraId="50CB7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000" w:type="pct"/>
                  <w:gridSpan w:val="4"/>
                  <w:tcBorders>
                    <w:tl2br w:val="nil"/>
                    <w:tr2bl w:val="nil"/>
                  </w:tcBorders>
                  <w:vAlign w:val="center"/>
                </w:tcPr>
                <w:p w14:paraId="6F0FD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注：①废气中有毒有害污染物指纳入《有毒有害大气污染物名录》的污染物（不包括排放标准的污染物</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p>
                <w:p w14:paraId="7D1AA8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②环境空气保护目标指自然保护区、风景名胜区、居住区、文化区和农村地区中人群较集中的区域。</w:t>
                  </w:r>
                </w:p>
                <w:p w14:paraId="0DE44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③临界量及其计算方法参考《建设项目环境风险评价技术导则》（HJ169</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附录B、附录C。</w:t>
                  </w:r>
                </w:p>
              </w:tc>
            </w:tr>
          </w:tbl>
          <w:p w14:paraId="5443C377">
            <w:pPr>
              <w:autoSpaceDE w:val="0"/>
              <w:autoSpaceDN w:val="0"/>
              <w:adjustRightInd w:val="0"/>
              <w:snapToGrid w:val="0"/>
              <w:ind w:firstLine="480" w:firstLineChars="200"/>
              <w:jc w:val="both"/>
              <w:rPr>
                <w:color w:val="auto"/>
                <w:kern w:val="0"/>
                <w:sz w:val="24"/>
                <w:szCs w:val="24"/>
              </w:rPr>
            </w:pPr>
            <w:r>
              <w:rPr>
                <w:rFonts w:hint="default" w:ascii="Times New Roman" w:hAnsi="Times New Roman" w:eastAsia="新宋体" w:cs="Times New Roman"/>
                <w:color w:val="auto"/>
                <w:sz w:val="24"/>
                <w:szCs w:val="24"/>
              </w:rPr>
              <w:t>根据上表分析可知，本项目无需开展专项评价工作。</w:t>
            </w:r>
          </w:p>
        </w:tc>
      </w:tr>
      <w:tr w14:paraId="178D4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53" w:type="pct"/>
            <w:vAlign w:val="center"/>
          </w:tcPr>
          <w:p w14:paraId="03AF242B">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jc w:val="center"/>
              <w:textAlignment w:val="auto"/>
              <w:rPr>
                <w:color w:val="auto"/>
                <w:kern w:val="0"/>
                <w:sz w:val="24"/>
                <w:szCs w:val="24"/>
              </w:rPr>
            </w:pPr>
            <w:r>
              <w:rPr>
                <w:color w:val="auto"/>
                <w:sz w:val="24"/>
                <w:szCs w:val="24"/>
              </w:rPr>
              <w:t>规划情况</w:t>
            </w:r>
          </w:p>
        </w:tc>
        <w:tc>
          <w:tcPr>
            <w:tcW w:w="4446" w:type="pct"/>
            <w:gridSpan w:val="3"/>
            <w:vAlign w:val="center"/>
          </w:tcPr>
          <w:p w14:paraId="14BA72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新宋体"/>
                <w:color w:val="auto"/>
                <w:kern w:val="0"/>
                <w:sz w:val="24"/>
                <w:szCs w:val="24"/>
                <w:lang w:val="en-US" w:eastAsia="zh-CN"/>
              </w:rPr>
            </w:pPr>
            <w:r>
              <w:rPr>
                <w:rFonts w:hint="eastAsia" w:eastAsia="新宋体"/>
                <w:color w:val="auto"/>
                <w:kern w:val="0"/>
                <w:sz w:val="24"/>
                <w:szCs w:val="24"/>
                <w:lang w:val="en-US" w:eastAsia="zh-CN"/>
              </w:rPr>
              <w:t>无</w:t>
            </w:r>
          </w:p>
        </w:tc>
      </w:tr>
      <w:tr w14:paraId="109B5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53" w:type="pct"/>
            <w:vAlign w:val="center"/>
          </w:tcPr>
          <w:p w14:paraId="007D6566">
            <w:pPr>
              <w:keepNext w:val="0"/>
              <w:keepLines w:val="0"/>
              <w:pageBreakBefore w:val="0"/>
              <w:widowControl w:val="0"/>
              <w:kinsoku/>
              <w:wordWrap/>
              <w:overflowPunct/>
              <w:topLinePunct w:val="0"/>
              <w:bidi w:val="0"/>
              <w:adjustRightInd w:val="0"/>
              <w:snapToGrid w:val="0"/>
              <w:spacing w:line="240" w:lineRule="auto"/>
              <w:ind w:left="-105" w:leftChars="-50" w:right="-105" w:rightChars="-50"/>
              <w:jc w:val="center"/>
              <w:textAlignment w:val="auto"/>
              <w:rPr>
                <w:color w:val="auto"/>
                <w:sz w:val="24"/>
                <w:szCs w:val="24"/>
              </w:rPr>
            </w:pPr>
            <w:r>
              <w:rPr>
                <w:color w:val="auto"/>
                <w:sz w:val="24"/>
                <w:szCs w:val="24"/>
              </w:rPr>
              <w:t>规划环境影响评价情况</w:t>
            </w:r>
          </w:p>
        </w:tc>
        <w:tc>
          <w:tcPr>
            <w:tcW w:w="4446" w:type="pct"/>
            <w:gridSpan w:val="3"/>
            <w:vAlign w:val="center"/>
          </w:tcPr>
          <w:p w14:paraId="31B0CB1E">
            <w:pPr>
              <w:keepNext w:val="0"/>
              <w:keepLines w:val="0"/>
              <w:pageBreakBefore w:val="0"/>
              <w:widowControl/>
              <w:kinsoku/>
              <w:wordWrap/>
              <w:overflowPunct/>
              <w:topLinePunct w:val="0"/>
              <w:bidi w:val="0"/>
              <w:adjustRightInd w:val="0"/>
              <w:snapToGrid w:val="0"/>
              <w:spacing w:line="240" w:lineRule="auto"/>
              <w:jc w:val="center"/>
              <w:textAlignment w:val="auto"/>
              <w:rPr>
                <w:color w:val="auto"/>
                <w:kern w:val="0"/>
                <w:sz w:val="24"/>
                <w:szCs w:val="24"/>
              </w:rPr>
            </w:pPr>
            <w:r>
              <w:rPr>
                <w:color w:val="auto"/>
                <w:kern w:val="0"/>
                <w:sz w:val="24"/>
                <w:szCs w:val="24"/>
              </w:rPr>
              <w:t>无</w:t>
            </w:r>
          </w:p>
        </w:tc>
      </w:tr>
      <w:tr w14:paraId="3F3F8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53" w:type="pct"/>
            <w:vAlign w:val="center"/>
          </w:tcPr>
          <w:p w14:paraId="6B5EA436">
            <w:pPr>
              <w:keepNext w:val="0"/>
              <w:keepLines w:val="0"/>
              <w:pageBreakBefore w:val="0"/>
              <w:widowControl w:val="0"/>
              <w:kinsoku/>
              <w:wordWrap/>
              <w:overflowPunct/>
              <w:topLinePunct w:val="0"/>
              <w:autoSpaceDE w:val="0"/>
              <w:autoSpaceDN w:val="0"/>
              <w:bidi w:val="0"/>
              <w:adjustRightInd w:val="0"/>
              <w:snapToGrid w:val="0"/>
              <w:spacing w:line="240" w:lineRule="auto"/>
              <w:ind w:left="-105" w:leftChars="-50" w:right="-105" w:rightChars="-50"/>
              <w:jc w:val="center"/>
              <w:textAlignment w:val="auto"/>
              <w:rPr>
                <w:color w:val="auto"/>
                <w:kern w:val="0"/>
                <w:sz w:val="24"/>
                <w:szCs w:val="24"/>
              </w:rPr>
            </w:pPr>
            <w:r>
              <w:rPr>
                <w:color w:val="auto"/>
                <w:kern w:val="0"/>
                <w:sz w:val="24"/>
                <w:szCs w:val="24"/>
              </w:rPr>
              <w:t>规划及规划环境影响评价符合性分析</w:t>
            </w:r>
          </w:p>
        </w:tc>
        <w:tc>
          <w:tcPr>
            <w:tcW w:w="4446" w:type="pct"/>
            <w:gridSpan w:val="3"/>
            <w:vAlign w:val="center"/>
          </w:tcPr>
          <w:p w14:paraId="2DBF780E">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eastAsia="宋体"/>
                <w:color w:val="auto"/>
                <w:kern w:val="0"/>
                <w:sz w:val="24"/>
                <w:szCs w:val="24"/>
                <w:lang w:eastAsia="zh-CN"/>
              </w:rPr>
            </w:pPr>
            <w:r>
              <w:rPr>
                <w:rFonts w:hint="eastAsia"/>
                <w:color w:val="auto"/>
                <w:sz w:val="24"/>
                <w:szCs w:val="24"/>
                <w:lang w:val="en-US" w:eastAsia="zh-CN"/>
              </w:rPr>
              <w:t>无</w:t>
            </w:r>
          </w:p>
        </w:tc>
      </w:tr>
      <w:tr w14:paraId="0DCE0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3" w:type="pct"/>
            <w:vAlign w:val="center"/>
          </w:tcPr>
          <w:p w14:paraId="25AC5D99">
            <w:pPr>
              <w:keepNext w:val="0"/>
              <w:keepLines w:val="0"/>
              <w:pageBreakBefore w:val="0"/>
              <w:widowControl w:val="0"/>
              <w:kinsoku/>
              <w:wordWrap/>
              <w:overflowPunct/>
              <w:topLinePunct w:val="0"/>
              <w:autoSpaceDE w:val="0"/>
              <w:autoSpaceDN w:val="0"/>
              <w:bidi w:val="0"/>
              <w:adjustRightInd w:val="0"/>
              <w:snapToGrid w:val="0"/>
              <w:ind w:left="-63" w:leftChars="-30" w:right="-63" w:rightChars="-30"/>
              <w:jc w:val="center"/>
              <w:textAlignment w:val="auto"/>
              <w:rPr>
                <w:color w:val="auto"/>
                <w:kern w:val="0"/>
                <w:sz w:val="24"/>
                <w:szCs w:val="24"/>
              </w:rPr>
            </w:pPr>
            <w:r>
              <w:rPr>
                <w:color w:val="auto"/>
                <w:kern w:val="0"/>
                <w:sz w:val="24"/>
                <w:szCs w:val="24"/>
              </w:rPr>
              <w:t>其他符合性分析</w:t>
            </w:r>
          </w:p>
        </w:tc>
        <w:tc>
          <w:tcPr>
            <w:tcW w:w="4446" w:type="pct"/>
            <w:gridSpan w:val="3"/>
            <w:vAlign w:val="center"/>
          </w:tcPr>
          <w:p w14:paraId="6E27256E">
            <w:pPr>
              <w:pStyle w:val="5"/>
              <w:ind w:firstLine="482"/>
              <w:rPr>
                <w:color w:val="auto"/>
                <w:sz w:val="24"/>
                <w:szCs w:val="24"/>
              </w:rPr>
            </w:pPr>
            <w:r>
              <w:rPr>
                <w:color w:val="auto"/>
                <w:sz w:val="24"/>
                <w:szCs w:val="24"/>
              </w:rPr>
              <w:t>1.项目产业政策符合性分析</w:t>
            </w:r>
          </w:p>
          <w:p w14:paraId="08FBEC05">
            <w:pPr>
              <w:widowControl/>
              <w:adjustRightInd w:val="0"/>
              <w:snapToGrid w:val="0"/>
              <w:spacing w:line="360" w:lineRule="auto"/>
              <w:ind w:firstLine="480" w:firstLineChars="200"/>
              <w:rPr>
                <w:color w:val="auto"/>
                <w:sz w:val="24"/>
                <w:szCs w:val="24"/>
              </w:rPr>
            </w:pPr>
            <w:r>
              <w:rPr>
                <w:color w:val="auto"/>
                <w:sz w:val="24"/>
                <w:szCs w:val="24"/>
              </w:rPr>
              <w:t>根据《产业结构调整指导目录》（2024年本</w:t>
            </w:r>
            <w:r>
              <w:rPr>
                <w:rFonts w:hint="eastAsia"/>
                <w:color w:val="auto"/>
                <w:sz w:val="24"/>
                <w:szCs w:val="24"/>
                <w:lang w:eastAsia="zh-CN"/>
              </w:rPr>
              <w:t>）</w:t>
            </w:r>
            <w:r>
              <w:rPr>
                <w:color w:val="auto"/>
                <w:sz w:val="24"/>
                <w:szCs w:val="24"/>
              </w:rPr>
              <w:t>中的规定，本项目不属于产业结构调整指导目录限制类及淘汰类，属于允许类。因此是符合国家产业政策。</w:t>
            </w:r>
          </w:p>
          <w:p w14:paraId="51F941B0">
            <w:pPr>
              <w:pStyle w:val="5"/>
              <w:ind w:firstLine="482"/>
              <w:rPr>
                <w:color w:val="auto"/>
                <w:sz w:val="24"/>
                <w:szCs w:val="24"/>
              </w:rPr>
            </w:pPr>
            <w:r>
              <w:rPr>
                <w:color w:val="auto"/>
                <w:sz w:val="24"/>
                <w:szCs w:val="24"/>
              </w:rPr>
              <w:t>2.项目选址合理性分析</w:t>
            </w:r>
          </w:p>
          <w:p w14:paraId="669C2342">
            <w:pPr>
              <w:pStyle w:val="105"/>
              <w:ind w:firstLine="480"/>
              <w:rPr>
                <w:color w:val="auto"/>
                <w:sz w:val="24"/>
                <w:szCs w:val="24"/>
              </w:rPr>
            </w:pPr>
            <w:r>
              <w:rPr>
                <w:color w:val="auto"/>
                <w:sz w:val="24"/>
                <w:szCs w:val="24"/>
              </w:rPr>
              <w:t>本项目位于新疆巴州</w:t>
            </w:r>
            <w:r>
              <w:rPr>
                <w:rFonts w:hint="eastAsia"/>
                <w:color w:val="auto"/>
                <w:sz w:val="24"/>
                <w:szCs w:val="24"/>
                <w:lang w:val="en-US" w:eastAsia="zh-CN"/>
              </w:rPr>
              <w:t>库尔勒市兰干乡兰干村（库尔勒市食品加工产业小镇内）</w:t>
            </w:r>
            <w:r>
              <w:rPr>
                <w:color w:val="auto"/>
                <w:sz w:val="24"/>
                <w:szCs w:val="24"/>
              </w:rPr>
              <w:t>，属于新建项目，根据项目</w:t>
            </w:r>
            <w:r>
              <w:rPr>
                <w:rFonts w:hint="eastAsia"/>
                <w:color w:val="auto"/>
                <w:sz w:val="24"/>
                <w:szCs w:val="24"/>
                <w:lang w:val="en-US" w:eastAsia="zh-CN"/>
              </w:rPr>
              <w:t>不动产权证</w:t>
            </w:r>
            <w:r>
              <w:rPr>
                <w:color w:val="auto"/>
                <w:sz w:val="24"/>
                <w:szCs w:val="24"/>
              </w:rPr>
              <w:t>（</w:t>
            </w:r>
            <w:r>
              <w:rPr>
                <w:rFonts w:hint="eastAsia"/>
                <w:color w:val="auto"/>
                <w:sz w:val="24"/>
                <w:szCs w:val="24"/>
                <w:lang w:val="en-US" w:eastAsia="zh-CN"/>
              </w:rPr>
              <w:t>第（2024）库尔勒市不动产权第00010134号</w:t>
            </w:r>
            <w:r>
              <w:rPr>
                <w:rFonts w:hint="eastAsia"/>
                <w:color w:val="auto"/>
                <w:sz w:val="24"/>
                <w:szCs w:val="24"/>
                <w:lang w:eastAsia="zh-CN"/>
              </w:rPr>
              <w:t>）</w:t>
            </w:r>
            <w:r>
              <w:rPr>
                <w:color w:val="auto"/>
                <w:sz w:val="24"/>
                <w:szCs w:val="24"/>
              </w:rPr>
              <w:t>，项目</w:t>
            </w:r>
            <w:r>
              <w:rPr>
                <w:rFonts w:hint="eastAsia"/>
                <w:color w:val="auto"/>
                <w:sz w:val="24"/>
                <w:szCs w:val="24"/>
                <w:lang w:val="en-US" w:eastAsia="zh-CN"/>
              </w:rPr>
              <w:t>用地现状为工业用地</w:t>
            </w:r>
            <w:r>
              <w:rPr>
                <w:color w:val="auto"/>
                <w:sz w:val="24"/>
                <w:szCs w:val="24"/>
              </w:rPr>
              <w:t>。</w:t>
            </w:r>
          </w:p>
          <w:p w14:paraId="44A89081">
            <w:pPr>
              <w:pStyle w:val="105"/>
              <w:ind w:firstLine="480"/>
              <w:rPr>
                <w:color w:val="auto"/>
                <w:sz w:val="24"/>
                <w:szCs w:val="24"/>
              </w:rPr>
            </w:pPr>
            <w:r>
              <w:rPr>
                <w:color w:val="auto"/>
                <w:sz w:val="24"/>
                <w:szCs w:val="24"/>
              </w:rPr>
              <w:t>项目</w:t>
            </w:r>
            <w:r>
              <w:rPr>
                <w:rFonts w:hint="eastAsia"/>
                <w:color w:val="auto"/>
                <w:sz w:val="24"/>
                <w:szCs w:val="24"/>
                <w:lang w:val="en-US" w:eastAsia="zh-CN"/>
              </w:rPr>
              <w:t>区周边</w:t>
            </w:r>
            <w:r>
              <w:rPr>
                <w:color w:val="auto"/>
                <w:sz w:val="24"/>
                <w:szCs w:val="24"/>
              </w:rPr>
              <w:t>无环境敏感点，区域供水、供电、通讯及交通设施完善，无明显环境制约因素，项目厂区周边500m范围内不涉及饮用水源保护区、风景名胜区、自然保护区及其他需要特殊保护的区域，区域内水、电、通讯等设施较为完善，交通、能源运输均有保障，产生的废气、废水、固废经有效措施处置后，对周边环境影响较小。</w:t>
            </w:r>
          </w:p>
          <w:p w14:paraId="306CE311">
            <w:pPr>
              <w:pStyle w:val="105"/>
              <w:ind w:firstLine="480"/>
              <w:rPr>
                <w:color w:val="auto"/>
                <w:sz w:val="24"/>
                <w:szCs w:val="24"/>
              </w:rPr>
            </w:pPr>
            <w:r>
              <w:rPr>
                <w:color w:val="auto"/>
                <w:sz w:val="24"/>
                <w:szCs w:val="24"/>
              </w:rPr>
              <w:t>根据现场踏勘：项目周边无大型工矿企业，且项目附近交通方便，区位优势明显，便于车辆出入，有利于运输各种材料，方便工作人员出入。</w:t>
            </w:r>
          </w:p>
          <w:p w14:paraId="5301F18E">
            <w:pPr>
              <w:pStyle w:val="105"/>
              <w:ind w:firstLine="480"/>
              <w:rPr>
                <w:color w:val="auto"/>
                <w:sz w:val="24"/>
                <w:szCs w:val="24"/>
              </w:rPr>
            </w:pPr>
            <w:r>
              <w:rPr>
                <w:color w:val="auto"/>
                <w:sz w:val="24"/>
                <w:szCs w:val="24"/>
              </w:rPr>
              <w:t>综上所述，项目选址基本合理。</w:t>
            </w:r>
          </w:p>
          <w:p w14:paraId="4EC9B780">
            <w:pPr>
              <w:pStyle w:val="5"/>
              <w:ind w:firstLine="482"/>
              <w:rPr>
                <w:color w:val="auto"/>
                <w:sz w:val="24"/>
                <w:szCs w:val="24"/>
              </w:rPr>
            </w:pPr>
            <w:r>
              <w:rPr>
                <w:color w:val="auto"/>
                <w:sz w:val="24"/>
                <w:szCs w:val="24"/>
              </w:rPr>
              <w:t>3.与新疆维吾尔自治区</w:t>
            </w:r>
            <w:r>
              <w:rPr>
                <w:rFonts w:hint="eastAsia"/>
                <w:color w:val="auto"/>
                <w:sz w:val="24"/>
                <w:szCs w:val="24"/>
                <w:lang w:eastAsia="zh-CN"/>
              </w:rPr>
              <w:t>“</w:t>
            </w:r>
            <w:r>
              <w:rPr>
                <w:color w:val="auto"/>
                <w:sz w:val="24"/>
                <w:szCs w:val="24"/>
              </w:rPr>
              <w:t>三线一单</w:t>
            </w:r>
            <w:r>
              <w:rPr>
                <w:rFonts w:hint="eastAsia"/>
                <w:color w:val="auto"/>
                <w:sz w:val="24"/>
                <w:szCs w:val="24"/>
                <w:lang w:eastAsia="zh-CN"/>
              </w:rPr>
              <w:t>”</w:t>
            </w:r>
            <w:r>
              <w:rPr>
                <w:color w:val="auto"/>
                <w:sz w:val="24"/>
                <w:szCs w:val="24"/>
              </w:rPr>
              <w:t>生态环境分区管控方案符合性分析</w:t>
            </w:r>
          </w:p>
          <w:p w14:paraId="4D942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《关于印发&lt;新疆维吾尔自治区生态环境分区管控方案动态更新成果&gt;的通知》（新环环评发〔2024〕157号）</w:t>
            </w:r>
            <w:r>
              <w:rPr>
                <w:rFonts w:ascii="Times New Roman" w:hAnsi="Times New Roman" w:eastAsia="宋体" w:cs="Times New Roman"/>
                <w:color w:val="auto"/>
                <w:kern w:val="2"/>
                <w:sz w:val="24"/>
                <w:szCs w:val="24"/>
                <w:lang w:val="en-US" w:eastAsia="zh-CN" w:bidi="ar-SA"/>
              </w:rPr>
              <w:t>要求，对照自治区编制的三线一单生态环境分区管控要求，符合性分析见表1-1。</w:t>
            </w:r>
          </w:p>
          <w:p w14:paraId="479339F4">
            <w:pPr>
              <w:pStyle w:val="91"/>
              <w:rPr>
                <w:color w:val="auto"/>
                <w:sz w:val="24"/>
                <w:szCs w:val="24"/>
              </w:rPr>
            </w:pPr>
            <w:r>
              <w:rPr>
                <w:color w:val="auto"/>
                <w:sz w:val="24"/>
                <w:szCs w:val="24"/>
              </w:rPr>
              <w:t>表1-1本工程与新疆维吾尔自治区</w:t>
            </w:r>
            <w:r>
              <w:rPr>
                <w:rFonts w:hint="eastAsia"/>
                <w:color w:val="auto"/>
                <w:sz w:val="24"/>
                <w:szCs w:val="24"/>
                <w:lang w:eastAsia="zh-CN"/>
              </w:rPr>
              <w:t>“</w:t>
            </w:r>
            <w:r>
              <w:rPr>
                <w:color w:val="auto"/>
                <w:sz w:val="24"/>
                <w:szCs w:val="24"/>
              </w:rPr>
              <w:t>三线一单</w:t>
            </w:r>
            <w:r>
              <w:rPr>
                <w:rFonts w:hint="eastAsia"/>
                <w:color w:val="auto"/>
                <w:sz w:val="24"/>
                <w:szCs w:val="24"/>
                <w:lang w:eastAsia="zh-CN"/>
              </w:rPr>
              <w:t>”</w:t>
            </w:r>
            <w:r>
              <w:rPr>
                <w:color w:val="auto"/>
                <w:sz w:val="24"/>
                <w:szCs w:val="24"/>
              </w:rPr>
              <w:t>符合性分析一览表</w:t>
            </w:r>
          </w:p>
          <w:tbl>
            <w:tblPr>
              <w:tblStyle w:val="113"/>
              <w:tblW w:w="7940" w:type="dxa"/>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95"/>
              <w:gridCol w:w="500"/>
              <w:gridCol w:w="679"/>
              <w:gridCol w:w="3499"/>
              <w:gridCol w:w="2061"/>
              <w:gridCol w:w="706"/>
            </w:tblGrid>
            <w:tr w14:paraId="54742C8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5173" w:type="dxa"/>
                  <w:gridSpan w:val="4"/>
                  <w:tcBorders>
                    <w:tl2br w:val="nil"/>
                    <w:tr2bl w:val="nil"/>
                  </w:tcBorders>
                  <w:vAlign w:val="top"/>
                </w:tcPr>
                <w:p w14:paraId="6938DA69">
                  <w:pPr>
                    <w:keepNext w:val="0"/>
                    <w:keepLines w:val="0"/>
                    <w:pageBreakBefore w:val="0"/>
                    <w:widowControl w:val="0"/>
                    <w:kinsoku/>
                    <w:wordWrap/>
                    <w:overflowPunct/>
                    <w:topLinePunct w:val="0"/>
                    <w:autoSpaceDE/>
                    <w:autoSpaceDN/>
                    <w:bidi w:val="0"/>
                    <w:adjustRightInd/>
                    <w:snapToGrid/>
                    <w:spacing w:before="169" w:line="360" w:lineRule="auto"/>
                    <w:ind w:left="627"/>
                    <w:textAlignment w:val="auto"/>
                    <w:rPr>
                      <w:rFonts w:hint="eastAsia" w:ascii="宋体" w:hAnsi="宋体" w:eastAsia="宋体" w:cs="宋体"/>
                      <w:color w:val="auto"/>
                      <w:spacing w:val="7"/>
                      <w:sz w:val="24"/>
                      <w:szCs w:val="24"/>
                    </w:rPr>
                  </w:pPr>
                  <w:r>
                    <w:rPr>
                      <w:rFonts w:hint="eastAsia" w:ascii="宋体" w:hAnsi="宋体" w:eastAsia="宋体" w:cs="宋体"/>
                      <w:color w:val="auto"/>
                      <w:spacing w:val="7"/>
                      <w:sz w:val="24"/>
                      <w:szCs w:val="24"/>
                    </w:rPr>
                    <w:t>管控要求</w:t>
                  </w:r>
                </w:p>
              </w:tc>
              <w:tc>
                <w:tcPr>
                  <w:tcW w:w="2061" w:type="dxa"/>
                  <w:tcBorders>
                    <w:tl2br w:val="nil"/>
                    <w:tr2bl w:val="nil"/>
                  </w:tcBorders>
                  <w:vAlign w:val="top"/>
                </w:tcPr>
                <w:p w14:paraId="21276187">
                  <w:pPr>
                    <w:keepNext w:val="0"/>
                    <w:keepLines w:val="0"/>
                    <w:pageBreakBefore w:val="0"/>
                    <w:widowControl w:val="0"/>
                    <w:kinsoku/>
                    <w:wordWrap/>
                    <w:overflowPunct/>
                    <w:topLinePunct w:val="0"/>
                    <w:autoSpaceDE/>
                    <w:autoSpaceDN/>
                    <w:bidi w:val="0"/>
                    <w:adjustRightInd/>
                    <w:snapToGrid/>
                    <w:spacing w:before="169" w:line="360" w:lineRule="auto"/>
                    <w:ind w:left="627"/>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拟建工程</w:t>
                  </w:r>
                </w:p>
              </w:tc>
              <w:tc>
                <w:tcPr>
                  <w:tcW w:w="706" w:type="dxa"/>
                  <w:tcBorders>
                    <w:tl2br w:val="nil"/>
                    <w:tr2bl w:val="nil"/>
                  </w:tcBorders>
                  <w:vAlign w:val="top"/>
                </w:tcPr>
                <w:p w14:paraId="5973A9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符合</w:t>
                  </w:r>
                  <w:r>
                    <w:rPr>
                      <w:rFonts w:hint="eastAsia" w:ascii="宋体" w:hAnsi="宋体" w:eastAsia="宋体" w:cs="宋体"/>
                      <w:color w:val="auto"/>
                      <w:sz w:val="24"/>
                      <w:szCs w:val="24"/>
                    </w:rPr>
                    <w:t>性</w:t>
                  </w:r>
                </w:p>
              </w:tc>
            </w:tr>
            <w:tr w14:paraId="47AD3A0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29" w:hRule="atLeast"/>
              </w:trPr>
              <w:tc>
                <w:tcPr>
                  <w:tcW w:w="495" w:type="dxa"/>
                  <w:vMerge w:val="restart"/>
                  <w:tcBorders>
                    <w:tl2br w:val="nil"/>
                    <w:tr2bl w:val="nil"/>
                  </w:tcBorders>
                  <w:vAlign w:val="top"/>
                </w:tcPr>
                <w:p w14:paraId="27879783">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549CBC3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70DEDB6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29EDA19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62BCADA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448A7D0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0DC73B0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pacing w:val="8"/>
                      <w:sz w:val="24"/>
                      <w:szCs w:val="24"/>
                    </w:rPr>
                  </w:pPr>
                </w:p>
                <w:p w14:paraId="2904263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新疆维吾尔</w:t>
                  </w:r>
                  <w:r>
                    <w:rPr>
                      <w:rFonts w:hint="eastAsia" w:ascii="宋体" w:hAnsi="宋体" w:eastAsia="宋体" w:cs="宋体"/>
                      <w:color w:val="auto"/>
                      <w:spacing w:val="8"/>
                      <w:position w:val="1"/>
                      <w:sz w:val="24"/>
                      <w:szCs w:val="24"/>
                    </w:rPr>
                    <w:t>自</w:t>
                  </w:r>
                  <w:r>
                    <w:rPr>
                      <w:rFonts w:hint="eastAsia" w:ascii="宋体" w:hAnsi="宋体" w:eastAsia="宋体" w:cs="宋体"/>
                      <w:color w:val="auto"/>
                      <w:spacing w:val="8"/>
                      <w:sz w:val="24"/>
                      <w:szCs w:val="24"/>
                    </w:rPr>
                    <w:t>治区总体管控要求</w:t>
                  </w:r>
                </w:p>
              </w:tc>
              <w:tc>
                <w:tcPr>
                  <w:tcW w:w="500" w:type="dxa"/>
                  <w:vMerge w:val="restart"/>
                  <w:tcBorders>
                    <w:tl2br w:val="nil"/>
                    <w:tr2bl w:val="nil"/>
                  </w:tcBorders>
                  <w:vAlign w:val="top"/>
                </w:tcPr>
                <w:p w14:paraId="6AF3A5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9FE2B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8FBBA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67ED2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C965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F7C9C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8DCB8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A17035F">
                  <w:pPr>
                    <w:keepNext w:val="0"/>
                    <w:keepLines w:val="0"/>
                    <w:pageBreakBefore w:val="0"/>
                    <w:widowControl w:val="0"/>
                    <w:kinsoku/>
                    <w:wordWrap/>
                    <w:overflowPunct/>
                    <w:topLinePunct w:val="0"/>
                    <w:autoSpaceDE/>
                    <w:autoSpaceDN/>
                    <w:bidi w:val="0"/>
                    <w:adjustRightInd/>
                    <w:snapToGrid/>
                    <w:spacing w:before="58" w:line="360" w:lineRule="auto"/>
                    <w:ind w:left="99" w:right="74" w:hanging="30"/>
                    <w:jc w:val="both"/>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rPr>
                    <w:t>A1</w:t>
                  </w:r>
                  <w:r>
                    <w:rPr>
                      <w:rFonts w:hint="eastAsia" w:ascii="宋体" w:hAnsi="宋体" w:eastAsia="宋体" w:cs="宋体"/>
                      <w:color w:val="auto"/>
                      <w:sz w:val="24"/>
                      <w:szCs w:val="24"/>
                    </w:rPr>
                    <w:t>空间布局约束</w:t>
                  </w:r>
                </w:p>
              </w:tc>
              <w:tc>
                <w:tcPr>
                  <w:tcW w:w="679" w:type="dxa"/>
                  <w:vMerge w:val="restart"/>
                  <w:tcBorders>
                    <w:tl2br w:val="nil"/>
                    <w:tr2bl w:val="nil"/>
                  </w:tcBorders>
                  <w:vAlign w:val="top"/>
                </w:tcPr>
                <w:p w14:paraId="6EB444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2C6B9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C17A0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B4641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62076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5E488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28924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2929F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BF317A4">
                  <w:pPr>
                    <w:keepNext w:val="0"/>
                    <w:keepLines w:val="0"/>
                    <w:pageBreakBefore w:val="0"/>
                    <w:widowControl w:val="0"/>
                    <w:kinsoku/>
                    <w:wordWrap/>
                    <w:overflowPunct/>
                    <w:topLinePunct w:val="0"/>
                    <w:autoSpaceDE/>
                    <w:autoSpaceDN/>
                    <w:bidi w:val="0"/>
                    <w:adjustRightInd/>
                    <w:snapToGrid/>
                    <w:spacing w:before="157" w:beforeLines="50" w:line="360" w:lineRule="auto"/>
                    <w:ind w:left="105" w:leftChars="5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A1.1禁</w:t>
                  </w:r>
                  <w:r>
                    <w:rPr>
                      <w:rFonts w:hint="eastAsia" w:ascii="宋体" w:hAnsi="宋体" w:eastAsia="宋体" w:cs="宋体"/>
                      <w:color w:val="auto"/>
                      <w:spacing w:val="6"/>
                      <w:sz w:val="24"/>
                      <w:szCs w:val="24"/>
                    </w:rPr>
                    <w:t>止开发</w:t>
                  </w:r>
                </w:p>
                <w:p w14:paraId="4B79620C">
                  <w:pPr>
                    <w:keepNext w:val="0"/>
                    <w:keepLines w:val="0"/>
                    <w:pageBreakBefore w:val="0"/>
                    <w:widowControl w:val="0"/>
                    <w:kinsoku/>
                    <w:wordWrap/>
                    <w:overflowPunct/>
                    <w:topLinePunct w:val="0"/>
                    <w:autoSpaceDE/>
                    <w:autoSpaceDN/>
                    <w:bidi w:val="0"/>
                    <w:adjustRightInd/>
                    <w:snapToGrid/>
                    <w:spacing w:before="157" w:beforeLines="50" w:line="360" w:lineRule="auto"/>
                    <w:ind w:left="105" w:leftChars="5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设的</w:t>
                  </w:r>
                  <w:r>
                    <w:rPr>
                      <w:rFonts w:hint="eastAsia" w:ascii="宋体" w:hAnsi="宋体" w:eastAsia="宋体" w:cs="宋体"/>
                      <w:color w:val="auto"/>
                      <w:spacing w:val="3"/>
                      <w:sz w:val="24"/>
                      <w:szCs w:val="24"/>
                    </w:rPr>
                    <w:t>活动</w:t>
                  </w:r>
                </w:p>
              </w:tc>
              <w:tc>
                <w:tcPr>
                  <w:tcW w:w="3499" w:type="dxa"/>
                  <w:tcBorders>
                    <w:tl2br w:val="nil"/>
                    <w:tr2bl w:val="nil"/>
                  </w:tcBorders>
                  <w:vAlign w:val="top"/>
                </w:tcPr>
                <w:p w14:paraId="49312C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6075544">
                  <w:pPr>
                    <w:keepNext w:val="0"/>
                    <w:keepLines w:val="0"/>
                    <w:pageBreakBefore w:val="0"/>
                    <w:widowControl w:val="0"/>
                    <w:kinsoku/>
                    <w:wordWrap/>
                    <w:overflowPunct/>
                    <w:topLinePunct w:val="0"/>
                    <w:autoSpaceDE/>
                    <w:autoSpaceDN/>
                    <w:bidi w:val="0"/>
                    <w:adjustRightInd/>
                    <w:snapToGrid/>
                    <w:spacing w:before="65" w:line="360" w:lineRule="auto"/>
                    <w:ind w:left="33" w:right="25" w:hanging="6"/>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【A1.1-1】禁止新建、扩建《产业结构</w:t>
                  </w:r>
                  <w:r>
                    <w:rPr>
                      <w:rFonts w:hint="eastAsia" w:ascii="宋体" w:hAnsi="宋体" w:eastAsia="宋体" w:cs="宋体"/>
                      <w:color w:val="auto"/>
                      <w:spacing w:val="3"/>
                      <w:sz w:val="24"/>
                      <w:szCs w:val="24"/>
                    </w:rPr>
                    <w:t>调整指导目录（2024年本</w:t>
                  </w:r>
                  <w:r>
                    <w:rPr>
                      <w:rFonts w:hint="eastAsia" w:ascii="宋体" w:hAnsi="宋体" w:cs="宋体"/>
                      <w:color w:val="auto"/>
                      <w:spacing w:val="3"/>
                      <w:sz w:val="24"/>
                      <w:szCs w:val="24"/>
                      <w:lang w:eastAsia="zh-CN"/>
                    </w:rPr>
                    <w:t>）</w:t>
                  </w:r>
                  <w:r>
                    <w:rPr>
                      <w:rFonts w:hint="eastAsia" w:ascii="宋体" w:hAnsi="宋体" w:eastAsia="宋体" w:cs="宋体"/>
                      <w:color w:val="auto"/>
                      <w:spacing w:val="3"/>
                      <w:sz w:val="24"/>
                      <w:szCs w:val="24"/>
                    </w:rPr>
                    <w:t>》中淘汰类</w:t>
                  </w:r>
                  <w:r>
                    <w:rPr>
                      <w:rFonts w:hint="eastAsia" w:ascii="宋体" w:hAnsi="宋体" w:eastAsia="宋体" w:cs="宋体"/>
                      <w:color w:val="auto"/>
                      <w:spacing w:val="13"/>
                      <w:sz w:val="24"/>
                      <w:szCs w:val="24"/>
                    </w:rPr>
                    <w:t>项目。禁止引入《市场准入负面清单</w:t>
                  </w:r>
                  <w:r>
                    <w:rPr>
                      <w:rFonts w:hint="eastAsia" w:ascii="宋体" w:hAnsi="宋体" w:eastAsia="宋体" w:cs="宋体"/>
                      <w:color w:val="auto"/>
                      <w:spacing w:val="7"/>
                      <w:sz w:val="24"/>
                      <w:szCs w:val="24"/>
                    </w:rPr>
                    <w:t>（2022年版</w:t>
                  </w:r>
                  <w:r>
                    <w:rPr>
                      <w:rFonts w:hint="eastAsia" w:ascii="宋体" w:hAnsi="宋体" w:cs="宋体"/>
                      <w:color w:val="auto"/>
                      <w:spacing w:val="7"/>
                      <w:sz w:val="24"/>
                      <w:szCs w:val="24"/>
                      <w:lang w:eastAsia="zh-CN"/>
                    </w:rPr>
                    <w:t>）</w:t>
                  </w:r>
                  <w:r>
                    <w:rPr>
                      <w:rFonts w:hint="eastAsia" w:ascii="宋体" w:hAnsi="宋体" w:eastAsia="宋体" w:cs="宋体"/>
                      <w:color w:val="auto"/>
                      <w:spacing w:val="7"/>
                      <w:sz w:val="24"/>
                      <w:szCs w:val="24"/>
                    </w:rPr>
                    <w:t>》禁止准入类事项。</w:t>
                  </w:r>
                </w:p>
              </w:tc>
              <w:tc>
                <w:tcPr>
                  <w:tcW w:w="2061" w:type="dxa"/>
                  <w:tcBorders>
                    <w:tl2br w:val="nil"/>
                    <w:tr2bl w:val="nil"/>
                  </w:tcBorders>
                  <w:vAlign w:val="top"/>
                </w:tcPr>
                <w:p w14:paraId="21BB4A34">
                  <w:pPr>
                    <w:keepNext w:val="0"/>
                    <w:keepLines w:val="0"/>
                    <w:pageBreakBefore w:val="0"/>
                    <w:widowControl w:val="0"/>
                    <w:kinsoku/>
                    <w:wordWrap/>
                    <w:overflowPunct/>
                    <w:topLinePunct w:val="0"/>
                    <w:autoSpaceDE/>
                    <w:autoSpaceDN/>
                    <w:bidi w:val="0"/>
                    <w:adjustRightInd/>
                    <w:snapToGrid/>
                    <w:spacing w:before="33" w:line="360" w:lineRule="auto"/>
                    <w:ind w:left="34" w:right="23" w:firstLine="1"/>
                    <w:jc w:val="both"/>
                    <w:textAlignment w:val="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本项目属于《产业结构</w:t>
                  </w:r>
                  <w:r>
                    <w:rPr>
                      <w:rFonts w:hint="eastAsia" w:ascii="宋体" w:hAnsi="宋体" w:eastAsia="宋体" w:cs="宋体"/>
                      <w:color w:val="auto"/>
                      <w:spacing w:val="13"/>
                      <w:sz w:val="24"/>
                      <w:szCs w:val="24"/>
                    </w:rPr>
                    <w:t>调整指导目录（2024</w:t>
                  </w:r>
                  <w:r>
                    <w:rPr>
                      <w:rFonts w:hint="eastAsia" w:ascii="宋体" w:hAnsi="宋体" w:eastAsia="宋体" w:cs="宋体"/>
                      <w:color w:val="auto"/>
                      <w:spacing w:val="1"/>
                      <w:sz w:val="24"/>
                      <w:szCs w:val="24"/>
                    </w:rPr>
                    <w:t>年本</w:t>
                  </w:r>
                  <w:r>
                    <w:rPr>
                      <w:rFonts w:hint="eastAsia" w:ascii="宋体" w:hAnsi="宋体" w:cs="宋体"/>
                      <w:color w:val="auto"/>
                      <w:spacing w:val="1"/>
                      <w:sz w:val="24"/>
                      <w:szCs w:val="24"/>
                      <w:lang w:eastAsia="zh-CN"/>
                    </w:rPr>
                    <w:t>）</w:t>
                  </w:r>
                  <w:r>
                    <w:rPr>
                      <w:rFonts w:hint="eastAsia" w:ascii="宋体" w:hAnsi="宋体" w:eastAsia="宋体" w:cs="宋体"/>
                      <w:color w:val="auto"/>
                      <w:spacing w:val="1"/>
                      <w:sz w:val="24"/>
                      <w:szCs w:val="24"/>
                    </w:rPr>
                    <w:t>》中的允许类项目，符合国家当前产业政策要求；不属于《市场准入负面清单（202</w:t>
                  </w:r>
                  <w:r>
                    <w:rPr>
                      <w:rFonts w:hint="eastAsia" w:ascii="宋体" w:hAnsi="宋体" w:eastAsia="宋体" w:cs="宋体"/>
                      <w:color w:val="auto"/>
                      <w:spacing w:val="1"/>
                      <w:sz w:val="24"/>
                      <w:szCs w:val="24"/>
                      <w:lang w:val="en-US" w:eastAsia="zh-CN"/>
                    </w:rPr>
                    <w:t>4</w:t>
                  </w:r>
                  <w:r>
                    <w:rPr>
                      <w:rFonts w:hint="eastAsia" w:ascii="宋体" w:hAnsi="宋体" w:eastAsia="宋体" w:cs="宋体"/>
                      <w:color w:val="auto"/>
                      <w:spacing w:val="1"/>
                      <w:sz w:val="24"/>
                      <w:szCs w:val="24"/>
                    </w:rPr>
                    <w:t>年版</w:t>
                  </w:r>
                  <w:r>
                    <w:rPr>
                      <w:rFonts w:hint="eastAsia" w:ascii="宋体" w:hAnsi="宋体" w:cs="宋体"/>
                      <w:color w:val="auto"/>
                      <w:spacing w:val="1"/>
                      <w:sz w:val="24"/>
                      <w:szCs w:val="24"/>
                      <w:lang w:eastAsia="zh-CN"/>
                    </w:rPr>
                    <w:t>）</w:t>
                  </w:r>
                  <w:r>
                    <w:rPr>
                      <w:rFonts w:hint="eastAsia" w:ascii="宋体" w:hAnsi="宋体" w:eastAsia="宋体" w:cs="宋体"/>
                      <w:color w:val="auto"/>
                      <w:spacing w:val="1"/>
                      <w:sz w:val="24"/>
                      <w:szCs w:val="24"/>
                    </w:rPr>
                    <w:t>中禁止准入类项目</w:t>
                  </w:r>
                </w:p>
              </w:tc>
              <w:tc>
                <w:tcPr>
                  <w:tcW w:w="706" w:type="dxa"/>
                  <w:tcBorders>
                    <w:tl2br w:val="nil"/>
                    <w:tr2bl w:val="nil"/>
                  </w:tcBorders>
                  <w:vAlign w:val="top"/>
                </w:tcPr>
                <w:p w14:paraId="6010499C">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3B4ACEDD">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2C9803B9">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4413BA77">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符合</w:t>
                  </w:r>
                </w:p>
              </w:tc>
            </w:tr>
            <w:tr w14:paraId="23EB33B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495" w:type="dxa"/>
                  <w:vMerge w:val="continue"/>
                  <w:tcBorders>
                    <w:tl2br w:val="nil"/>
                    <w:tr2bl w:val="nil"/>
                  </w:tcBorders>
                  <w:textDirection w:val="tbRlV"/>
                  <w:vAlign w:val="top"/>
                </w:tcPr>
                <w:p w14:paraId="3D714E2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vAlign w:val="top"/>
                </w:tcPr>
                <w:p w14:paraId="4F4B9B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vAlign w:val="top"/>
                </w:tcPr>
                <w:p w14:paraId="49E57C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vAlign w:val="top"/>
                </w:tcPr>
                <w:p w14:paraId="70C15B28">
                  <w:pPr>
                    <w:keepNext w:val="0"/>
                    <w:keepLines w:val="0"/>
                    <w:pageBreakBefore w:val="0"/>
                    <w:widowControl w:val="0"/>
                    <w:kinsoku/>
                    <w:wordWrap/>
                    <w:overflowPunct/>
                    <w:topLinePunct w:val="0"/>
                    <w:autoSpaceDE/>
                    <w:autoSpaceDN/>
                    <w:bidi w:val="0"/>
                    <w:adjustRightInd/>
                    <w:snapToGrid/>
                    <w:spacing w:before="168" w:line="360" w:lineRule="auto"/>
                    <w:ind w:left="47" w:right="25" w:hanging="20"/>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【A1.1-2】禁止建设不符合国家和自治</w:t>
                  </w:r>
                  <w:r>
                    <w:rPr>
                      <w:rFonts w:hint="eastAsia" w:ascii="宋体" w:hAnsi="宋体" w:eastAsia="宋体" w:cs="宋体"/>
                      <w:color w:val="auto"/>
                      <w:spacing w:val="6"/>
                      <w:sz w:val="24"/>
                      <w:szCs w:val="24"/>
                    </w:rPr>
                    <w:t>区环境保护标准的项目。</w:t>
                  </w:r>
                </w:p>
              </w:tc>
              <w:tc>
                <w:tcPr>
                  <w:tcW w:w="2061" w:type="dxa"/>
                  <w:tcBorders>
                    <w:tl2br w:val="nil"/>
                    <w:tr2bl w:val="nil"/>
                  </w:tcBorders>
                  <w:vAlign w:val="top"/>
                </w:tcPr>
                <w:p w14:paraId="7B29C613">
                  <w:pPr>
                    <w:keepNext w:val="0"/>
                    <w:keepLines w:val="0"/>
                    <w:pageBreakBefore w:val="0"/>
                    <w:widowControl w:val="0"/>
                    <w:kinsoku/>
                    <w:wordWrap/>
                    <w:overflowPunct/>
                    <w:topLinePunct w:val="0"/>
                    <w:autoSpaceDE/>
                    <w:autoSpaceDN/>
                    <w:bidi w:val="0"/>
                    <w:adjustRightInd/>
                    <w:snapToGrid/>
                    <w:spacing w:before="31" w:line="360" w:lineRule="auto"/>
                    <w:ind w:left="35" w:right="24"/>
                    <w:jc w:val="both"/>
                    <w:textAlignment w:val="auto"/>
                    <w:rPr>
                      <w:rFonts w:hint="eastAsia" w:ascii="宋体" w:hAnsi="宋体" w:eastAsia="宋体" w:cs="宋体"/>
                      <w:color w:val="auto"/>
                      <w:sz w:val="24"/>
                      <w:szCs w:val="24"/>
                    </w:rPr>
                  </w:pPr>
                  <w:r>
                    <w:rPr>
                      <w:rFonts w:hint="eastAsia" w:ascii="宋体" w:hAnsi="宋体" w:eastAsia="宋体" w:cs="宋体"/>
                      <w:color w:val="auto"/>
                      <w:spacing w:val="16"/>
                      <w:sz w:val="24"/>
                      <w:szCs w:val="24"/>
                    </w:rPr>
                    <w:t>本项目执行标准符合</w:t>
                  </w:r>
                  <w:r>
                    <w:rPr>
                      <w:rFonts w:hint="eastAsia" w:ascii="宋体" w:hAnsi="宋体" w:eastAsia="宋体" w:cs="宋体"/>
                      <w:color w:val="auto"/>
                      <w:spacing w:val="24"/>
                      <w:sz w:val="24"/>
                      <w:szCs w:val="24"/>
                    </w:rPr>
                    <w:t>国家和自治区环境保</w:t>
                  </w:r>
                  <w:r>
                    <w:rPr>
                      <w:rFonts w:hint="eastAsia" w:ascii="宋体" w:hAnsi="宋体" w:eastAsia="宋体" w:cs="宋体"/>
                      <w:color w:val="auto"/>
                      <w:spacing w:val="6"/>
                      <w:sz w:val="24"/>
                      <w:szCs w:val="24"/>
                    </w:rPr>
                    <w:t>护标准</w:t>
                  </w:r>
                </w:p>
              </w:tc>
              <w:tc>
                <w:tcPr>
                  <w:tcW w:w="706" w:type="dxa"/>
                  <w:tcBorders>
                    <w:tl2br w:val="nil"/>
                    <w:tr2bl w:val="nil"/>
                  </w:tcBorders>
                  <w:vAlign w:val="top"/>
                </w:tcPr>
                <w:p w14:paraId="5951F744">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pacing w:val="3"/>
                      <w:sz w:val="24"/>
                      <w:szCs w:val="24"/>
                    </w:rPr>
                  </w:pPr>
                </w:p>
                <w:p w14:paraId="0831DECC">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符合</w:t>
                  </w:r>
                </w:p>
              </w:tc>
            </w:tr>
            <w:tr w14:paraId="4F31EE3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26" w:hRule="atLeast"/>
              </w:trPr>
              <w:tc>
                <w:tcPr>
                  <w:tcW w:w="495" w:type="dxa"/>
                  <w:vMerge w:val="continue"/>
                  <w:tcBorders>
                    <w:tl2br w:val="nil"/>
                    <w:tr2bl w:val="nil"/>
                  </w:tcBorders>
                  <w:textDirection w:val="tbRlV"/>
                  <w:vAlign w:val="top"/>
                </w:tcPr>
                <w:p w14:paraId="3007BE8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vAlign w:val="top"/>
                </w:tcPr>
                <w:p w14:paraId="01EEBA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vAlign w:val="top"/>
                </w:tcPr>
                <w:p w14:paraId="69767A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vAlign w:val="top"/>
                </w:tcPr>
                <w:p w14:paraId="1380B7CC">
                  <w:pPr>
                    <w:keepNext w:val="0"/>
                    <w:keepLines w:val="0"/>
                    <w:pageBreakBefore w:val="0"/>
                    <w:widowControl w:val="0"/>
                    <w:kinsoku/>
                    <w:wordWrap/>
                    <w:overflowPunct/>
                    <w:topLinePunct w:val="0"/>
                    <w:autoSpaceDE/>
                    <w:autoSpaceDN/>
                    <w:bidi w:val="0"/>
                    <w:adjustRightInd/>
                    <w:snapToGrid/>
                    <w:spacing w:line="360" w:lineRule="auto"/>
                    <w:ind w:left="34" w:right="6" w:hanging="6"/>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【A1.1-3】禁止在饮用水水源保护区、风景名胜区、自然保护区的核心区和缓冲区、城镇居民区、文化教育科学研究区等人口集中区域以及法律、法规规定的其他禁止养殖区域建设畜禽养殖场、</w:t>
                  </w:r>
                  <w:r>
                    <w:rPr>
                      <w:rFonts w:hint="eastAsia" w:ascii="宋体" w:hAnsi="宋体" w:eastAsia="宋体" w:cs="宋体"/>
                      <w:color w:val="auto"/>
                      <w:spacing w:val="5"/>
                      <w:sz w:val="24"/>
                      <w:szCs w:val="24"/>
                    </w:rPr>
                    <w:t>养殖小区。</w:t>
                  </w:r>
                </w:p>
              </w:tc>
              <w:tc>
                <w:tcPr>
                  <w:tcW w:w="2061" w:type="dxa"/>
                  <w:tcBorders>
                    <w:tl2br w:val="nil"/>
                    <w:tr2bl w:val="nil"/>
                  </w:tcBorders>
                  <w:vAlign w:val="top"/>
                </w:tcPr>
                <w:p w14:paraId="07C780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B03AD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4B35163">
                  <w:pPr>
                    <w:keepNext w:val="0"/>
                    <w:keepLines w:val="0"/>
                    <w:pageBreakBefore w:val="0"/>
                    <w:widowControl w:val="0"/>
                    <w:kinsoku/>
                    <w:wordWrap/>
                    <w:overflowPunct/>
                    <w:topLinePunct w:val="0"/>
                    <w:autoSpaceDE/>
                    <w:autoSpaceDN/>
                    <w:bidi w:val="0"/>
                    <w:adjustRightInd/>
                    <w:snapToGrid/>
                    <w:spacing w:before="65" w:line="360" w:lineRule="auto"/>
                    <w:ind w:left="36" w:right="24" w:hanging="1"/>
                    <w:textAlignment w:val="auto"/>
                    <w:rPr>
                      <w:rFonts w:hint="eastAsia" w:ascii="宋体" w:hAnsi="宋体" w:eastAsia="宋体" w:cs="宋体"/>
                      <w:color w:val="auto"/>
                      <w:sz w:val="24"/>
                      <w:szCs w:val="24"/>
                    </w:rPr>
                  </w:pPr>
                  <w:r>
                    <w:rPr>
                      <w:rFonts w:hint="eastAsia" w:ascii="宋体" w:hAnsi="宋体" w:eastAsia="宋体" w:cs="宋体"/>
                      <w:color w:val="auto"/>
                      <w:spacing w:val="16"/>
                      <w:sz w:val="24"/>
                      <w:szCs w:val="24"/>
                    </w:rPr>
                    <w:t>本项目不涉及相关内</w:t>
                  </w:r>
                  <w:r>
                    <w:rPr>
                      <w:rFonts w:hint="eastAsia" w:ascii="宋体" w:hAnsi="宋体" w:eastAsia="宋体" w:cs="宋体"/>
                      <w:color w:val="auto"/>
                      <w:sz w:val="24"/>
                      <w:szCs w:val="24"/>
                    </w:rPr>
                    <w:t>容</w:t>
                  </w:r>
                </w:p>
              </w:tc>
              <w:tc>
                <w:tcPr>
                  <w:tcW w:w="706" w:type="dxa"/>
                  <w:tcBorders>
                    <w:tl2br w:val="nil"/>
                    <w:tr2bl w:val="nil"/>
                  </w:tcBorders>
                  <w:vAlign w:val="top"/>
                </w:tcPr>
                <w:p w14:paraId="5BBEC105">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07F7B969">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1F486C8E">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53BF9577">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2"/>
                      <w:position w:val="-3"/>
                      <w:sz w:val="24"/>
                      <w:szCs w:val="24"/>
                    </w:rPr>
                    <w:t>—</w:t>
                  </w:r>
                </w:p>
              </w:tc>
            </w:tr>
            <w:tr w14:paraId="184B503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95" w:type="dxa"/>
                  <w:vMerge w:val="continue"/>
                  <w:tcBorders>
                    <w:tl2br w:val="nil"/>
                    <w:tr2bl w:val="nil"/>
                  </w:tcBorders>
                  <w:textDirection w:val="tbRlV"/>
                  <w:vAlign w:val="top"/>
                </w:tcPr>
                <w:p w14:paraId="536EE54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vAlign w:val="top"/>
                </w:tcPr>
                <w:p w14:paraId="52FE71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vAlign w:val="top"/>
                </w:tcPr>
                <w:p w14:paraId="4D90AB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vAlign w:val="top"/>
                </w:tcPr>
                <w:p w14:paraId="5A76EF26">
                  <w:pPr>
                    <w:keepNext w:val="0"/>
                    <w:keepLines w:val="0"/>
                    <w:pageBreakBefore w:val="0"/>
                    <w:widowControl w:val="0"/>
                    <w:kinsoku/>
                    <w:wordWrap/>
                    <w:overflowPunct/>
                    <w:topLinePunct w:val="0"/>
                    <w:autoSpaceDE/>
                    <w:autoSpaceDN/>
                    <w:bidi w:val="0"/>
                    <w:adjustRightInd/>
                    <w:snapToGrid/>
                    <w:spacing w:before="30" w:line="360" w:lineRule="auto"/>
                    <w:ind w:left="31" w:right="25" w:hanging="4"/>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【A1.1-4】禁止在水源涵养区、地下水源、饮用水源、自然保护区、风景名胜区、森林公园、重要湿地及人群密集区等生态敏感区域内进行煤炭、石油、天</w:t>
                  </w:r>
                  <w:r>
                    <w:rPr>
                      <w:rFonts w:hint="eastAsia" w:ascii="宋体" w:hAnsi="宋体" w:eastAsia="宋体" w:cs="宋体"/>
                      <w:color w:val="auto"/>
                      <w:spacing w:val="5"/>
                      <w:sz w:val="24"/>
                      <w:szCs w:val="24"/>
                    </w:rPr>
                    <w:t>然气开发。</w:t>
                  </w:r>
                </w:p>
              </w:tc>
              <w:tc>
                <w:tcPr>
                  <w:tcW w:w="2061" w:type="dxa"/>
                  <w:tcBorders>
                    <w:tl2br w:val="nil"/>
                    <w:tr2bl w:val="nil"/>
                  </w:tcBorders>
                  <w:vAlign w:val="top"/>
                </w:tcPr>
                <w:p w14:paraId="19E94EE7">
                  <w:pPr>
                    <w:keepNext w:val="0"/>
                    <w:keepLines w:val="0"/>
                    <w:pageBreakBefore w:val="0"/>
                    <w:widowControl w:val="0"/>
                    <w:kinsoku/>
                    <w:wordWrap/>
                    <w:overflowPunct/>
                    <w:topLinePunct w:val="0"/>
                    <w:autoSpaceDE/>
                    <w:autoSpaceDN/>
                    <w:bidi w:val="0"/>
                    <w:adjustRightInd/>
                    <w:snapToGrid/>
                    <w:spacing w:before="30" w:line="360" w:lineRule="auto"/>
                    <w:ind w:left="35" w:right="24"/>
                    <w:jc w:val="both"/>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占地范围内不</w:t>
                  </w:r>
                  <w:r>
                    <w:rPr>
                      <w:rFonts w:hint="eastAsia" w:ascii="宋体" w:hAnsi="宋体" w:eastAsia="宋体" w:cs="宋体"/>
                      <w:color w:val="auto"/>
                      <w:spacing w:val="1"/>
                      <w:sz w:val="24"/>
                      <w:szCs w:val="24"/>
                    </w:rPr>
                    <w:t>涉及在水源涵养区、地下水源、饮用水源、自</w:t>
                  </w:r>
                  <w:r>
                    <w:rPr>
                      <w:rFonts w:hint="eastAsia" w:ascii="宋体" w:hAnsi="宋体" w:eastAsia="宋体" w:cs="宋体"/>
                      <w:color w:val="auto"/>
                      <w:spacing w:val="19"/>
                      <w:sz w:val="24"/>
                      <w:szCs w:val="24"/>
                    </w:rPr>
                    <w:t>然保护区、风景名胜</w:t>
                  </w:r>
                  <w:r>
                    <w:rPr>
                      <w:rFonts w:hint="eastAsia" w:ascii="宋体" w:hAnsi="宋体" w:eastAsia="宋体" w:cs="宋体"/>
                      <w:color w:val="auto"/>
                      <w:spacing w:val="1"/>
                      <w:sz w:val="24"/>
                      <w:szCs w:val="24"/>
                    </w:rPr>
                    <w:t>区、森林公园、重要湿</w:t>
                  </w:r>
                  <w:r>
                    <w:rPr>
                      <w:rFonts w:hint="eastAsia" w:ascii="宋体" w:hAnsi="宋体" w:eastAsia="宋体" w:cs="宋体"/>
                      <w:color w:val="auto"/>
                      <w:spacing w:val="24"/>
                      <w:sz w:val="24"/>
                      <w:szCs w:val="24"/>
                    </w:rPr>
                    <w:t>地及人群密集区等生</w:t>
                  </w:r>
                  <w:r>
                    <w:rPr>
                      <w:rFonts w:hint="eastAsia" w:ascii="宋体" w:hAnsi="宋体" w:eastAsia="宋体" w:cs="宋体"/>
                      <w:color w:val="auto"/>
                      <w:spacing w:val="8"/>
                      <w:sz w:val="24"/>
                      <w:szCs w:val="24"/>
                    </w:rPr>
                    <w:t>态敏感区域</w:t>
                  </w:r>
                </w:p>
              </w:tc>
              <w:tc>
                <w:tcPr>
                  <w:tcW w:w="706" w:type="dxa"/>
                  <w:tcBorders>
                    <w:tl2br w:val="nil"/>
                    <w:tr2bl w:val="nil"/>
                  </w:tcBorders>
                  <w:vAlign w:val="top"/>
                </w:tcPr>
                <w:p w14:paraId="59B8CB0C">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pacing w:val="3"/>
                      <w:sz w:val="24"/>
                      <w:szCs w:val="24"/>
                    </w:rPr>
                  </w:pPr>
                </w:p>
                <w:p w14:paraId="6BDC1B10">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符合</w:t>
                  </w:r>
                </w:p>
              </w:tc>
            </w:tr>
            <w:tr w14:paraId="5789A1A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9" w:hRule="atLeast"/>
              </w:trPr>
              <w:tc>
                <w:tcPr>
                  <w:tcW w:w="495" w:type="dxa"/>
                  <w:vMerge w:val="restart"/>
                  <w:tcBorders>
                    <w:tl2br w:val="nil"/>
                    <w:tr2bl w:val="nil"/>
                  </w:tcBorders>
                  <w:shd w:val="clear" w:color="auto" w:fill="auto"/>
                  <w:textDirection w:val="tbRlV"/>
                  <w:vAlign w:val="top"/>
                </w:tcPr>
                <w:p w14:paraId="3A9B5FA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pacing w:val="8"/>
                      <w:sz w:val="24"/>
                      <w:szCs w:val="24"/>
                    </w:rPr>
                  </w:pPr>
                </w:p>
                <w:p w14:paraId="31B0F09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pacing w:val="8"/>
                      <w:sz w:val="24"/>
                      <w:szCs w:val="24"/>
                    </w:rPr>
                  </w:pPr>
                </w:p>
                <w:p w14:paraId="2ED85FF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pacing w:val="8"/>
                      <w:sz w:val="24"/>
                      <w:szCs w:val="24"/>
                    </w:rPr>
                  </w:pPr>
                </w:p>
                <w:p w14:paraId="5B8B6E7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新疆维吾尔</w:t>
                  </w:r>
                  <w:r>
                    <w:rPr>
                      <w:rFonts w:hint="eastAsia" w:ascii="宋体" w:hAnsi="宋体" w:eastAsia="宋体" w:cs="宋体"/>
                      <w:color w:val="auto"/>
                      <w:spacing w:val="8"/>
                      <w:position w:val="1"/>
                      <w:sz w:val="24"/>
                      <w:szCs w:val="24"/>
                    </w:rPr>
                    <w:t>自</w:t>
                  </w:r>
                  <w:r>
                    <w:rPr>
                      <w:rFonts w:hint="eastAsia" w:ascii="宋体" w:hAnsi="宋体" w:eastAsia="宋体" w:cs="宋体"/>
                      <w:color w:val="auto"/>
                      <w:spacing w:val="8"/>
                      <w:sz w:val="24"/>
                      <w:szCs w:val="24"/>
                    </w:rPr>
                    <w:t>治区总体管控要求</w:t>
                  </w:r>
                </w:p>
              </w:tc>
              <w:tc>
                <w:tcPr>
                  <w:tcW w:w="500" w:type="dxa"/>
                  <w:vMerge w:val="restart"/>
                  <w:tcBorders>
                    <w:tl2br w:val="nil"/>
                    <w:tr2bl w:val="nil"/>
                  </w:tcBorders>
                  <w:shd w:val="clear" w:color="auto" w:fill="auto"/>
                  <w:vAlign w:val="top"/>
                </w:tcPr>
                <w:p w14:paraId="1311F8A9">
                  <w:pPr>
                    <w:keepNext w:val="0"/>
                    <w:keepLines w:val="0"/>
                    <w:pageBreakBefore w:val="0"/>
                    <w:widowControl w:val="0"/>
                    <w:kinsoku/>
                    <w:wordWrap/>
                    <w:overflowPunct/>
                    <w:topLinePunct w:val="0"/>
                    <w:autoSpaceDE/>
                    <w:autoSpaceDN/>
                    <w:bidi w:val="0"/>
                    <w:adjustRightInd/>
                    <w:snapToGrid/>
                    <w:spacing w:before="58" w:line="360" w:lineRule="auto"/>
                    <w:ind w:left="96" w:leftChars="0" w:right="76" w:rightChars="0" w:hanging="3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A1</w:t>
                  </w:r>
                  <w:r>
                    <w:rPr>
                      <w:rFonts w:hint="eastAsia" w:ascii="宋体" w:hAnsi="宋体" w:eastAsia="宋体" w:cs="宋体"/>
                      <w:color w:val="auto"/>
                      <w:sz w:val="24"/>
                      <w:szCs w:val="24"/>
                    </w:rPr>
                    <w:t>空间布局约束</w:t>
                  </w:r>
                </w:p>
              </w:tc>
              <w:tc>
                <w:tcPr>
                  <w:tcW w:w="679" w:type="dxa"/>
                  <w:tcBorders>
                    <w:tl2br w:val="nil"/>
                    <w:tr2bl w:val="nil"/>
                  </w:tcBorders>
                  <w:shd w:val="clear" w:color="auto" w:fill="auto"/>
                  <w:vAlign w:val="top"/>
                </w:tcPr>
                <w:p w14:paraId="1145B9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C921E14">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A1.1禁</w:t>
                  </w:r>
                  <w:r>
                    <w:rPr>
                      <w:rFonts w:hint="eastAsia" w:ascii="宋体" w:hAnsi="宋体" w:eastAsia="宋体" w:cs="宋体"/>
                      <w:color w:val="auto"/>
                      <w:spacing w:val="6"/>
                      <w:sz w:val="24"/>
                      <w:szCs w:val="24"/>
                    </w:rPr>
                    <w:t>止开发</w:t>
                  </w:r>
                </w:p>
                <w:p w14:paraId="3D3E2028">
                  <w:pPr>
                    <w:keepNext w:val="0"/>
                    <w:keepLines w:val="0"/>
                    <w:pageBreakBefore w:val="0"/>
                    <w:widowControl w:val="0"/>
                    <w:kinsoku/>
                    <w:wordWrap/>
                    <w:overflowPunct/>
                    <w:topLinePunct w:val="0"/>
                    <w:autoSpaceDE/>
                    <w:autoSpaceDN/>
                    <w:bidi w:val="0"/>
                    <w:adjustRightInd/>
                    <w:snapToGrid/>
                    <w:spacing w:before="23" w:line="360" w:lineRule="auto"/>
                    <w:ind w:left="88"/>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6"/>
                      <w:sz w:val="24"/>
                      <w:szCs w:val="24"/>
                    </w:rPr>
                    <w:t>建设的</w:t>
                  </w:r>
                  <w:r>
                    <w:rPr>
                      <w:rFonts w:hint="eastAsia" w:ascii="宋体" w:hAnsi="宋体" w:eastAsia="宋体" w:cs="宋体"/>
                      <w:color w:val="auto"/>
                      <w:spacing w:val="3"/>
                      <w:sz w:val="24"/>
                      <w:szCs w:val="24"/>
                    </w:rPr>
                    <w:t>活动</w:t>
                  </w:r>
                </w:p>
              </w:tc>
              <w:tc>
                <w:tcPr>
                  <w:tcW w:w="3499" w:type="dxa"/>
                  <w:tcBorders>
                    <w:tl2br w:val="nil"/>
                    <w:tr2bl w:val="nil"/>
                  </w:tcBorders>
                  <w:shd w:val="clear" w:color="auto" w:fill="auto"/>
                  <w:vAlign w:val="top"/>
                </w:tcPr>
                <w:p w14:paraId="1DB5E787">
                  <w:pPr>
                    <w:keepNext w:val="0"/>
                    <w:keepLines w:val="0"/>
                    <w:pageBreakBefore w:val="0"/>
                    <w:widowControl w:val="0"/>
                    <w:kinsoku/>
                    <w:wordWrap/>
                    <w:overflowPunct/>
                    <w:topLinePunct w:val="0"/>
                    <w:autoSpaceDE/>
                    <w:autoSpaceDN/>
                    <w:bidi w:val="0"/>
                    <w:adjustRightInd/>
                    <w:snapToGrid/>
                    <w:spacing w:before="34" w:line="360" w:lineRule="auto"/>
                    <w:ind w:left="28" w:leftChars="0" w:right="23" w:rightChars="0" w:hanging="3"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【A1.1-6】禁止在自治区行政区域内引</w:t>
                  </w:r>
                  <w:r>
                    <w:rPr>
                      <w:rFonts w:hint="eastAsia" w:ascii="宋体" w:hAnsi="宋体" w:eastAsia="宋体" w:cs="宋体"/>
                      <w:color w:val="auto"/>
                      <w:spacing w:val="10"/>
                      <w:sz w:val="24"/>
                      <w:szCs w:val="24"/>
                    </w:rPr>
                    <w:t>进能</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水</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耗不符合相关国家标准中准入</w:t>
                  </w:r>
                  <w:r>
                    <w:rPr>
                      <w:rFonts w:hint="eastAsia" w:ascii="宋体" w:hAnsi="宋体" w:eastAsia="宋体" w:cs="宋体"/>
                      <w:color w:val="auto"/>
                      <w:spacing w:val="20"/>
                      <w:sz w:val="24"/>
                      <w:szCs w:val="24"/>
                    </w:rPr>
                    <w:t>值要求且污染物排放和环境风险防控</w:t>
                  </w:r>
                  <w:r>
                    <w:rPr>
                      <w:rFonts w:hint="eastAsia" w:ascii="宋体" w:hAnsi="宋体" w:eastAsia="宋体" w:cs="宋体"/>
                      <w:color w:val="auto"/>
                      <w:spacing w:val="10"/>
                      <w:sz w:val="24"/>
                      <w:szCs w:val="24"/>
                    </w:rPr>
                    <w:t>不符合国家</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地方</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标准及有关产业准入</w:t>
                  </w:r>
                  <w:r>
                    <w:rPr>
                      <w:rFonts w:hint="eastAsia" w:ascii="宋体" w:hAnsi="宋体" w:eastAsia="宋体" w:cs="宋体"/>
                      <w:color w:val="auto"/>
                      <w:spacing w:val="12"/>
                      <w:sz w:val="24"/>
                      <w:szCs w:val="24"/>
                    </w:rPr>
                    <w:t>条件的高污染</w:t>
                  </w:r>
                  <w:r>
                    <w:rPr>
                      <w:rFonts w:hint="eastAsia" w:ascii="宋体" w:hAnsi="宋体" w:cs="宋体"/>
                      <w:color w:val="auto"/>
                      <w:spacing w:val="12"/>
                      <w:sz w:val="24"/>
                      <w:szCs w:val="24"/>
                      <w:lang w:eastAsia="zh-CN"/>
                    </w:rPr>
                    <w:t>（</w:t>
                  </w:r>
                  <w:r>
                    <w:rPr>
                      <w:rFonts w:hint="eastAsia" w:ascii="宋体" w:hAnsi="宋体" w:eastAsia="宋体" w:cs="宋体"/>
                      <w:color w:val="auto"/>
                      <w:spacing w:val="12"/>
                      <w:sz w:val="24"/>
                      <w:szCs w:val="24"/>
                    </w:rPr>
                    <w:t>排放</w:t>
                  </w:r>
                  <w:r>
                    <w:rPr>
                      <w:rFonts w:hint="eastAsia" w:ascii="宋体" w:hAnsi="宋体" w:cs="宋体"/>
                      <w:color w:val="auto"/>
                      <w:spacing w:val="12"/>
                      <w:sz w:val="24"/>
                      <w:szCs w:val="24"/>
                      <w:lang w:eastAsia="zh-CN"/>
                    </w:rPr>
                    <w:t>）</w:t>
                  </w:r>
                  <w:r>
                    <w:rPr>
                      <w:rFonts w:hint="eastAsia" w:ascii="宋体" w:hAnsi="宋体" w:eastAsia="宋体" w:cs="宋体"/>
                      <w:color w:val="auto"/>
                      <w:spacing w:val="12"/>
                      <w:sz w:val="24"/>
                      <w:szCs w:val="24"/>
                    </w:rPr>
                    <w:t>、高能</w:t>
                  </w:r>
                  <w:r>
                    <w:rPr>
                      <w:rFonts w:hint="eastAsia" w:ascii="宋体" w:hAnsi="宋体" w:cs="宋体"/>
                      <w:color w:val="auto"/>
                      <w:spacing w:val="12"/>
                      <w:sz w:val="24"/>
                      <w:szCs w:val="24"/>
                      <w:lang w:eastAsia="zh-CN"/>
                    </w:rPr>
                    <w:t>（</w:t>
                  </w:r>
                  <w:r>
                    <w:rPr>
                      <w:rFonts w:hint="eastAsia" w:ascii="宋体" w:hAnsi="宋体" w:eastAsia="宋体" w:cs="宋体"/>
                      <w:color w:val="auto"/>
                      <w:spacing w:val="12"/>
                      <w:sz w:val="24"/>
                      <w:szCs w:val="24"/>
                    </w:rPr>
                    <w:t>水</w:t>
                  </w:r>
                  <w:r>
                    <w:rPr>
                      <w:rFonts w:hint="eastAsia" w:ascii="宋体" w:hAnsi="宋体" w:cs="宋体"/>
                      <w:color w:val="auto"/>
                      <w:spacing w:val="12"/>
                      <w:sz w:val="24"/>
                      <w:szCs w:val="24"/>
                      <w:lang w:eastAsia="zh-CN"/>
                    </w:rPr>
                    <w:t>）</w:t>
                  </w:r>
                  <w:r>
                    <w:rPr>
                      <w:rFonts w:hint="eastAsia" w:ascii="宋体" w:hAnsi="宋体" w:eastAsia="宋体" w:cs="宋体"/>
                      <w:color w:val="auto"/>
                      <w:spacing w:val="12"/>
                      <w:sz w:val="24"/>
                      <w:szCs w:val="24"/>
                    </w:rPr>
                    <w:t>耗、高</w:t>
                  </w:r>
                  <w:r>
                    <w:rPr>
                      <w:rFonts w:hint="eastAsia" w:ascii="宋体" w:hAnsi="宋体" w:eastAsia="宋体" w:cs="宋体"/>
                      <w:color w:val="auto"/>
                      <w:spacing w:val="8"/>
                      <w:sz w:val="24"/>
                      <w:szCs w:val="24"/>
                    </w:rPr>
                    <w:t>环境风险的工业项目。</w:t>
                  </w:r>
                </w:p>
              </w:tc>
              <w:tc>
                <w:tcPr>
                  <w:tcW w:w="2061" w:type="dxa"/>
                  <w:tcBorders>
                    <w:tl2br w:val="nil"/>
                    <w:tr2bl w:val="nil"/>
                  </w:tcBorders>
                  <w:shd w:val="clear" w:color="auto" w:fill="auto"/>
                  <w:vAlign w:val="top"/>
                </w:tcPr>
                <w:p w14:paraId="4A44544E">
                  <w:pPr>
                    <w:keepNext w:val="0"/>
                    <w:keepLines w:val="0"/>
                    <w:pageBreakBefore w:val="0"/>
                    <w:widowControl w:val="0"/>
                    <w:kinsoku/>
                    <w:wordWrap/>
                    <w:overflowPunct/>
                    <w:topLinePunct w:val="0"/>
                    <w:autoSpaceDE/>
                    <w:autoSpaceDN/>
                    <w:bidi w:val="0"/>
                    <w:adjustRightInd/>
                    <w:snapToGrid/>
                    <w:spacing w:before="304" w:line="360" w:lineRule="auto"/>
                    <w:ind w:left="37" w:leftChars="0" w:right="20" w:righ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本项目不属于高污染</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排放</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、高能</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水</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耗、</w:t>
                  </w:r>
                  <w:r>
                    <w:rPr>
                      <w:rFonts w:hint="eastAsia" w:ascii="宋体" w:hAnsi="宋体" w:eastAsia="宋体" w:cs="宋体"/>
                      <w:color w:val="auto"/>
                      <w:spacing w:val="24"/>
                      <w:sz w:val="24"/>
                      <w:szCs w:val="24"/>
                    </w:rPr>
                    <w:t>高环境风险的工业项</w:t>
                  </w:r>
                  <w:r>
                    <w:rPr>
                      <w:rFonts w:hint="eastAsia" w:ascii="宋体" w:hAnsi="宋体" w:eastAsia="宋体" w:cs="宋体"/>
                      <w:color w:val="auto"/>
                      <w:sz w:val="24"/>
                      <w:szCs w:val="24"/>
                    </w:rPr>
                    <w:t>目</w:t>
                  </w:r>
                </w:p>
              </w:tc>
              <w:tc>
                <w:tcPr>
                  <w:tcW w:w="706" w:type="dxa"/>
                  <w:tcBorders>
                    <w:tl2br w:val="nil"/>
                    <w:tr2bl w:val="nil"/>
                  </w:tcBorders>
                  <w:shd w:val="clear" w:color="auto" w:fill="auto"/>
                  <w:vAlign w:val="top"/>
                </w:tcPr>
                <w:p w14:paraId="13A01146">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3309260A">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36A53F3E">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106ED29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95" w:type="dxa"/>
                  <w:vMerge w:val="continue"/>
                  <w:tcBorders>
                    <w:tl2br w:val="nil"/>
                    <w:tr2bl w:val="nil"/>
                  </w:tcBorders>
                </w:tcPr>
                <w:p w14:paraId="0D450F07">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6F7F29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restart"/>
                  <w:tcBorders>
                    <w:tl2br w:val="nil"/>
                    <w:tr2bl w:val="nil"/>
                  </w:tcBorders>
                </w:tcPr>
                <w:p w14:paraId="3FC2B27E">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59BBC587">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7D12CF7B">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64D9489A">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462BFFA3">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731E8BF0">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49C8EBC3">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61980F28">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5D66D136">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3E3CEAA1">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0C0E51DF">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0D650391">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3"/>
                      <w:sz w:val="24"/>
                      <w:szCs w:val="24"/>
                    </w:rPr>
                  </w:pPr>
                </w:p>
                <w:p w14:paraId="0936B7CB">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A1.2限</w:t>
                  </w:r>
                  <w:r>
                    <w:rPr>
                      <w:rFonts w:hint="eastAsia" w:ascii="宋体" w:hAnsi="宋体" w:eastAsia="宋体" w:cs="宋体"/>
                      <w:color w:val="auto"/>
                      <w:spacing w:val="6"/>
                      <w:sz w:val="24"/>
                      <w:szCs w:val="24"/>
                    </w:rPr>
                    <w:t>制开发建设的</w:t>
                  </w:r>
                  <w:r>
                    <w:rPr>
                      <w:rFonts w:hint="eastAsia" w:ascii="宋体" w:hAnsi="宋体" w:eastAsia="宋体" w:cs="宋体"/>
                      <w:color w:val="auto"/>
                      <w:spacing w:val="3"/>
                      <w:sz w:val="24"/>
                      <w:szCs w:val="24"/>
                    </w:rPr>
                    <w:t>活动</w:t>
                  </w:r>
                </w:p>
              </w:tc>
              <w:tc>
                <w:tcPr>
                  <w:tcW w:w="3499" w:type="dxa"/>
                  <w:tcBorders>
                    <w:tl2br w:val="nil"/>
                    <w:tr2bl w:val="nil"/>
                  </w:tcBorders>
                  <w:shd w:val="clear" w:color="auto" w:fill="auto"/>
                  <w:vAlign w:val="top"/>
                </w:tcPr>
                <w:p w14:paraId="2A68DCB0">
                  <w:pPr>
                    <w:keepNext w:val="0"/>
                    <w:keepLines w:val="0"/>
                    <w:pageBreakBefore w:val="0"/>
                    <w:widowControl w:val="0"/>
                    <w:kinsoku/>
                    <w:wordWrap/>
                    <w:overflowPunct/>
                    <w:topLinePunct w:val="0"/>
                    <w:autoSpaceDE/>
                    <w:autoSpaceDN/>
                    <w:bidi w:val="0"/>
                    <w:adjustRightInd/>
                    <w:snapToGrid/>
                    <w:spacing w:before="37" w:line="360" w:lineRule="auto"/>
                    <w:ind w:left="29" w:right="23" w:hanging="4"/>
                    <w:jc w:val="both"/>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【A1.1-7】①坚决遏制高耗能高排放低水平项目盲目发展。严把高耗能高排放低水平项目准入关口，严格落实污染物排放区域削减要求，对不符合规定的项目坚决停批停建。依法依规淘汰落后产能和化解过剩产能。</w:t>
                  </w:r>
                </w:p>
                <w:p w14:paraId="1C49991C">
                  <w:pPr>
                    <w:keepNext w:val="0"/>
                    <w:keepLines w:val="0"/>
                    <w:pageBreakBefore w:val="0"/>
                    <w:widowControl w:val="0"/>
                    <w:kinsoku/>
                    <w:wordWrap/>
                    <w:overflowPunct/>
                    <w:topLinePunct w:val="0"/>
                    <w:autoSpaceDE/>
                    <w:autoSpaceDN/>
                    <w:bidi w:val="0"/>
                    <w:adjustRightInd/>
                    <w:snapToGrid/>
                    <w:spacing w:before="29" w:line="360" w:lineRule="auto"/>
                    <w:ind w:left="29" w:leftChars="0" w:hanging="1"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7"/>
                      <w:sz w:val="24"/>
                      <w:szCs w:val="24"/>
                    </w:rPr>
                    <w:t>②重点行业企业纳入重污染天气绩效</w:t>
                  </w:r>
                  <w:r>
                    <w:rPr>
                      <w:rFonts w:hint="eastAsia" w:ascii="宋体" w:hAnsi="宋体" w:eastAsia="宋体" w:cs="宋体"/>
                      <w:color w:val="auto"/>
                      <w:spacing w:val="-5"/>
                      <w:sz w:val="24"/>
                      <w:szCs w:val="24"/>
                    </w:rPr>
                    <w:t>分级，制定“一厂一策”应急减排清单，</w:t>
                  </w:r>
                  <w:r>
                    <w:rPr>
                      <w:rFonts w:hint="eastAsia" w:ascii="宋体" w:hAnsi="宋体" w:eastAsia="宋体" w:cs="宋体"/>
                      <w:color w:val="auto"/>
                      <w:spacing w:val="4"/>
                      <w:sz w:val="24"/>
                      <w:szCs w:val="24"/>
                    </w:rPr>
                    <w:t>实现应纳尽纳；引导重点企业在秋冬季安排停产检修计划，减少冬季和采暖期排放。推进重点行业深度治理实施全工况脱硫脱硝提标改造，加大无组织排放</w:t>
                  </w:r>
                  <w:r>
                    <w:rPr>
                      <w:rFonts w:hint="eastAsia" w:ascii="宋体" w:hAnsi="宋体" w:eastAsia="宋体" w:cs="宋体"/>
                      <w:color w:val="auto"/>
                      <w:spacing w:val="17"/>
                      <w:sz w:val="24"/>
                      <w:szCs w:val="24"/>
                    </w:rPr>
                    <w:t>治理力度，深度开展工业炉窑综合整</w:t>
                  </w:r>
                  <w:r>
                    <w:rPr>
                      <w:rFonts w:hint="eastAsia" w:ascii="宋体" w:hAnsi="宋体" w:eastAsia="宋体" w:cs="宋体"/>
                      <w:color w:val="auto"/>
                      <w:spacing w:val="-3"/>
                      <w:sz w:val="24"/>
                      <w:szCs w:val="24"/>
                    </w:rPr>
                    <w:t>治，全面提升电解铝、活性炭、硅冶炼、</w:t>
                  </w:r>
                  <w:r>
                    <w:rPr>
                      <w:rFonts w:hint="eastAsia" w:ascii="宋体" w:hAnsi="宋体" w:eastAsia="宋体" w:cs="宋体"/>
                      <w:color w:val="auto"/>
                      <w:spacing w:val="4"/>
                      <w:sz w:val="24"/>
                      <w:szCs w:val="24"/>
                    </w:rPr>
                    <w:t>纯碱、电石、聚氯乙烯、石化等行业污染治理水平。</w:t>
                  </w:r>
                </w:p>
              </w:tc>
              <w:tc>
                <w:tcPr>
                  <w:tcW w:w="2061" w:type="dxa"/>
                  <w:tcBorders>
                    <w:tl2br w:val="nil"/>
                    <w:tr2bl w:val="nil"/>
                  </w:tcBorders>
                  <w:shd w:val="clear" w:color="auto" w:fill="auto"/>
                  <w:vAlign w:val="top"/>
                </w:tcPr>
                <w:p w14:paraId="1A3CB9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F3499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60A65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0E349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38636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C5D8F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5E5C4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F579CD5">
                  <w:pPr>
                    <w:keepNext w:val="0"/>
                    <w:keepLines w:val="0"/>
                    <w:pageBreakBefore w:val="0"/>
                    <w:widowControl w:val="0"/>
                    <w:kinsoku/>
                    <w:wordWrap/>
                    <w:overflowPunct/>
                    <w:topLinePunct w:val="0"/>
                    <w:autoSpaceDE/>
                    <w:autoSpaceDN/>
                    <w:bidi w:val="0"/>
                    <w:adjustRightInd/>
                    <w:snapToGrid/>
                    <w:spacing w:before="65" w:line="360" w:lineRule="auto"/>
                    <w:ind w:left="37" w:leftChars="0" w:right="20" w:righ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本项目不属于高耗能</w:t>
                  </w:r>
                  <w:r>
                    <w:rPr>
                      <w:rFonts w:hint="eastAsia" w:ascii="宋体" w:hAnsi="宋体" w:eastAsia="宋体" w:cs="宋体"/>
                      <w:color w:val="auto"/>
                      <w:spacing w:val="1"/>
                      <w:sz w:val="24"/>
                      <w:szCs w:val="24"/>
                    </w:rPr>
                    <w:t>高排放低水平项目；不</w:t>
                  </w:r>
                  <w:r>
                    <w:rPr>
                      <w:rFonts w:hint="eastAsia" w:ascii="宋体" w:hAnsi="宋体" w:eastAsia="宋体" w:cs="宋体"/>
                      <w:color w:val="auto"/>
                      <w:spacing w:val="8"/>
                      <w:sz w:val="24"/>
                      <w:szCs w:val="24"/>
                    </w:rPr>
                    <w:t>属于重点行业企业</w:t>
                  </w:r>
                </w:p>
              </w:tc>
              <w:tc>
                <w:tcPr>
                  <w:tcW w:w="706" w:type="dxa"/>
                  <w:tcBorders>
                    <w:tl2br w:val="nil"/>
                    <w:tr2bl w:val="nil"/>
                  </w:tcBorders>
                  <w:shd w:val="clear" w:color="auto" w:fill="auto"/>
                  <w:vAlign w:val="top"/>
                </w:tcPr>
                <w:p w14:paraId="1F5D2D71">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75EA4234">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5E78B397">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6378FAAC">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1E069F4A">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23EEE2D3">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6A270DDF">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3E96612B">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7FA2E73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5FB1C9A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495" w:type="dxa"/>
                  <w:vMerge w:val="continue"/>
                  <w:tcBorders>
                    <w:tl2br w:val="nil"/>
                    <w:tr2bl w:val="nil"/>
                  </w:tcBorders>
                </w:tcPr>
                <w:p w14:paraId="429C686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11B94C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shd w:val="clear" w:color="auto" w:fill="auto"/>
                  <w:vAlign w:val="top"/>
                </w:tcPr>
                <w:p w14:paraId="665D1AD3">
                  <w:pPr>
                    <w:keepNext w:val="0"/>
                    <w:keepLines w:val="0"/>
                    <w:pageBreakBefore w:val="0"/>
                    <w:widowControl w:val="0"/>
                    <w:kinsoku/>
                    <w:wordWrap/>
                    <w:overflowPunct/>
                    <w:topLinePunct w:val="0"/>
                    <w:autoSpaceDE/>
                    <w:autoSpaceDN/>
                    <w:bidi w:val="0"/>
                    <w:adjustRightInd/>
                    <w:snapToGrid/>
                    <w:spacing w:before="25" w:line="360" w:lineRule="auto"/>
                    <w:ind w:left="194" w:leftChars="0"/>
                    <w:textAlignment w:val="auto"/>
                    <w:rPr>
                      <w:rFonts w:hint="eastAsia" w:ascii="宋体" w:hAnsi="宋体" w:eastAsia="宋体" w:cs="宋体"/>
                      <w:color w:val="auto"/>
                      <w:kern w:val="2"/>
                      <w:sz w:val="24"/>
                      <w:szCs w:val="24"/>
                      <w:lang w:val="en-US" w:eastAsia="zh-CN" w:bidi="ar-SA"/>
                    </w:rPr>
                  </w:pPr>
                </w:p>
              </w:tc>
              <w:tc>
                <w:tcPr>
                  <w:tcW w:w="3499" w:type="dxa"/>
                  <w:tcBorders>
                    <w:tl2br w:val="nil"/>
                    <w:tr2bl w:val="nil"/>
                  </w:tcBorders>
                  <w:shd w:val="clear" w:color="auto" w:fill="auto"/>
                  <w:vAlign w:val="top"/>
                </w:tcPr>
                <w:p w14:paraId="6342FFDB">
                  <w:pPr>
                    <w:keepNext w:val="0"/>
                    <w:keepLines w:val="0"/>
                    <w:pageBreakBefore w:val="0"/>
                    <w:widowControl w:val="0"/>
                    <w:kinsoku/>
                    <w:wordWrap/>
                    <w:overflowPunct/>
                    <w:topLinePunct w:val="0"/>
                    <w:autoSpaceDE/>
                    <w:autoSpaceDN/>
                    <w:bidi w:val="0"/>
                    <w:adjustRightInd/>
                    <w:snapToGrid/>
                    <w:spacing w:before="37" w:line="360" w:lineRule="auto"/>
                    <w:ind w:left="29" w:leftChars="0" w:right="23"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【A1.2-1】严格控制缺水地区、水污染</w:t>
                  </w:r>
                  <w:r>
                    <w:rPr>
                      <w:rFonts w:hint="eastAsia" w:ascii="宋体" w:hAnsi="宋体" w:eastAsia="宋体" w:cs="宋体"/>
                      <w:color w:val="auto"/>
                      <w:spacing w:val="20"/>
                      <w:sz w:val="24"/>
                      <w:szCs w:val="24"/>
                    </w:rPr>
                    <w:t>严重区域和敏感区域高耗水高污染行</w:t>
                  </w:r>
                  <w:r>
                    <w:rPr>
                      <w:rFonts w:hint="eastAsia" w:ascii="宋体" w:hAnsi="宋体" w:eastAsia="宋体" w:cs="宋体"/>
                      <w:color w:val="auto"/>
                      <w:spacing w:val="5"/>
                      <w:sz w:val="24"/>
                      <w:szCs w:val="24"/>
                    </w:rPr>
                    <w:t>业发展。</w:t>
                  </w:r>
                </w:p>
              </w:tc>
              <w:tc>
                <w:tcPr>
                  <w:tcW w:w="2061" w:type="dxa"/>
                  <w:tcBorders>
                    <w:tl2br w:val="nil"/>
                    <w:tr2bl w:val="nil"/>
                  </w:tcBorders>
                  <w:shd w:val="clear" w:color="auto" w:fill="auto"/>
                  <w:vAlign w:val="top"/>
                </w:tcPr>
                <w:p w14:paraId="0B7BCC02">
                  <w:pPr>
                    <w:keepNext w:val="0"/>
                    <w:keepLines w:val="0"/>
                    <w:pageBreakBefore w:val="0"/>
                    <w:widowControl w:val="0"/>
                    <w:kinsoku/>
                    <w:wordWrap/>
                    <w:overflowPunct/>
                    <w:topLinePunct w:val="0"/>
                    <w:autoSpaceDE/>
                    <w:autoSpaceDN/>
                    <w:bidi w:val="0"/>
                    <w:adjustRightInd/>
                    <w:snapToGrid/>
                    <w:spacing w:before="174" w:line="360" w:lineRule="auto"/>
                    <w:ind w:left="41" w:leftChars="0" w:right="20" w:rightChars="0" w:hanging="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本项目不属于高耗水</w:t>
                  </w:r>
                  <w:r>
                    <w:rPr>
                      <w:rFonts w:hint="eastAsia" w:ascii="宋体" w:hAnsi="宋体" w:eastAsia="宋体" w:cs="宋体"/>
                      <w:color w:val="auto"/>
                      <w:spacing w:val="7"/>
                      <w:sz w:val="24"/>
                      <w:szCs w:val="24"/>
                    </w:rPr>
                    <w:t>高污染行业</w:t>
                  </w:r>
                </w:p>
              </w:tc>
              <w:tc>
                <w:tcPr>
                  <w:tcW w:w="706" w:type="dxa"/>
                  <w:tcBorders>
                    <w:tl2br w:val="nil"/>
                    <w:tr2bl w:val="nil"/>
                  </w:tcBorders>
                  <w:shd w:val="clear" w:color="auto" w:fill="auto"/>
                  <w:vAlign w:val="top"/>
                </w:tcPr>
                <w:p w14:paraId="660749F8">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197BC562">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2BE2110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588A8E8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1CC5C1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7D598A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54B2FB5E">
                  <w:pPr>
                    <w:keepNext w:val="0"/>
                    <w:keepLines w:val="0"/>
                    <w:pageBreakBefore w:val="0"/>
                    <w:widowControl w:val="0"/>
                    <w:kinsoku/>
                    <w:wordWrap/>
                    <w:overflowPunct/>
                    <w:topLinePunct w:val="0"/>
                    <w:autoSpaceDE/>
                    <w:autoSpaceDN/>
                    <w:bidi w:val="0"/>
                    <w:adjustRightInd/>
                    <w:snapToGrid/>
                    <w:spacing w:before="41"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【A1.2-2】建设项目用地原则上不得占</w:t>
                  </w:r>
                  <w:r>
                    <w:rPr>
                      <w:rFonts w:hint="eastAsia" w:ascii="宋体" w:hAnsi="宋体" w:eastAsia="宋体" w:cs="宋体"/>
                      <w:color w:val="auto"/>
                      <w:spacing w:val="7"/>
                      <w:sz w:val="24"/>
                      <w:szCs w:val="24"/>
                    </w:rPr>
                    <w:t>用永久基本农田，确需占用永久基本农田的建设项目须符合《中华人民共和国基本农田保护条例》中相关要求，占用耕地、林地或草地的建设项目须按照国</w:t>
                  </w:r>
                  <w:r>
                    <w:rPr>
                      <w:rFonts w:hint="eastAsia" w:ascii="宋体" w:hAnsi="宋体" w:eastAsia="宋体" w:cs="宋体"/>
                      <w:color w:val="auto"/>
                      <w:spacing w:val="5"/>
                      <w:sz w:val="24"/>
                      <w:szCs w:val="24"/>
                    </w:rPr>
                    <w:t>家、自治区相关补偿要求进行补偿。</w:t>
                  </w:r>
                </w:p>
              </w:tc>
              <w:tc>
                <w:tcPr>
                  <w:tcW w:w="2061" w:type="dxa"/>
                  <w:tcBorders>
                    <w:tl2br w:val="nil"/>
                    <w:tr2bl w:val="nil"/>
                  </w:tcBorders>
                  <w:shd w:val="clear" w:color="auto" w:fill="auto"/>
                  <w:vAlign w:val="top"/>
                </w:tcPr>
                <w:p w14:paraId="3EBE5C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D34ED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4014686">
                  <w:pPr>
                    <w:keepNext w:val="0"/>
                    <w:keepLines w:val="0"/>
                    <w:pageBreakBefore w:val="0"/>
                    <w:widowControl w:val="0"/>
                    <w:kinsoku/>
                    <w:wordWrap/>
                    <w:overflowPunct/>
                    <w:topLinePunct w:val="0"/>
                    <w:autoSpaceDE/>
                    <w:autoSpaceDN/>
                    <w:bidi w:val="0"/>
                    <w:adjustRightInd/>
                    <w:snapToGrid/>
                    <w:spacing w:before="65" w:line="360" w:lineRule="auto"/>
                    <w:ind w:left="61" w:leftChars="0" w:right="20" w:rightChars="0" w:hanging="2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本项目不占用基本农</w:t>
                  </w:r>
                  <w:r>
                    <w:rPr>
                      <w:rFonts w:hint="eastAsia" w:ascii="宋体" w:hAnsi="宋体" w:eastAsia="宋体" w:cs="宋体"/>
                      <w:color w:val="auto"/>
                      <w:sz w:val="24"/>
                      <w:szCs w:val="24"/>
                    </w:rPr>
                    <w:t>田</w:t>
                  </w:r>
                </w:p>
              </w:tc>
              <w:tc>
                <w:tcPr>
                  <w:tcW w:w="706" w:type="dxa"/>
                  <w:tcBorders>
                    <w:tl2br w:val="nil"/>
                    <w:tr2bl w:val="nil"/>
                  </w:tcBorders>
                  <w:shd w:val="clear" w:color="auto" w:fill="auto"/>
                  <w:vAlign w:val="top"/>
                </w:tcPr>
                <w:p w14:paraId="46834759">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72F5E4DE">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760BC96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389C9FA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495" w:type="dxa"/>
                  <w:vMerge w:val="restart"/>
                  <w:tcBorders>
                    <w:tl2br w:val="nil"/>
                    <w:tr2bl w:val="nil"/>
                  </w:tcBorders>
                </w:tcPr>
                <w:p w14:paraId="4ECF0B5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02A5C7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1890A8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4A558515">
                  <w:pPr>
                    <w:keepNext w:val="0"/>
                    <w:keepLines w:val="0"/>
                    <w:pageBreakBefore w:val="0"/>
                    <w:widowControl w:val="0"/>
                    <w:kinsoku/>
                    <w:wordWrap/>
                    <w:overflowPunct/>
                    <w:topLinePunct w:val="0"/>
                    <w:autoSpaceDE/>
                    <w:autoSpaceDN/>
                    <w:bidi w:val="0"/>
                    <w:adjustRightInd/>
                    <w:snapToGrid/>
                    <w:spacing w:before="41"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6"/>
                      <w:sz w:val="24"/>
                      <w:szCs w:val="24"/>
                    </w:rPr>
                    <w:t>【A1.2-3】以用途变更为住宅、公共管</w:t>
                  </w:r>
                  <w:r>
                    <w:rPr>
                      <w:rFonts w:hint="eastAsia" w:ascii="宋体" w:hAnsi="宋体" w:eastAsia="宋体" w:cs="宋体"/>
                      <w:color w:val="auto"/>
                      <w:spacing w:val="7"/>
                      <w:sz w:val="24"/>
                      <w:szCs w:val="24"/>
                    </w:rPr>
                    <w:t>理与公共服务用地的地块为重点，严格建设用地准入管理和风险管控，未依法</w:t>
                  </w:r>
                  <w:r>
                    <w:rPr>
                      <w:rFonts w:hint="eastAsia" w:ascii="宋体" w:hAnsi="宋体" w:eastAsia="宋体" w:cs="宋体"/>
                      <w:color w:val="auto"/>
                      <w:spacing w:val="20"/>
                      <w:sz w:val="24"/>
                      <w:szCs w:val="24"/>
                    </w:rPr>
                    <w:t>完成土壤污染状况调查或风险评估的</w:t>
                  </w:r>
                  <w:r>
                    <w:rPr>
                      <w:rFonts w:hint="eastAsia" w:ascii="宋体" w:hAnsi="宋体" w:eastAsia="宋体" w:cs="宋体"/>
                      <w:color w:val="auto"/>
                      <w:spacing w:val="7"/>
                      <w:sz w:val="24"/>
                      <w:szCs w:val="24"/>
                    </w:rPr>
                    <w:t>地块，不得开工建设与风险管控和修复</w:t>
                  </w:r>
                  <w:r>
                    <w:rPr>
                      <w:rFonts w:hint="eastAsia" w:ascii="宋体" w:hAnsi="宋体" w:eastAsia="宋体" w:cs="宋体"/>
                      <w:color w:val="auto"/>
                      <w:spacing w:val="6"/>
                      <w:sz w:val="24"/>
                      <w:szCs w:val="24"/>
                    </w:rPr>
                    <w:t>无关的项目。</w:t>
                  </w:r>
                </w:p>
              </w:tc>
              <w:tc>
                <w:tcPr>
                  <w:tcW w:w="2061" w:type="dxa"/>
                  <w:tcBorders>
                    <w:tl2br w:val="nil"/>
                    <w:tr2bl w:val="nil"/>
                  </w:tcBorders>
                  <w:shd w:val="clear" w:color="auto" w:fill="auto"/>
                  <w:vAlign w:val="top"/>
                </w:tcPr>
                <w:p w14:paraId="541E93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38814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A6974E8">
                  <w:pPr>
                    <w:keepNext w:val="0"/>
                    <w:keepLines w:val="0"/>
                    <w:pageBreakBefore w:val="0"/>
                    <w:widowControl w:val="0"/>
                    <w:kinsoku/>
                    <w:wordWrap/>
                    <w:overflowPunct/>
                    <w:topLinePunct w:val="0"/>
                    <w:autoSpaceDE/>
                    <w:autoSpaceDN/>
                    <w:bidi w:val="0"/>
                    <w:adjustRightInd/>
                    <w:snapToGrid/>
                    <w:spacing w:before="65" w:line="360" w:lineRule="auto"/>
                    <w:ind w:left="38" w:leftChars="0" w:right="20" w:rightChars="0" w:hanging="1"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本项目不涉及相关内</w:t>
                  </w:r>
                  <w:r>
                    <w:rPr>
                      <w:rFonts w:hint="eastAsia" w:ascii="宋体" w:hAnsi="宋体" w:eastAsia="宋体" w:cs="宋体"/>
                      <w:color w:val="auto"/>
                      <w:sz w:val="24"/>
                      <w:szCs w:val="24"/>
                    </w:rPr>
                    <w:t>容</w:t>
                  </w:r>
                </w:p>
              </w:tc>
              <w:tc>
                <w:tcPr>
                  <w:tcW w:w="706" w:type="dxa"/>
                  <w:tcBorders>
                    <w:tl2br w:val="nil"/>
                    <w:tr2bl w:val="nil"/>
                  </w:tcBorders>
                  <w:shd w:val="clear" w:color="auto" w:fill="auto"/>
                  <w:vAlign w:val="top"/>
                </w:tcPr>
                <w:p w14:paraId="421935F6">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76C63303">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3581D001">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53CEAF99">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591FB49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495" w:type="dxa"/>
                  <w:vMerge w:val="continue"/>
                  <w:tcBorders>
                    <w:tl2br w:val="nil"/>
                    <w:tr2bl w:val="nil"/>
                  </w:tcBorders>
                </w:tcPr>
                <w:p w14:paraId="364F2DD7">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1E8BFE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2BE84B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4DCB447F">
                  <w:pPr>
                    <w:keepNext w:val="0"/>
                    <w:keepLines w:val="0"/>
                    <w:pageBreakBefore w:val="0"/>
                    <w:widowControl w:val="0"/>
                    <w:kinsoku/>
                    <w:wordWrap/>
                    <w:overflowPunct/>
                    <w:topLinePunct w:val="0"/>
                    <w:autoSpaceDE/>
                    <w:autoSpaceDN/>
                    <w:bidi w:val="0"/>
                    <w:adjustRightInd/>
                    <w:snapToGrid/>
                    <w:spacing w:before="44" w:line="360" w:lineRule="auto"/>
                    <w:ind w:left="31" w:leftChars="0" w:right="23" w:rightChars="0" w:hanging="6"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【A1.3-2】对不符合国家产业政策、严</w:t>
                  </w:r>
                  <w:r>
                    <w:rPr>
                      <w:rFonts w:hint="eastAsia" w:ascii="宋体" w:hAnsi="宋体" w:eastAsia="宋体" w:cs="宋体"/>
                      <w:color w:val="auto"/>
                      <w:spacing w:val="20"/>
                      <w:sz w:val="24"/>
                      <w:szCs w:val="24"/>
                    </w:rPr>
                    <w:t>重污染水环境的生产项目全部予以取</w:t>
                  </w:r>
                  <w:r>
                    <w:rPr>
                      <w:rFonts w:hint="eastAsia" w:ascii="宋体" w:hAnsi="宋体" w:eastAsia="宋体" w:cs="宋体"/>
                      <w:color w:val="auto"/>
                      <w:sz w:val="24"/>
                      <w:szCs w:val="24"/>
                    </w:rPr>
                    <w:t>缔。</w:t>
                  </w:r>
                </w:p>
              </w:tc>
              <w:tc>
                <w:tcPr>
                  <w:tcW w:w="2061" w:type="dxa"/>
                  <w:tcBorders>
                    <w:tl2br w:val="nil"/>
                    <w:tr2bl w:val="nil"/>
                  </w:tcBorders>
                  <w:shd w:val="clear" w:color="auto" w:fill="auto"/>
                  <w:vAlign w:val="top"/>
                </w:tcPr>
                <w:p w14:paraId="3EAB9FDD">
                  <w:pPr>
                    <w:keepNext w:val="0"/>
                    <w:keepLines w:val="0"/>
                    <w:pageBreakBefore w:val="0"/>
                    <w:widowControl w:val="0"/>
                    <w:kinsoku/>
                    <w:wordWrap/>
                    <w:overflowPunct/>
                    <w:topLinePunct w:val="0"/>
                    <w:autoSpaceDE/>
                    <w:autoSpaceDN/>
                    <w:bidi w:val="0"/>
                    <w:adjustRightInd/>
                    <w:snapToGrid/>
                    <w:spacing w:before="180" w:line="360" w:lineRule="auto"/>
                    <w:ind w:left="39" w:leftChars="0" w:right="20" w:rightChars="0" w:hanging="2"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本项目不属于严重污</w:t>
                  </w:r>
                  <w:r>
                    <w:rPr>
                      <w:rFonts w:hint="eastAsia" w:ascii="宋体" w:hAnsi="宋体" w:eastAsia="宋体" w:cs="宋体"/>
                      <w:color w:val="auto"/>
                      <w:spacing w:val="8"/>
                      <w:sz w:val="24"/>
                      <w:szCs w:val="24"/>
                    </w:rPr>
                    <w:t>染水环境的生产项目</w:t>
                  </w:r>
                </w:p>
              </w:tc>
              <w:tc>
                <w:tcPr>
                  <w:tcW w:w="706" w:type="dxa"/>
                  <w:tcBorders>
                    <w:tl2br w:val="nil"/>
                    <w:tr2bl w:val="nil"/>
                  </w:tcBorders>
                  <w:shd w:val="clear" w:color="auto" w:fill="auto"/>
                  <w:vAlign w:val="top"/>
                </w:tcPr>
                <w:p w14:paraId="6F278C5E">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5EF0DD2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6DF8AAF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90" w:hRule="atLeast"/>
              </w:trPr>
              <w:tc>
                <w:tcPr>
                  <w:tcW w:w="495" w:type="dxa"/>
                  <w:vMerge w:val="continue"/>
                  <w:tcBorders>
                    <w:tl2br w:val="nil"/>
                    <w:tr2bl w:val="nil"/>
                  </w:tcBorders>
                </w:tcPr>
                <w:p w14:paraId="403C081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3A115D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tcBorders>
                    <w:tl2br w:val="nil"/>
                    <w:tr2bl w:val="nil"/>
                  </w:tcBorders>
                  <w:shd w:val="clear" w:color="auto" w:fill="auto"/>
                  <w:vAlign w:val="top"/>
                </w:tcPr>
                <w:p w14:paraId="0B83CDCC">
                  <w:pPr>
                    <w:keepNext w:val="0"/>
                    <w:keepLines w:val="0"/>
                    <w:pageBreakBefore w:val="0"/>
                    <w:widowControl w:val="0"/>
                    <w:kinsoku/>
                    <w:wordWrap/>
                    <w:overflowPunct/>
                    <w:topLinePunct w:val="0"/>
                    <w:autoSpaceDE/>
                    <w:autoSpaceDN/>
                    <w:bidi w:val="0"/>
                    <w:adjustRightInd/>
                    <w:snapToGrid/>
                    <w:spacing w:before="180" w:line="360" w:lineRule="auto"/>
                    <w:ind w:left="5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A1.4其</w:t>
                  </w:r>
                  <w:r>
                    <w:rPr>
                      <w:rFonts w:hint="eastAsia" w:ascii="宋体" w:hAnsi="宋体" w:eastAsia="宋体" w:cs="宋体"/>
                      <w:color w:val="auto"/>
                      <w:spacing w:val="5"/>
                      <w:sz w:val="24"/>
                      <w:szCs w:val="24"/>
                    </w:rPr>
                    <w:t>它布局</w:t>
                  </w:r>
                </w:p>
                <w:p w14:paraId="15949C41">
                  <w:pPr>
                    <w:keepNext w:val="0"/>
                    <w:keepLines w:val="0"/>
                    <w:pageBreakBefore w:val="0"/>
                    <w:widowControl w:val="0"/>
                    <w:kinsoku/>
                    <w:wordWrap/>
                    <w:overflowPunct/>
                    <w:topLinePunct w:val="0"/>
                    <w:autoSpaceDE/>
                    <w:autoSpaceDN/>
                    <w:bidi w:val="0"/>
                    <w:adjustRightInd/>
                    <w:snapToGrid/>
                    <w:spacing w:before="27" w:line="360" w:lineRule="auto"/>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要</w:t>
                  </w:r>
                  <w:r>
                    <w:rPr>
                      <w:rFonts w:hint="eastAsia" w:ascii="宋体" w:hAnsi="宋体" w:cs="宋体"/>
                      <w:color w:val="auto"/>
                      <w:spacing w:val="4"/>
                      <w:sz w:val="24"/>
                      <w:szCs w:val="24"/>
                      <w:lang w:val="en-US" w:eastAsia="zh-CN"/>
                    </w:rPr>
                    <w:t>求</w:t>
                  </w:r>
                </w:p>
              </w:tc>
              <w:tc>
                <w:tcPr>
                  <w:tcW w:w="3499" w:type="dxa"/>
                  <w:tcBorders>
                    <w:tl2br w:val="nil"/>
                    <w:tr2bl w:val="nil"/>
                  </w:tcBorders>
                  <w:shd w:val="clear" w:color="auto" w:fill="auto"/>
                  <w:vAlign w:val="top"/>
                </w:tcPr>
                <w:p w14:paraId="2326ACC9">
                  <w:pPr>
                    <w:keepNext w:val="0"/>
                    <w:keepLines w:val="0"/>
                    <w:pageBreakBefore w:val="0"/>
                    <w:widowControl w:val="0"/>
                    <w:kinsoku/>
                    <w:wordWrap/>
                    <w:overflowPunct/>
                    <w:topLinePunct w:val="0"/>
                    <w:autoSpaceDE/>
                    <w:autoSpaceDN/>
                    <w:bidi w:val="0"/>
                    <w:adjustRightInd/>
                    <w:snapToGrid/>
                    <w:spacing w:before="46"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【A1.4-1】一切开发建设活动应符合国</w:t>
                  </w:r>
                  <w:r>
                    <w:rPr>
                      <w:rFonts w:hint="eastAsia" w:ascii="宋体" w:hAnsi="宋体" w:eastAsia="宋体" w:cs="宋体"/>
                      <w:color w:val="auto"/>
                      <w:spacing w:val="7"/>
                      <w:sz w:val="24"/>
                      <w:szCs w:val="24"/>
                    </w:rPr>
                    <w:t>家、自治区主体功能区规划自治区和各地颁布实施的生态环境功能区划、国民经济发展规划、产业发展规划、国土空</w:t>
                  </w:r>
                </w:p>
              </w:tc>
              <w:tc>
                <w:tcPr>
                  <w:tcW w:w="2061" w:type="dxa"/>
                  <w:tcBorders>
                    <w:tl2br w:val="nil"/>
                    <w:tr2bl w:val="nil"/>
                  </w:tcBorders>
                  <w:shd w:val="clear" w:color="auto" w:fill="auto"/>
                  <w:vAlign w:val="top"/>
                </w:tcPr>
                <w:p w14:paraId="4869AE7C">
                  <w:pPr>
                    <w:keepNext w:val="0"/>
                    <w:keepLines w:val="0"/>
                    <w:pageBreakBefore w:val="0"/>
                    <w:widowControl w:val="0"/>
                    <w:kinsoku/>
                    <w:wordWrap/>
                    <w:overflowPunct/>
                    <w:topLinePunct w:val="0"/>
                    <w:autoSpaceDE/>
                    <w:autoSpaceDN/>
                    <w:bidi w:val="0"/>
                    <w:adjustRightInd/>
                    <w:snapToGrid/>
                    <w:spacing w:before="44" w:line="360" w:lineRule="auto"/>
                    <w:ind w:left="37" w:leftChars="0" w:right="20" w:righ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本项目与区域主体功</w:t>
                  </w:r>
                  <w:r>
                    <w:rPr>
                      <w:rFonts w:hint="eastAsia" w:ascii="宋体" w:hAnsi="宋体" w:eastAsia="宋体" w:cs="宋体"/>
                      <w:color w:val="auto"/>
                      <w:spacing w:val="1"/>
                      <w:sz w:val="24"/>
                      <w:szCs w:val="24"/>
                    </w:rPr>
                    <w:t>能区划目标相协调，符</w:t>
                  </w:r>
                  <w:r>
                    <w:rPr>
                      <w:rFonts w:hint="eastAsia" w:ascii="宋体" w:hAnsi="宋体" w:eastAsia="宋体" w:cs="宋体"/>
                      <w:color w:val="auto"/>
                      <w:spacing w:val="24"/>
                      <w:sz w:val="24"/>
                      <w:szCs w:val="24"/>
                    </w:rPr>
                    <w:t>合规划及规划环评要</w:t>
                  </w:r>
                  <w:r>
                    <w:rPr>
                      <w:rFonts w:hint="eastAsia" w:ascii="宋体" w:hAnsi="宋体" w:eastAsia="宋体" w:cs="宋体"/>
                      <w:color w:val="auto"/>
                      <w:sz w:val="24"/>
                      <w:szCs w:val="24"/>
                    </w:rPr>
                    <w:t>求</w:t>
                  </w:r>
                </w:p>
              </w:tc>
              <w:tc>
                <w:tcPr>
                  <w:tcW w:w="706" w:type="dxa"/>
                  <w:tcBorders>
                    <w:tl2br w:val="nil"/>
                    <w:tr2bl w:val="nil"/>
                  </w:tcBorders>
                  <w:shd w:val="clear" w:color="auto" w:fill="auto"/>
                  <w:vAlign w:val="top"/>
                </w:tcPr>
                <w:p w14:paraId="26EF19F6">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eastAsia" w:ascii="宋体" w:hAnsi="宋体" w:eastAsia="宋体" w:cs="宋体"/>
                      <w:color w:val="auto"/>
                      <w:sz w:val="24"/>
                      <w:szCs w:val="24"/>
                    </w:rPr>
                  </w:pPr>
                </w:p>
                <w:p w14:paraId="5C5EAACB">
                  <w:pPr>
                    <w:keepNext w:val="0"/>
                    <w:keepLines w:val="0"/>
                    <w:pageBreakBefore w:val="0"/>
                    <w:widowControl w:val="0"/>
                    <w:kinsoku/>
                    <w:wordWrap/>
                    <w:overflowPunct/>
                    <w:topLinePunct w:val="0"/>
                    <w:autoSpaceDE/>
                    <w:autoSpaceDN/>
                    <w:bidi w:val="0"/>
                    <w:adjustRightInd/>
                    <w:snapToGrid/>
                    <w:spacing w:line="360" w:lineRule="auto"/>
                    <w:ind w:left="0" w:leftChars="0" w:right="0" w:firstLine="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0AAA5E2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29C989A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restart"/>
                  <w:tcBorders>
                    <w:tl2br w:val="nil"/>
                    <w:tr2bl w:val="nil"/>
                  </w:tcBorders>
                </w:tcPr>
                <w:p w14:paraId="7DC06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0945F37">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A2</w:t>
                  </w:r>
                  <w:r>
                    <w:rPr>
                      <w:rFonts w:hint="eastAsia" w:ascii="宋体" w:hAnsi="宋体" w:eastAsia="宋体" w:cs="宋体"/>
                      <w:color w:val="auto"/>
                      <w:spacing w:val="1"/>
                      <w:sz w:val="24"/>
                      <w:szCs w:val="24"/>
                    </w:rPr>
                    <w:t>污染物排放管控</w:t>
                  </w:r>
                </w:p>
              </w:tc>
              <w:tc>
                <w:tcPr>
                  <w:tcW w:w="679" w:type="dxa"/>
                  <w:vMerge w:val="restart"/>
                  <w:tcBorders>
                    <w:tl2br w:val="nil"/>
                    <w:tr2bl w:val="nil"/>
                  </w:tcBorders>
                  <w:shd w:val="clear" w:color="auto" w:fill="auto"/>
                  <w:vAlign w:val="top"/>
                </w:tcPr>
                <w:p w14:paraId="20BCB1CC">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4E5CA61F">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08D5D2CA">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61FF3EB6">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4F19B386">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397070DE">
                  <w:pPr>
                    <w:keepNext w:val="0"/>
                    <w:keepLines w:val="0"/>
                    <w:pageBreakBefore w:val="0"/>
                    <w:widowControl w:val="0"/>
                    <w:kinsoku/>
                    <w:wordWrap/>
                    <w:overflowPunct/>
                    <w:topLinePunct w:val="0"/>
                    <w:autoSpaceDE/>
                    <w:autoSpaceDN/>
                    <w:bidi w:val="0"/>
                    <w:adjustRightInd/>
                    <w:snapToGrid/>
                    <w:spacing w:before="65" w:line="360" w:lineRule="auto"/>
                    <w:ind w:left="55"/>
                    <w:textAlignment w:val="auto"/>
                    <w:rPr>
                      <w:rFonts w:hint="eastAsia" w:ascii="宋体" w:hAnsi="宋体" w:eastAsia="宋体" w:cs="宋体"/>
                      <w:color w:val="auto"/>
                      <w:spacing w:val="-2"/>
                      <w:sz w:val="24"/>
                      <w:szCs w:val="24"/>
                    </w:rPr>
                  </w:pPr>
                </w:p>
                <w:p w14:paraId="2147B628">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A2.1污</w:t>
                  </w:r>
                  <w:r>
                    <w:rPr>
                      <w:rFonts w:hint="eastAsia" w:ascii="宋体" w:hAnsi="宋体" w:eastAsia="宋体" w:cs="宋体"/>
                      <w:color w:val="auto"/>
                      <w:spacing w:val="5"/>
                      <w:sz w:val="24"/>
                      <w:szCs w:val="24"/>
                    </w:rPr>
                    <w:t>染物削减/替代</w:t>
                  </w:r>
                  <w:r>
                    <w:rPr>
                      <w:rFonts w:hint="eastAsia" w:ascii="宋体" w:hAnsi="宋体" w:eastAsia="宋体" w:cs="宋体"/>
                      <w:color w:val="auto"/>
                      <w:spacing w:val="4"/>
                      <w:sz w:val="24"/>
                      <w:szCs w:val="24"/>
                    </w:rPr>
                    <w:t>要求</w:t>
                  </w:r>
                </w:p>
              </w:tc>
              <w:tc>
                <w:tcPr>
                  <w:tcW w:w="3499" w:type="dxa"/>
                  <w:tcBorders>
                    <w:tl2br w:val="nil"/>
                    <w:tr2bl w:val="nil"/>
                  </w:tcBorders>
                  <w:shd w:val="clear" w:color="auto" w:fill="auto"/>
                  <w:vAlign w:val="top"/>
                </w:tcPr>
                <w:p w14:paraId="24983404">
                  <w:pPr>
                    <w:keepNext w:val="0"/>
                    <w:keepLines w:val="0"/>
                    <w:pageBreakBefore w:val="0"/>
                    <w:widowControl w:val="0"/>
                    <w:kinsoku/>
                    <w:wordWrap/>
                    <w:overflowPunct/>
                    <w:topLinePunct w:val="0"/>
                    <w:autoSpaceDE/>
                    <w:autoSpaceDN/>
                    <w:bidi w:val="0"/>
                    <w:adjustRightInd/>
                    <w:snapToGrid/>
                    <w:spacing w:before="34" w:line="360" w:lineRule="auto"/>
                    <w:ind w:left="29" w:leftChars="0" w:right="22"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【A2.1-1】新、改、扩建重点行业建设</w:t>
                  </w:r>
                  <w:r>
                    <w:rPr>
                      <w:rFonts w:hint="eastAsia" w:ascii="宋体" w:hAnsi="宋体" w:eastAsia="宋体" w:cs="宋体"/>
                      <w:color w:val="auto"/>
                      <w:spacing w:val="5"/>
                      <w:sz w:val="24"/>
                      <w:szCs w:val="24"/>
                    </w:rPr>
                    <w:t>项目应符合“三线一单”、产业政策、</w:t>
                  </w:r>
                  <w:r>
                    <w:rPr>
                      <w:rFonts w:hint="eastAsia" w:ascii="宋体" w:hAnsi="宋体" w:eastAsia="宋体" w:cs="宋体"/>
                      <w:color w:val="auto"/>
                      <w:spacing w:val="7"/>
                      <w:sz w:val="24"/>
                      <w:szCs w:val="24"/>
                    </w:rPr>
                    <w:t>区域环评、规划环评和行业环境准入管控要求。重点区域的新、改、扩建重点</w:t>
                  </w:r>
                  <w:r>
                    <w:rPr>
                      <w:rFonts w:hint="eastAsia" w:ascii="宋体" w:hAnsi="宋体" w:eastAsia="宋体" w:cs="宋体"/>
                      <w:color w:val="auto"/>
                      <w:spacing w:val="20"/>
                      <w:sz w:val="24"/>
                      <w:szCs w:val="24"/>
                    </w:rPr>
                    <w:t>行业建设项目应遵循重点重金属污染</w:t>
                  </w:r>
                  <w:r>
                    <w:rPr>
                      <w:rFonts w:hint="eastAsia" w:ascii="宋体" w:hAnsi="宋体" w:eastAsia="宋体" w:cs="宋体"/>
                      <w:color w:val="auto"/>
                      <w:spacing w:val="5"/>
                      <w:sz w:val="24"/>
                      <w:szCs w:val="24"/>
                    </w:rPr>
                    <w:t>物排放“减量替代”原则。</w:t>
                  </w:r>
                </w:p>
              </w:tc>
              <w:tc>
                <w:tcPr>
                  <w:tcW w:w="2061" w:type="dxa"/>
                  <w:tcBorders>
                    <w:tl2br w:val="nil"/>
                    <w:tr2bl w:val="nil"/>
                  </w:tcBorders>
                  <w:shd w:val="clear" w:color="auto" w:fill="auto"/>
                  <w:vAlign w:val="top"/>
                </w:tcPr>
                <w:p w14:paraId="6B3DEA99">
                  <w:pPr>
                    <w:keepNext w:val="0"/>
                    <w:keepLines w:val="0"/>
                    <w:pageBreakBefore w:val="0"/>
                    <w:widowControl w:val="0"/>
                    <w:kinsoku/>
                    <w:wordWrap/>
                    <w:overflowPunct/>
                    <w:topLinePunct w:val="0"/>
                    <w:autoSpaceDE/>
                    <w:autoSpaceDN/>
                    <w:bidi w:val="0"/>
                    <w:adjustRightInd/>
                    <w:snapToGrid/>
                    <w:spacing w:before="65" w:line="360" w:lineRule="auto"/>
                    <w:ind w:left="40" w:leftChars="0" w:right="20" w:righ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3"/>
                      <w:sz w:val="24"/>
                      <w:szCs w:val="24"/>
                    </w:rPr>
                    <w:t>不属于重点行业建设</w:t>
                  </w:r>
                  <w:r>
                    <w:rPr>
                      <w:rFonts w:hint="eastAsia" w:ascii="宋体" w:hAnsi="宋体" w:eastAsia="宋体" w:cs="宋体"/>
                      <w:color w:val="auto"/>
                      <w:spacing w:val="3"/>
                      <w:sz w:val="24"/>
                      <w:szCs w:val="24"/>
                    </w:rPr>
                    <w:t>项目</w:t>
                  </w:r>
                </w:p>
              </w:tc>
              <w:tc>
                <w:tcPr>
                  <w:tcW w:w="706" w:type="dxa"/>
                  <w:tcBorders>
                    <w:tl2br w:val="nil"/>
                    <w:tr2bl w:val="nil"/>
                  </w:tcBorders>
                  <w:shd w:val="clear" w:color="auto" w:fill="auto"/>
                  <w:vAlign w:val="top"/>
                </w:tcPr>
                <w:p w14:paraId="69B34947">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2399159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46E5278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66F272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123CD76B">
                  <w:pPr>
                    <w:keepNext w:val="0"/>
                    <w:keepLines w:val="0"/>
                    <w:pageBreakBefore w:val="0"/>
                    <w:widowControl w:val="0"/>
                    <w:kinsoku/>
                    <w:wordWrap/>
                    <w:overflowPunct/>
                    <w:topLinePunct w:val="0"/>
                    <w:autoSpaceDE/>
                    <w:autoSpaceDN/>
                    <w:bidi w:val="0"/>
                    <w:adjustRightInd/>
                    <w:snapToGrid/>
                    <w:spacing w:before="27" w:line="360" w:lineRule="auto"/>
                    <w:ind w:left="192" w:leftChars="0"/>
                    <w:textAlignment w:val="auto"/>
                    <w:rPr>
                      <w:rFonts w:hint="eastAsia" w:ascii="宋体" w:hAnsi="宋体" w:eastAsia="宋体" w:cs="宋体"/>
                      <w:color w:val="auto"/>
                      <w:spacing w:val="4"/>
                      <w:sz w:val="24"/>
                      <w:szCs w:val="24"/>
                    </w:rPr>
                  </w:pPr>
                </w:p>
              </w:tc>
              <w:tc>
                <w:tcPr>
                  <w:tcW w:w="3499" w:type="dxa"/>
                  <w:tcBorders>
                    <w:tl2br w:val="nil"/>
                    <w:tr2bl w:val="nil"/>
                  </w:tcBorders>
                  <w:shd w:val="clear" w:color="auto" w:fill="auto"/>
                  <w:vAlign w:val="top"/>
                </w:tcPr>
                <w:p w14:paraId="0A733A5E">
                  <w:pPr>
                    <w:keepNext w:val="0"/>
                    <w:keepLines w:val="0"/>
                    <w:pageBreakBefore w:val="0"/>
                    <w:widowControl w:val="0"/>
                    <w:kinsoku/>
                    <w:wordWrap/>
                    <w:overflowPunct/>
                    <w:topLinePunct w:val="0"/>
                    <w:autoSpaceDE/>
                    <w:autoSpaceDN/>
                    <w:bidi w:val="0"/>
                    <w:adjustRightInd/>
                    <w:snapToGrid/>
                    <w:spacing w:before="29" w:line="360" w:lineRule="auto"/>
                    <w:ind w:left="29" w:leftChars="0" w:right="23"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【A2.1-3】促进大气污染物与温室气体协同控制。实施污染物和温室气体协同控制，实现减污降碳协同效应。开展工业、农业温室气体和污染减排协同控制研究，减少温室气体和污染物排放。强</w:t>
                  </w:r>
                  <w:r>
                    <w:rPr>
                      <w:rFonts w:hint="eastAsia" w:ascii="宋体" w:hAnsi="宋体" w:eastAsia="宋体" w:cs="宋体"/>
                      <w:color w:val="auto"/>
                      <w:spacing w:val="20"/>
                      <w:sz w:val="24"/>
                      <w:szCs w:val="24"/>
                    </w:rPr>
                    <w:t>化污水、垃圾等集中处置设施环境管</w:t>
                  </w:r>
                  <w:r>
                    <w:rPr>
                      <w:rFonts w:hint="eastAsia" w:ascii="宋体" w:hAnsi="宋体" w:eastAsia="宋体" w:cs="宋体"/>
                      <w:color w:val="auto"/>
                      <w:spacing w:val="7"/>
                      <w:sz w:val="24"/>
                      <w:szCs w:val="24"/>
                    </w:rPr>
                    <w:t>理，协同控制氢氟碳化物、甲烷、氧化亚氮等温室气体。加强节约能源与大气</w:t>
                  </w:r>
                  <w:r>
                    <w:rPr>
                      <w:rFonts w:hint="eastAsia" w:ascii="宋体" w:hAnsi="宋体" w:eastAsia="宋体" w:cs="宋体"/>
                      <w:color w:val="auto"/>
                      <w:spacing w:val="20"/>
                      <w:sz w:val="24"/>
                      <w:szCs w:val="24"/>
                    </w:rPr>
                    <w:t>污染防治协同有效衔接促进大气污染</w:t>
                  </w:r>
                  <w:r>
                    <w:rPr>
                      <w:rFonts w:hint="eastAsia" w:ascii="宋体" w:hAnsi="宋体" w:eastAsia="宋体" w:cs="宋体"/>
                      <w:color w:val="auto"/>
                      <w:spacing w:val="7"/>
                      <w:sz w:val="24"/>
                      <w:szCs w:val="24"/>
                    </w:rPr>
                    <w:t>防治协同增效。</w:t>
                  </w:r>
                </w:p>
              </w:tc>
              <w:tc>
                <w:tcPr>
                  <w:tcW w:w="2061" w:type="dxa"/>
                  <w:tcBorders>
                    <w:tl2br w:val="nil"/>
                    <w:tr2bl w:val="nil"/>
                  </w:tcBorders>
                  <w:shd w:val="clear" w:color="auto" w:fill="auto"/>
                  <w:vAlign w:val="top"/>
                </w:tcPr>
                <w:p w14:paraId="4C3888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1210C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BC5AC36">
                  <w:pPr>
                    <w:keepNext w:val="0"/>
                    <w:keepLines w:val="0"/>
                    <w:pageBreakBefore w:val="0"/>
                    <w:widowControl w:val="0"/>
                    <w:kinsoku/>
                    <w:wordWrap/>
                    <w:overflowPunct/>
                    <w:topLinePunct w:val="0"/>
                    <w:autoSpaceDE/>
                    <w:autoSpaceDN/>
                    <w:bidi w:val="0"/>
                    <w:adjustRightInd/>
                    <w:snapToGrid/>
                    <w:spacing w:before="65" w:line="360" w:lineRule="auto"/>
                    <w:ind w:left="4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2F0F34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B8C28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D8284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6BDFF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2C1DA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904A1AB">
                  <w:pPr>
                    <w:keepNext w:val="0"/>
                    <w:keepLines w:val="0"/>
                    <w:pageBreakBefore w:val="0"/>
                    <w:widowControl w:val="0"/>
                    <w:kinsoku/>
                    <w:wordWrap/>
                    <w:overflowPunct/>
                    <w:topLinePunct w:val="0"/>
                    <w:autoSpaceDE/>
                    <w:autoSpaceDN/>
                    <w:bidi w:val="0"/>
                    <w:adjustRightInd/>
                    <w:snapToGrid/>
                    <w:spacing w:before="58"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1D28B2A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3281304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57E470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restart"/>
                  <w:tcBorders>
                    <w:tl2br w:val="nil"/>
                    <w:tr2bl w:val="nil"/>
                  </w:tcBorders>
                  <w:shd w:val="clear" w:color="auto" w:fill="auto"/>
                  <w:vAlign w:val="top"/>
                </w:tcPr>
                <w:p w14:paraId="641A72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8E8AB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62681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035A2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29557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A1D66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12ECB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15704F8">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spacing w:val="3"/>
                      <w:sz w:val="24"/>
                      <w:szCs w:val="24"/>
                    </w:rPr>
                  </w:pPr>
                </w:p>
                <w:p w14:paraId="5F204557">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A2.2污</w:t>
                  </w:r>
                  <w:r>
                    <w:rPr>
                      <w:rFonts w:hint="eastAsia" w:ascii="宋体" w:hAnsi="宋体" w:eastAsia="宋体" w:cs="宋体"/>
                      <w:color w:val="auto"/>
                      <w:spacing w:val="5"/>
                      <w:sz w:val="24"/>
                      <w:szCs w:val="24"/>
                    </w:rPr>
                    <w:t>染控制</w:t>
                  </w:r>
                </w:p>
                <w:p w14:paraId="469EFFB1">
                  <w:pPr>
                    <w:keepNext w:val="0"/>
                    <w:keepLines w:val="0"/>
                    <w:pageBreakBefore w:val="0"/>
                    <w:widowControl w:val="0"/>
                    <w:kinsoku/>
                    <w:wordWrap/>
                    <w:overflowPunct/>
                    <w:topLinePunct w:val="0"/>
                    <w:autoSpaceDE/>
                    <w:autoSpaceDN/>
                    <w:bidi w:val="0"/>
                    <w:adjustRightInd/>
                    <w:snapToGrid/>
                    <w:spacing w:before="24" w:line="360" w:lineRule="auto"/>
                    <w:ind w:left="85"/>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6"/>
                      <w:sz w:val="24"/>
                      <w:szCs w:val="24"/>
                    </w:rPr>
                    <w:t>措施要</w:t>
                  </w:r>
                  <w:r>
                    <w:rPr>
                      <w:rFonts w:hint="eastAsia" w:ascii="宋体" w:hAnsi="宋体" w:eastAsia="宋体" w:cs="宋体"/>
                      <w:color w:val="auto"/>
                      <w:sz w:val="24"/>
                      <w:szCs w:val="24"/>
                    </w:rPr>
                    <w:t>求</w:t>
                  </w:r>
                </w:p>
              </w:tc>
              <w:tc>
                <w:tcPr>
                  <w:tcW w:w="3499" w:type="dxa"/>
                  <w:tcBorders>
                    <w:tl2br w:val="nil"/>
                    <w:tr2bl w:val="nil"/>
                  </w:tcBorders>
                  <w:shd w:val="clear" w:color="auto" w:fill="auto"/>
                  <w:vAlign w:val="top"/>
                </w:tcPr>
                <w:p w14:paraId="265CAD9A">
                  <w:pPr>
                    <w:keepNext w:val="0"/>
                    <w:keepLines w:val="0"/>
                    <w:pageBreakBefore w:val="0"/>
                    <w:widowControl w:val="0"/>
                    <w:kinsoku/>
                    <w:wordWrap/>
                    <w:overflowPunct/>
                    <w:topLinePunct w:val="0"/>
                    <w:autoSpaceDE/>
                    <w:autoSpaceDN/>
                    <w:bidi w:val="0"/>
                    <w:adjustRightInd/>
                    <w:snapToGrid/>
                    <w:spacing w:before="37" w:line="360" w:lineRule="auto"/>
                    <w:ind w:left="33" w:right="23" w:hanging="8"/>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【A2.2-2】实施重点行业氮氧化物等污</w:t>
                  </w:r>
                  <w:r>
                    <w:rPr>
                      <w:rFonts w:hint="eastAsia" w:ascii="宋体" w:hAnsi="宋体" w:eastAsia="宋体" w:cs="宋体"/>
                      <w:color w:val="auto"/>
                      <w:spacing w:val="6"/>
                      <w:sz w:val="24"/>
                      <w:szCs w:val="24"/>
                    </w:rPr>
                    <w:t>染物深度治理。</w:t>
                  </w:r>
                </w:p>
                <w:p w14:paraId="485DA8D7">
                  <w:pPr>
                    <w:keepNext w:val="0"/>
                    <w:keepLines w:val="0"/>
                    <w:pageBreakBefore w:val="0"/>
                    <w:widowControl w:val="0"/>
                    <w:kinsoku/>
                    <w:wordWrap/>
                    <w:overflowPunct/>
                    <w:topLinePunct w:val="0"/>
                    <w:autoSpaceDE/>
                    <w:autoSpaceDN/>
                    <w:bidi w:val="0"/>
                    <w:adjustRightInd/>
                    <w:snapToGrid/>
                    <w:spacing w:before="23" w:line="360" w:lineRule="auto"/>
                    <w:ind w:left="28"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钢铁、水泥、焦化行业超低排放改造。</w:t>
                  </w:r>
                  <w:r>
                    <w:rPr>
                      <w:rFonts w:hint="eastAsia" w:ascii="宋体" w:hAnsi="宋体" w:eastAsia="宋体" w:cs="宋体"/>
                      <w:color w:val="auto"/>
                      <w:spacing w:val="-3"/>
                      <w:sz w:val="24"/>
                      <w:szCs w:val="24"/>
                    </w:rPr>
                    <w:t>推进玻璃、陶瓷、铸造、铁合金、有色、</w:t>
                  </w:r>
                  <w:r>
                    <w:rPr>
                      <w:rFonts w:hint="eastAsia" w:ascii="宋体" w:hAnsi="宋体" w:eastAsia="宋体" w:cs="宋体"/>
                      <w:color w:val="auto"/>
                      <w:spacing w:val="4"/>
                      <w:sz w:val="24"/>
                      <w:szCs w:val="24"/>
                    </w:rPr>
                    <w:t>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w:t>
                  </w:r>
                  <w:r>
                    <w:rPr>
                      <w:rFonts w:hint="eastAsia" w:ascii="宋体" w:hAnsi="宋体" w:eastAsia="宋体" w:cs="宋体"/>
                      <w:color w:val="auto"/>
                      <w:spacing w:val="5"/>
                      <w:sz w:val="24"/>
                      <w:szCs w:val="24"/>
                    </w:rPr>
                    <w:t>取消的，安装在线监控系统。</w:t>
                  </w:r>
                </w:p>
              </w:tc>
              <w:tc>
                <w:tcPr>
                  <w:tcW w:w="2061" w:type="dxa"/>
                  <w:tcBorders>
                    <w:tl2br w:val="nil"/>
                    <w:tr2bl w:val="nil"/>
                  </w:tcBorders>
                  <w:shd w:val="clear" w:color="auto" w:fill="auto"/>
                  <w:vAlign w:val="top"/>
                </w:tcPr>
                <w:p w14:paraId="387071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FAB84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69045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2E514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A38B9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E7C9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DEFB8D1">
                  <w:pPr>
                    <w:keepNext w:val="0"/>
                    <w:keepLines w:val="0"/>
                    <w:pageBreakBefore w:val="0"/>
                    <w:widowControl w:val="0"/>
                    <w:kinsoku/>
                    <w:wordWrap/>
                    <w:overflowPunct/>
                    <w:topLinePunct w:val="0"/>
                    <w:autoSpaceDE/>
                    <w:autoSpaceDN/>
                    <w:bidi w:val="0"/>
                    <w:adjustRightInd/>
                    <w:snapToGrid/>
                    <w:spacing w:before="65" w:line="360" w:lineRule="auto"/>
                    <w:ind w:left="36" w:leftChars="0" w:right="20" w:righ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本项目不产生氮氧化</w:t>
                  </w:r>
                  <w:r>
                    <w:rPr>
                      <w:rFonts w:hint="eastAsia" w:ascii="宋体" w:hAnsi="宋体" w:eastAsia="宋体" w:cs="宋体"/>
                      <w:color w:val="auto"/>
                      <w:sz w:val="24"/>
                      <w:szCs w:val="24"/>
                    </w:rPr>
                    <w:t>物。</w:t>
                  </w:r>
                </w:p>
              </w:tc>
              <w:tc>
                <w:tcPr>
                  <w:tcW w:w="706" w:type="dxa"/>
                  <w:tcBorders>
                    <w:tl2br w:val="nil"/>
                    <w:tr2bl w:val="nil"/>
                  </w:tcBorders>
                  <w:shd w:val="clear" w:color="auto" w:fill="auto"/>
                  <w:vAlign w:val="top"/>
                </w:tcPr>
                <w:p w14:paraId="243ED7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7B8AE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52972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A7415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6B145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6ABDB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B1CA3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4227807">
                  <w:pPr>
                    <w:keepNext w:val="0"/>
                    <w:keepLines w:val="0"/>
                    <w:pageBreakBefore w:val="0"/>
                    <w:widowControl w:val="0"/>
                    <w:kinsoku/>
                    <w:wordWrap/>
                    <w:overflowPunct/>
                    <w:topLinePunct w:val="0"/>
                    <w:autoSpaceDE/>
                    <w:autoSpaceDN/>
                    <w:bidi w:val="0"/>
                    <w:adjustRightInd/>
                    <w:snapToGrid/>
                    <w:spacing w:before="58"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2CC9C3B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5" w:type="dxa"/>
                  <w:vMerge w:val="restart"/>
                  <w:tcBorders>
                    <w:tl2br w:val="nil"/>
                    <w:tr2bl w:val="nil"/>
                  </w:tcBorders>
                </w:tcPr>
                <w:p w14:paraId="3661BD8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66CFF2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322F923E">
                  <w:pPr>
                    <w:keepNext w:val="0"/>
                    <w:keepLines w:val="0"/>
                    <w:pageBreakBefore w:val="0"/>
                    <w:widowControl w:val="0"/>
                    <w:kinsoku/>
                    <w:wordWrap/>
                    <w:overflowPunct/>
                    <w:topLinePunct w:val="0"/>
                    <w:autoSpaceDE/>
                    <w:autoSpaceDN/>
                    <w:bidi w:val="0"/>
                    <w:adjustRightInd/>
                    <w:snapToGrid/>
                    <w:spacing w:before="27" w:line="360" w:lineRule="auto"/>
                    <w:ind w:left="192" w:leftChars="0"/>
                    <w:textAlignment w:val="auto"/>
                    <w:rPr>
                      <w:rFonts w:hint="eastAsia" w:ascii="宋体" w:hAnsi="宋体" w:eastAsia="宋体" w:cs="宋体"/>
                      <w:color w:val="auto"/>
                      <w:spacing w:val="4"/>
                      <w:sz w:val="24"/>
                      <w:szCs w:val="24"/>
                    </w:rPr>
                  </w:pPr>
                </w:p>
              </w:tc>
              <w:tc>
                <w:tcPr>
                  <w:tcW w:w="3499" w:type="dxa"/>
                  <w:tcBorders>
                    <w:tl2br w:val="nil"/>
                    <w:tr2bl w:val="nil"/>
                  </w:tcBorders>
                  <w:shd w:val="clear" w:color="auto" w:fill="auto"/>
                  <w:vAlign w:val="top"/>
                </w:tcPr>
                <w:p w14:paraId="6278CA03">
                  <w:pPr>
                    <w:keepNext w:val="0"/>
                    <w:keepLines w:val="0"/>
                    <w:pageBreakBefore w:val="0"/>
                    <w:widowControl w:val="0"/>
                    <w:kinsoku/>
                    <w:wordWrap/>
                    <w:overflowPunct/>
                    <w:topLinePunct w:val="0"/>
                    <w:autoSpaceDE/>
                    <w:autoSpaceDN/>
                    <w:bidi w:val="0"/>
                    <w:adjustRightInd/>
                    <w:snapToGrid/>
                    <w:spacing w:before="177"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【A2.2-4】强化用水定额管理。推进地</w:t>
                  </w:r>
                  <w:r>
                    <w:rPr>
                      <w:rFonts w:hint="eastAsia" w:ascii="宋体" w:hAnsi="宋体" w:eastAsia="宋体" w:cs="宋体"/>
                      <w:color w:val="auto"/>
                      <w:spacing w:val="7"/>
                      <w:sz w:val="24"/>
                      <w:szCs w:val="24"/>
                    </w:rPr>
                    <w:t>下水超采综合治理。开展河湖生态流量</w:t>
                  </w:r>
                  <w:r>
                    <w:rPr>
                      <w:rFonts w:hint="eastAsia" w:ascii="宋体" w:hAnsi="宋体" w:cs="宋体"/>
                      <w:color w:val="auto"/>
                      <w:spacing w:val="8"/>
                      <w:sz w:val="24"/>
                      <w:szCs w:val="24"/>
                      <w:lang w:eastAsia="zh-CN"/>
                    </w:rPr>
                    <w:t>（</w:t>
                  </w:r>
                  <w:r>
                    <w:rPr>
                      <w:rFonts w:hint="eastAsia" w:ascii="宋体" w:hAnsi="宋体" w:eastAsia="宋体" w:cs="宋体"/>
                      <w:color w:val="auto"/>
                      <w:spacing w:val="8"/>
                      <w:sz w:val="24"/>
                      <w:szCs w:val="24"/>
                    </w:rPr>
                    <w:t>水量</w:t>
                  </w:r>
                  <w:r>
                    <w:rPr>
                      <w:rFonts w:hint="eastAsia" w:ascii="宋体" w:hAnsi="宋体" w:cs="宋体"/>
                      <w:color w:val="auto"/>
                      <w:spacing w:val="8"/>
                      <w:sz w:val="24"/>
                      <w:szCs w:val="24"/>
                      <w:lang w:eastAsia="zh-CN"/>
                    </w:rPr>
                    <w:t>）</w:t>
                  </w:r>
                  <w:r>
                    <w:rPr>
                      <w:rFonts w:hint="eastAsia" w:ascii="宋体" w:hAnsi="宋体" w:eastAsia="宋体" w:cs="宋体"/>
                      <w:color w:val="auto"/>
                      <w:spacing w:val="8"/>
                      <w:sz w:val="24"/>
                      <w:szCs w:val="24"/>
                    </w:rPr>
                    <w:t>确定工作，强化生态用水保障。</w:t>
                  </w:r>
                </w:p>
              </w:tc>
              <w:tc>
                <w:tcPr>
                  <w:tcW w:w="2061" w:type="dxa"/>
                  <w:tcBorders>
                    <w:tl2br w:val="nil"/>
                    <w:tr2bl w:val="nil"/>
                  </w:tcBorders>
                  <w:shd w:val="clear" w:color="auto" w:fill="auto"/>
                  <w:vAlign w:val="top"/>
                </w:tcPr>
                <w:p w14:paraId="6DF49F8A">
                  <w:pPr>
                    <w:keepNext w:val="0"/>
                    <w:keepLines w:val="0"/>
                    <w:pageBreakBefore w:val="0"/>
                    <w:widowControl w:val="0"/>
                    <w:kinsoku/>
                    <w:wordWrap/>
                    <w:overflowPunct/>
                    <w:topLinePunct w:val="0"/>
                    <w:autoSpaceDE/>
                    <w:autoSpaceDN/>
                    <w:bidi w:val="0"/>
                    <w:adjustRightInd/>
                    <w:snapToGrid/>
                    <w:spacing w:before="43" w:line="360" w:lineRule="auto"/>
                    <w:ind w:left="37"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项目生产过程中产生的废水采取分类处理、分类回用，水重复利用，减少新鲜水资源的消耗。</w:t>
                  </w:r>
                </w:p>
              </w:tc>
              <w:tc>
                <w:tcPr>
                  <w:tcW w:w="706" w:type="dxa"/>
                  <w:tcBorders>
                    <w:tl2br w:val="nil"/>
                    <w:tr2bl w:val="nil"/>
                  </w:tcBorders>
                  <w:shd w:val="clear" w:color="auto" w:fill="auto"/>
                  <w:vAlign w:val="top"/>
                </w:tcPr>
                <w:p w14:paraId="2FE64DB7">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61A00EA4">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277A12C2">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7407561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5" w:type="dxa"/>
                  <w:vMerge w:val="continue"/>
                  <w:tcBorders>
                    <w:tl2br w:val="nil"/>
                    <w:tr2bl w:val="nil"/>
                  </w:tcBorders>
                </w:tcPr>
                <w:p w14:paraId="6DC96EE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20200A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7B86482D">
                  <w:pPr>
                    <w:keepNext w:val="0"/>
                    <w:keepLines w:val="0"/>
                    <w:pageBreakBefore w:val="0"/>
                    <w:widowControl w:val="0"/>
                    <w:kinsoku/>
                    <w:wordWrap/>
                    <w:overflowPunct/>
                    <w:topLinePunct w:val="0"/>
                    <w:autoSpaceDE/>
                    <w:autoSpaceDN/>
                    <w:bidi w:val="0"/>
                    <w:adjustRightInd/>
                    <w:snapToGrid/>
                    <w:spacing w:before="27" w:line="360" w:lineRule="auto"/>
                    <w:ind w:left="192" w:leftChars="0"/>
                    <w:textAlignment w:val="auto"/>
                    <w:rPr>
                      <w:rFonts w:hint="eastAsia" w:ascii="宋体" w:hAnsi="宋体" w:eastAsia="宋体" w:cs="宋体"/>
                      <w:color w:val="auto"/>
                      <w:spacing w:val="4"/>
                      <w:sz w:val="24"/>
                      <w:szCs w:val="24"/>
                    </w:rPr>
                  </w:pPr>
                </w:p>
              </w:tc>
              <w:tc>
                <w:tcPr>
                  <w:tcW w:w="3499" w:type="dxa"/>
                  <w:tcBorders>
                    <w:tl2br w:val="nil"/>
                    <w:tr2bl w:val="nil"/>
                  </w:tcBorders>
                  <w:shd w:val="clear" w:color="auto" w:fill="auto"/>
                  <w:vAlign w:val="top"/>
                </w:tcPr>
                <w:p w14:paraId="28CC26B3">
                  <w:pPr>
                    <w:keepNext w:val="0"/>
                    <w:keepLines w:val="0"/>
                    <w:pageBreakBefore w:val="0"/>
                    <w:widowControl w:val="0"/>
                    <w:kinsoku/>
                    <w:wordWrap/>
                    <w:overflowPunct/>
                    <w:topLinePunct w:val="0"/>
                    <w:autoSpaceDE/>
                    <w:autoSpaceDN/>
                    <w:bidi w:val="0"/>
                    <w:adjustRightInd/>
                    <w:snapToGrid/>
                    <w:spacing w:before="41" w:line="360" w:lineRule="auto"/>
                    <w:ind w:left="29" w:leftChars="0" w:right="23" w:rightChars="0" w:hanging="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【A2.2-5】持续推进伊犁河、额尔齐斯</w:t>
                  </w:r>
                  <w:r>
                    <w:rPr>
                      <w:rFonts w:hint="eastAsia" w:ascii="宋体" w:hAnsi="宋体" w:eastAsia="宋体" w:cs="宋体"/>
                      <w:color w:val="auto"/>
                      <w:spacing w:val="7"/>
                      <w:sz w:val="24"/>
                      <w:szCs w:val="24"/>
                    </w:rPr>
                    <w:t>河、额敏河、玛纳斯河、乌伦古湖、博</w:t>
                  </w:r>
                  <w:r>
                    <w:rPr>
                      <w:rFonts w:hint="eastAsia" w:ascii="宋体" w:hAnsi="宋体" w:eastAsia="宋体" w:cs="宋体"/>
                      <w:color w:val="auto"/>
                      <w:spacing w:val="20"/>
                      <w:sz w:val="24"/>
                      <w:szCs w:val="24"/>
                    </w:rPr>
                    <w:t>斯腾湖等流域生态治理，加强生态修</w:t>
                  </w:r>
                  <w:r>
                    <w:rPr>
                      <w:rFonts w:hint="eastAsia" w:ascii="宋体" w:hAnsi="宋体" w:eastAsia="宋体" w:cs="宋体"/>
                      <w:color w:val="auto"/>
                      <w:spacing w:val="7"/>
                      <w:sz w:val="24"/>
                      <w:szCs w:val="24"/>
                    </w:rPr>
                    <w:t>复。推动重点行业重点企业绿色发展，严格落实水污染物排放标准。加强农副食品加工、化工、印染、棉浆粕、粘胶</w:t>
                  </w:r>
                  <w:r>
                    <w:rPr>
                      <w:rFonts w:hint="eastAsia" w:ascii="宋体" w:hAnsi="宋体" w:eastAsia="宋体" w:cs="宋体"/>
                      <w:color w:val="auto"/>
                      <w:spacing w:val="8"/>
                      <w:sz w:val="24"/>
                      <w:szCs w:val="24"/>
                    </w:rPr>
                    <w:t>纤维等企业综合治理和清洁化改造。</w:t>
                  </w:r>
                </w:p>
              </w:tc>
              <w:tc>
                <w:tcPr>
                  <w:tcW w:w="2061" w:type="dxa"/>
                  <w:tcBorders>
                    <w:tl2br w:val="nil"/>
                    <w:tr2bl w:val="nil"/>
                  </w:tcBorders>
                  <w:shd w:val="clear" w:color="auto" w:fill="auto"/>
                  <w:vAlign w:val="top"/>
                </w:tcPr>
                <w:p w14:paraId="10D397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0526B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0C693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A142F91">
                  <w:pPr>
                    <w:keepNext w:val="0"/>
                    <w:keepLines w:val="0"/>
                    <w:pageBreakBefore w:val="0"/>
                    <w:widowControl w:val="0"/>
                    <w:kinsoku/>
                    <w:wordWrap/>
                    <w:overflowPunct/>
                    <w:topLinePunct w:val="0"/>
                    <w:autoSpaceDE/>
                    <w:autoSpaceDN/>
                    <w:bidi w:val="0"/>
                    <w:adjustRightInd/>
                    <w:snapToGrid/>
                    <w:spacing w:before="65" w:line="360" w:lineRule="auto"/>
                    <w:ind w:left="4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2ACEBC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20679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F10C4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8E79950">
                  <w:pPr>
                    <w:keepNext w:val="0"/>
                    <w:keepLines w:val="0"/>
                    <w:pageBreakBefore w:val="0"/>
                    <w:widowControl w:val="0"/>
                    <w:kinsoku/>
                    <w:wordWrap/>
                    <w:overflowPunct/>
                    <w:topLinePunct w:val="0"/>
                    <w:autoSpaceDE/>
                    <w:autoSpaceDN/>
                    <w:bidi w:val="0"/>
                    <w:adjustRightInd/>
                    <w:snapToGrid/>
                    <w:spacing w:before="58"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759CDE8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3F39F24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4B948C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restart"/>
                  <w:tcBorders>
                    <w:tl2br w:val="nil"/>
                    <w:tr2bl w:val="nil"/>
                  </w:tcBorders>
                  <w:shd w:val="clear" w:color="auto" w:fill="auto"/>
                  <w:vAlign w:val="top"/>
                </w:tcPr>
                <w:p w14:paraId="006215C8">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2BB431D3">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50000D54">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64B89DBB">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38CB2795">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737B184F">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49722D49">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62E710EF">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22B3F142">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5A4363AF">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pacing w:val="3"/>
                      <w:sz w:val="24"/>
                      <w:szCs w:val="24"/>
                    </w:rPr>
                  </w:pPr>
                </w:p>
                <w:p w14:paraId="6383AA67">
                  <w:pPr>
                    <w:keepNext w:val="0"/>
                    <w:keepLines w:val="0"/>
                    <w:pageBreakBefore w:val="0"/>
                    <w:widowControl w:val="0"/>
                    <w:kinsoku/>
                    <w:wordWrap/>
                    <w:overflowPunct/>
                    <w:topLinePunct w:val="0"/>
                    <w:autoSpaceDE/>
                    <w:autoSpaceDN/>
                    <w:bidi w:val="0"/>
                    <w:adjustRightInd/>
                    <w:snapToGrid/>
                    <w:spacing w:before="45" w:line="360" w:lineRule="auto"/>
                    <w:ind w:left="5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rPr>
                    <w:t>A2.2污</w:t>
                  </w:r>
                  <w:r>
                    <w:rPr>
                      <w:rFonts w:hint="eastAsia" w:ascii="宋体" w:hAnsi="宋体" w:eastAsia="宋体" w:cs="宋体"/>
                      <w:color w:val="auto"/>
                      <w:spacing w:val="5"/>
                      <w:sz w:val="24"/>
                      <w:szCs w:val="24"/>
                    </w:rPr>
                    <w:t>染控制</w:t>
                  </w:r>
                </w:p>
                <w:p w14:paraId="51188619">
                  <w:pPr>
                    <w:keepNext w:val="0"/>
                    <w:keepLines w:val="0"/>
                    <w:pageBreakBefore w:val="0"/>
                    <w:widowControl w:val="0"/>
                    <w:kinsoku/>
                    <w:wordWrap/>
                    <w:overflowPunct/>
                    <w:topLinePunct w:val="0"/>
                    <w:autoSpaceDE/>
                    <w:autoSpaceDN/>
                    <w:bidi w:val="0"/>
                    <w:adjustRightInd/>
                    <w:snapToGrid/>
                    <w:spacing w:before="24" w:line="360" w:lineRule="auto"/>
                    <w:ind w:left="85"/>
                    <w:jc w:val="center"/>
                    <w:textAlignment w:val="auto"/>
                    <w:rPr>
                      <w:rFonts w:hint="eastAsia" w:ascii="宋体" w:hAnsi="宋体" w:eastAsia="宋体" w:cs="宋体"/>
                      <w:color w:val="auto"/>
                      <w:sz w:val="24"/>
                      <w:szCs w:val="24"/>
                    </w:rPr>
                  </w:pPr>
                  <w:r>
                    <w:rPr>
                      <w:rFonts w:hint="eastAsia" w:ascii="宋体" w:hAnsi="宋体" w:eastAsia="宋体" w:cs="宋体"/>
                      <w:color w:val="auto"/>
                      <w:spacing w:val="6"/>
                      <w:sz w:val="24"/>
                      <w:szCs w:val="24"/>
                    </w:rPr>
                    <w:t>措施要</w:t>
                  </w:r>
                  <w:r>
                    <w:rPr>
                      <w:rFonts w:hint="eastAsia" w:ascii="宋体" w:hAnsi="宋体" w:eastAsia="宋体" w:cs="宋体"/>
                      <w:color w:val="auto"/>
                      <w:sz w:val="24"/>
                      <w:szCs w:val="24"/>
                    </w:rPr>
                    <w:t>求</w:t>
                  </w:r>
                </w:p>
                <w:p w14:paraId="6FB212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E7D6B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A3BEB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6197B5E">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kern w:val="2"/>
                      <w:sz w:val="24"/>
                      <w:szCs w:val="24"/>
                      <w:lang w:val="en-US" w:eastAsia="zh-CN" w:bidi="ar-SA"/>
                    </w:rPr>
                  </w:pPr>
                </w:p>
              </w:tc>
              <w:tc>
                <w:tcPr>
                  <w:tcW w:w="3499" w:type="dxa"/>
                  <w:tcBorders>
                    <w:tl2br w:val="nil"/>
                    <w:tr2bl w:val="nil"/>
                  </w:tcBorders>
                  <w:shd w:val="clear" w:color="auto" w:fill="auto"/>
                  <w:vAlign w:val="top"/>
                </w:tcPr>
                <w:p w14:paraId="1E7DF7F5">
                  <w:pPr>
                    <w:keepNext w:val="0"/>
                    <w:keepLines w:val="0"/>
                    <w:pageBreakBefore w:val="0"/>
                    <w:widowControl w:val="0"/>
                    <w:kinsoku/>
                    <w:wordWrap/>
                    <w:overflowPunct/>
                    <w:topLinePunct w:val="0"/>
                    <w:autoSpaceDE/>
                    <w:autoSpaceDN/>
                    <w:bidi w:val="0"/>
                    <w:adjustRightInd/>
                    <w:snapToGrid/>
                    <w:spacing w:before="47"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【A2.2-6】推进地表水与地下水协同防</w:t>
                  </w:r>
                  <w:r>
                    <w:rPr>
                      <w:rFonts w:hint="eastAsia" w:ascii="宋体" w:hAnsi="宋体" w:eastAsia="宋体" w:cs="宋体"/>
                      <w:color w:val="auto"/>
                      <w:spacing w:val="14"/>
                      <w:sz w:val="24"/>
                      <w:szCs w:val="24"/>
                    </w:rPr>
                    <w:t>治。以傍河型地下水饮用水水源为重</w:t>
                  </w:r>
                  <w:r>
                    <w:rPr>
                      <w:rFonts w:hint="eastAsia" w:ascii="宋体" w:hAnsi="宋体" w:eastAsia="宋体" w:cs="宋体"/>
                      <w:color w:val="auto"/>
                      <w:spacing w:val="7"/>
                      <w:sz w:val="24"/>
                      <w:szCs w:val="24"/>
                    </w:rPr>
                    <w:t>点，防范受污染河段侧渗和垂直补给对地下水污染。加强化学品生产企业、工</w:t>
                  </w:r>
                  <w:r>
                    <w:rPr>
                      <w:rFonts w:hint="eastAsia" w:ascii="宋体" w:hAnsi="宋体" w:eastAsia="宋体" w:cs="宋体"/>
                      <w:color w:val="auto"/>
                      <w:spacing w:val="20"/>
                      <w:sz w:val="24"/>
                      <w:szCs w:val="24"/>
                    </w:rPr>
                    <w:t>业聚集区、矿山开采区等污染源的地</w:t>
                  </w:r>
                  <w:r>
                    <w:rPr>
                      <w:rFonts w:hint="eastAsia" w:ascii="宋体" w:hAnsi="宋体" w:eastAsia="宋体" w:cs="宋体"/>
                      <w:color w:val="auto"/>
                      <w:spacing w:val="7"/>
                      <w:sz w:val="24"/>
                      <w:szCs w:val="24"/>
                    </w:rPr>
                    <w:t>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2061" w:type="dxa"/>
                  <w:tcBorders>
                    <w:tl2br w:val="nil"/>
                    <w:tr2bl w:val="nil"/>
                  </w:tcBorders>
                  <w:shd w:val="clear" w:color="auto" w:fill="auto"/>
                  <w:vAlign w:val="top"/>
                </w:tcPr>
                <w:p w14:paraId="26E53B99">
                  <w:pPr>
                    <w:keepNext w:val="0"/>
                    <w:keepLines w:val="0"/>
                    <w:pageBreakBefore w:val="0"/>
                    <w:widowControl w:val="0"/>
                    <w:kinsoku/>
                    <w:wordWrap/>
                    <w:overflowPunct/>
                    <w:topLinePunct w:val="0"/>
                    <w:autoSpaceDE/>
                    <w:autoSpaceDN/>
                    <w:bidi w:val="0"/>
                    <w:adjustRightInd/>
                    <w:snapToGrid/>
                    <w:spacing w:before="47" w:line="360" w:lineRule="auto"/>
                    <w:ind w:left="37"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本项目生产废水经配套污水处理站处理后进入下水管网，最终进入库尔勒金城洁净排水有限责任公司库尔勒市老城区污水处理厂深度处理后达标排放。</w:t>
                  </w:r>
                  <w:r>
                    <w:rPr>
                      <w:rFonts w:hint="eastAsia" w:ascii="宋体" w:hAnsi="宋体" w:eastAsia="宋体" w:cs="宋体"/>
                      <w:color w:val="auto"/>
                      <w:spacing w:val="24"/>
                      <w:sz w:val="24"/>
                      <w:szCs w:val="24"/>
                    </w:rPr>
                    <w:t>不会超过用水总量控</w:t>
                  </w:r>
                  <w:r>
                    <w:rPr>
                      <w:rFonts w:hint="eastAsia" w:ascii="宋体" w:hAnsi="宋体" w:eastAsia="宋体" w:cs="宋体"/>
                      <w:color w:val="auto"/>
                      <w:spacing w:val="6"/>
                      <w:sz w:val="24"/>
                      <w:szCs w:val="24"/>
                    </w:rPr>
                    <w:t>制指标</w:t>
                  </w:r>
                </w:p>
              </w:tc>
              <w:tc>
                <w:tcPr>
                  <w:tcW w:w="706" w:type="dxa"/>
                  <w:tcBorders>
                    <w:tl2br w:val="nil"/>
                    <w:tr2bl w:val="nil"/>
                  </w:tcBorders>
                  <w:shd w:val="clear" w:color="auto" w:fill="auto"/>
                  <w:vAlign w:val="top"/>
                </w:tcPr>
                <w:p w14:paraId="1ABDC2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A44148A">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39C880AF">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5C24EB3C">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32EC8376">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0FF4DDA6">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5EE107F6">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7D5D8E05">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12924C67">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spacing w:val="3"/>
                      <w:sz w:val="24"/>
                      <w:szCs w:val="24"/>
                    </w:rPr>
                  </w:pPr>
                </w:p>
                <w:p w14:paraId="2ED865BA">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71437D7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264C03F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shd w:val="clear" w:color="auto" w:fill="auto"/>
                  <w:vAlign w:val="top"/>
                </w:tcPr>
                <w:p w14:paraId="57C1EBE1">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kern w:val="2"/>
                      <w:sz w:val="24"/>
                      <w:szCs w:val="24"/>
                      <w:lang w:val="en-US" w:eastAsia="zh-CN" w:bidi="ar-SA"/>
                    </w:rPr>
                  </w:pPr>
                </w:p>
              </w:tc>
              <w:tc>
                <w:tcPr>
                  <w:tcW w:w="679" w:type="dxa"/>
                  <w:vMerge w:val="continue"/>
                  <w:tcBorders>
                    <w:tl2br w:val="nil"/>
                    <w:tr2bl w:val="nil"/>
                  </w:tcBorders>
                  <w:shd w:val="clear" w:color="auto" w:fill="auto"/>
                  <w:vAlign w:val="top"/>
                </w:tcPr>
                <w:p w14:paraId="27681E9B">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kern w:val="2"/>
                      <w:sz w:val="24"/>
                      <w:szCs w:val="24"/>
                      <w:lang w:val="en-US" w:eastAsia="zh-CN" w:bidi="ar-SA"/>
                    </w:rPr>
                  </w:pPr>
                </w:p>
              </w:tc>
              <w:tc>
                <w:tcPr>
                  <w:tcW w:w="3499" w:type="dxa"/>
                  <w:tcBorders>
                    <w:tl2br w:val="nil"/>
                    <w:tr2bl w:val="nil"/>
                  </w:tcBorders>
                  <w:shd w:val="clear" w:color="auto" w:fill="auto"/>
                  <w:vAlign w:val="top"/>
                </w:tcPr>
                <w:p w14:paraId="201D3F51">
                  <w:pPr>
                    <w:keepNext w:val="0"/>
                    <w:keepLines w:val="0"/>
                    <w:pageBreakBefore w:val="0"/>
                    <w:widowControl w:val="0"/>
                    <w:kinsoku/>
                    <w:wordWrap/>
                    <w:overflowPunct/>
                    <w:topLinePunct w:val="0"/>
                    <w:autoSpaceDE/>
                    <w:autoSpaceDN/>
                    <w:bidi w:val="0"/>
                    <w:adjustRightInd/>
                    <w:snapToGrid/>
                    <w:spacing w:before="39" w:line="360" w:lineRule="auto"/>
                    <w:ind w:left="29" w:leftChars="0" w:right="23"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【A2.2-9】加强种植业污染防治。深入</w:t>
                  </w:r>
                  <w:r>
                    <w:rPr>
                      <w:rFonts w:hint="eastAsia" w:ascii="宋体" w:hAnsi="宋体" w:eastAsia="宋体" w:cs="宋体"/>
                      <w:color w:val="auto"/>
                      <w:spacing w:val="7"/>
                      <w:sz w:val="24"/>
                      <w:szCs w:val="24"/>
                    </w:rPr>
                    <w:t>推进化肥农药减量增效，全面推广测土配方施肥，引导推动有机肥、绿肥替代</w:t>
                  </w:r>
                  <w:r>
                    <w:rPr>
                      <w:rFonts w:hint="eastAsia" w:ascii="宋体" w:hAnsi="宋体" w:eastAsia="宋体" w:cs="宋体"/>
                      <w:color w:val="auto"/>
                      <w:spacing w:val="20"/>
                      <w:sz w:val="24"/>
                      <w:szCs w:val="24"/>
                    </w:rPr>
                    <w:t>化肥，集成推广化肥减量增效技术模</w:t>
                  </w:r>
                  <w:r>
                    <w:rPr>
                      <w:rFonts w:hint="eastAsia" w:ascii="宋体" w:hAnsi="宋体" w:eastAsia="宋体" w:cs="宋体"/>
                      <w:color w:val="auto"/>
                      <w:spacing w:val="7"/>
                      <w:sz w:val="24"/>
                      <w:szCs w:val="24"/>
                    </w:rPr>
                    <w:t>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2061" w:type="dxa"/>
                  <w:tcBorders>
                    <w:tl2br w:val="nil"/>
                    <w:tr2bl w:val="nil"/>
                  </w:tcBorders>
                  <w:shd w:val="clear" w:color="auto" w:fill="auto"/>
                  <w:vAlign w:val="top"/>
                </w:tcPr>
                <w:p w14:paraId="41670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22DB6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246B3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D7C34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2105DF6">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561327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AEED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26658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14E6B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989EF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6489674">
                  <w:pPr>
                    <w:keepNext w:val="0"/>
                    <w:keepLines w:val="0"/>
                    <w:pageBreakBefore w:val="0"/>
                    <w:widowControl w:val="0"/>
                    <w:kinsoku/>
                    <w:wordWrap/>
                    <w:overflowPunct/>
                    <w:topLinePunct w:val="0"/>
                    <w:autoSpaceDE/>
                    <w:autoSpaceDN/>
                    <w:bidi w:val="0"/>
                    <w:adjustRightInd/>
                    <w:snapToGrid/>
                    <w:spacing w:before="57"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1EA83A0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62913BA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restart"/>
                  <w:tcBorders>
                    <w:tl2br w:val="nil"/>
                    <w:tr2bl w:val="nil"/>
                  </w:tcBorders>
                  <w:shd w:val="clear" w:color="auto" w:fill="auto"/>
                  <w:vAlign w:val="top"/>
                </w:tcPr>
                <w:p w14:paraId="08E82936">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56F6E84B">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66321D30">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7DE4E347">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2069FC78">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69CA7589">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08FA464F">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60342CFD">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2FEC4CA9">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324BC13E">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A3</w:t>
                  </w:r>
                  <w:r>
                    <w:rPr>
                      <w:rFonts w:hint="eastAsia" w:ascii="宋体" w:hAnsi="宋体" w:eastAsia="宋体" w:cs="宋体"/>
                      <w:color w:val="auto"/>
                      <w:spacing w:val="1"/>
                      <w:sz w:val="24"/>
                      <w:szCs w:val="24"/>
                    </w:rPr>
                    <w:t>环境风险防控</w:t>
                  </w:r>
                </w:p>
              </w:tc>
              <w:tc>
                <w:tcPr>
                  <w:tcW w:w="679" w:type="dxa"/>
                  <w:vMerge w:val="restart"/>
                  <w:tcBorders>
                    <w:tl2br w:val="nil"/>
                    <w:tr2bl w:val="nil"/>
                  </w:tcBorders>
                  <w:shd w:val="clear" w:color="auto" w:fill="auto"/>
                  <w:vAlign w:val="top"/>
                </w:tcPr>
                <w:p w14:paraId="08F0B2A3">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A3.1人</w:t>
                  </w:r>
                  <w:r>
                    <w:rPr>
                      <w:rFonts w:hint="eastAsia" w:ascii="宋体" w:hAnsi="宋体" w:eastAsia="宋体" w:cs="宋体"/>
                      <w:color w:val="auto"/>
                      <w:spacing w:val="6"/>
                      <w:sz w:val="24"/>
                      <w:szCs w:val="24"/>
                    </w:rPr>
                    <w:t>居环境</w:t>
                  </w:r>
                  <w:r>
                    <w:rPr>
                      <w:rFonts w:hint="eastAsia" w:ascii="宋体" w:hAnsi="宋体" w:eastAsia="宋体" w:cs="宋体"/>
                      <w:color w:val="auto"/>
                      <w:spacing w:val="4"/>
                      <w:sz w:val="24"/>
                      <w:szCs w:val="24"/>
                    </w:rPr>
                    <w:t>要求</w:t>
                  </w:r>
                </w:p>
              </w:tc>
              <w:tc>
                <w:tcPr>
                  <w:tcW w:w="3499" w:type="dxa"/>
                  <w:tcBorders>
                    <w:tl2br w:val="nil"/>
                    <w:tr2bl w:val="nil"/>
                  </w:tcBorders>
                  <w:shd w:val="clear" w:color="auto" w:fill="auto"/>
                  <w:vAlign w:val="top"/>
                </w:tcPr>
                <w:p w14:paraId="4CADF3FC">
                  <w:pPr>
                    <w:keepNext w:val="0"/>
                    <w:keepLines w:val="0"/>
                    <w:pageBreakBefore w:val="0"/>
                    <w:widowControl w:val="0"/>
                    <w:kinsoku/>
                    <w:wordWrap/>
                    <w:overflowPunct/>
                    <w:topLinePunct w:val="0"/>
                    <w:autoSpaceDE/>
                    <w:autoSpaceDN/>
                    <w:bidi w:val="0"/>
                    <w:adjustRightInd/>
                    <w:snapToGrid/>
                    <w:spacing w:before="38" w:line="360" w:lineRule="auto"/>
                    <w:ind w:left="31" w:leftChars="0" w:right="23" w:rightChars="0" w:hanging="6"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【A3.1-1】建立和完善重污染天气兵地联合应急预案、预报预警应急机制和会</w:t>
                  </w:r>
                  <w:r>
                    <w:rPr>
                      <w:rFonts w:hint="eastAsia" w:ascii="宋体" w:hAnsi="宋体" w:eastAsia="宋体" w:cs="宋体"/>
                      <w:color w:val="auto"/>
                      <w:spacing w:val="5"/>
                      <w:sz w:val="24"/>
                      <w:szCs w:val="24"/>
                    </w:rPr>
                    <w:t>商联动机制。“乌一昌一石”区域内可</w:t>
                  </w:r>
                  <w:r>
                    <w:rPr>
                      <w:rFonts w:hint="eastAsia" w:ascii="宋体" w:hAnsi="宋体" w:eastAsia="宋体" w:cs="宋体"/>
                      <w:color w:val="auto"/>
                      <w:spacing w:val="7"/>
                      <w:sz w:val="24"/>
                      <w:szCs w:val="24"/>
                    </w:rPr>
                    <w:t>能影响相邻行政区域大气环境的项目，</w:t>
                  </w:r>
                  <w:r>
                    <w:rPr>
                      <w:rFonts w:hint="eastAsia" w:ascii="宋体" w:hAnsi="宋体" w:eastAsia="宋体" w:cs="宋体"/>
                      <w:color w:val="auto"/>
                      <w:spacing w:val="8"/>
                      <w:sz w:val="24"/>
                      <w:szCs w:val="24"/>
                    </w:rPr>
                    <w:t>兵地间、城市间必须相互征求意见。</w:t>
                  </w:r>
                </w:p>
              </w:tc>
              <w:tc>
                <w:tcPr>
                  <w:tcW w:w="2061" w:type="dxa"/>
                  <w:tcBorders>
                    <w:tl2br w:val="nil"/>
                    <w:tr2bl w:val="nil"/>
                  </w:tcBorders>
                  <w:shd w:val="clear" w:color="auto" w:fill="auto"/>
                  <w:vAlign w:val="top"/>
                </w:tcPr>
                <w:p w14:paraId="3F3B5F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2384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C18DE74">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7DB39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11E13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258FFFE">
                  <w:pPr>
                    <w:keepNext w:val="0"/>
                    <w:keepLines w:val="0"/>
                    <w:pageBreakBefore w:val="0"/>
                    <w:widowControl w:val="0"/>
                    <w:kinsoku/>
                    <w:wordWrap/>
                    <w:overflowPunct/>
                    <w:topLinePunct w:val="0"/>
                    <w:autoSpaceDE/>
                    <w:autoSpaceDN/>
                    <w:bidi w:val="0"/>
                    <w:adjustRightInd/>
                    <w:snapToGrid/>
                    <w:spacing w:before="58"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11B2F29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495" w:type="dxa"/>
                  <w:vMerge w:val="restart"/>
                  <w:tcBorders>
                    <w:tl2br w:val="nil"/>
                    <w:tr2bl w:val="nil"/>
                  </w:tcBorders>
                </w:tcPr>
                <w:p w14:paraId="5DC84FF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201BC2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779886F6">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447F9DD8">
                  <w:pPr>
                    <w:keepNext w:val="0"/>
                    <w:keepLines w:val="0"/>
                    <w:pageBreakBefore w:val="0"/>
                    <w:widowControl w:val="0"/>
                    <w:kinsoku/>
                    <w:wordWrap/>
                    <w:overflowPunct/>
                    <w:topLinePunct w:val="0"/>
                    <w:autoSpaceDE/>
                    <w:autoSpaceDN/>
                    <w:bidi w:val="0"/>
                    <w:adjustRightInd/>
                    <w:snapToGrid/>
                    <w:spacing w:before="38" w:line="360" w:lineRule="auto"/>
                    <w:ind w:left="29" w:leftChars="0" w:right="23"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【A3.1-3】强化重污染天气监测预报预警能力，建立和完善重污染天气兵地联合应急预案、预警应急机制和会商联动</w:t>
                  </w:r>
                  <w:r>
                    <w:rPr>
                      <w:rFonts w:hint="eastAsia" w:ascii="宋体" w:hAnsi="宋体" w:eastAsia="宋体" w:cs="宋体"/>
                      <w:color w:val="auto"/>
                      <w:spacing w:val="8"/>
                      <w:sz w:val="24"/>
                      <w:szCs w:val="24"/>
                    </w:rPr>
                    <w:t>机制，加强轻、中度污染天气管控。</w:t>
                  </w:r>
                </w:p>
              </w:tc>
              <w:tc>
                <w:tcPr>
                  <w:tcW w:w="2061" w:type="dxa"/>
                  <w:tcBorders>
                    <w:tl2br w:val="nil"/>
                    <w:tr2bl w:val="nil"/>
                  </w:tcBorders>
                  <w:shd w:val="clear" w:color="auto" w:fill="auto"/>
                  <w:vAlign w:val="top"/>
                </w:tcPr>
                <w:p w14:paraId="690A62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2C5BD7F">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6FBF26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80E2B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79B4121">
                  <w:pPr>
                    <w:keepNext w:val="0"/>
                    <w:keepLines w:val="0"/>
                    <w:pageBreakBefore w:val="0"/>
                    <w:widowControl w:val="0"/>
                    <w:kinsoku/>
                    <w:wordWrap/>
                    <w:overflowPunct/>
                    <w:topLinePunct w:val="0"/>
                    <w:autoSpaceDE/>
                    <w:autoSpaceDN/>
                    <w:bidi w:val="0"/>
                    <w:adjustRightInd/>
                    <w:snapToGrid/>
                    <w:spacing w:before="57"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53A7657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75BEAFC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65353B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restart"/>
                  <w:tcBorders>
                    <w:tl2br w:val="nil"/>
                    <w:tr2bl w:val="nil"/>
                  </w:tcBorders>
                </w:tcPr>
                <w:p w14:paraId="6E7925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3247B78">
                  <w:pPr>
                    <w:keepNext w:val="0"/>
                    <w:keepLines w:val="0"/>
                    <w:pageBreakBefore w:val="0"/>
                    <w:widowControl w:val="0"/>
                    <w:kinsoku/>
                    <w:wordWrap/>
                    <w:overflowPunct/>
                    <w:topLinePunct w:val="0"/>
                    <w:autoSpaceDE/>
                    <w:autoSpaceDN/>
                    <w:bidi w:val="0"/>
                    <w:adjustRightInd/>
                    <w:snapToGrid/>
                    <w:spacing w:before="57" w:line="360" w:lineRule="auto"/>
                    <w:ind w:right="85" w:righ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A3.2</w:t>
                  </w:r>
                  <w:r>
                    <w:rPr>
                      <w:rFonts w:hint="eastAsia" w:ascii="宋体" w:hAnsi="宋体" w:eastAsia="宋体" w:cs="宋体"/>
                      <w:color w:val="auto"/>
                      <w:spacing w:val="7"/>
                      <w:sz w:val="24"/>
                      <w:szCs w:val="24"/>
                    </w:rPr>
                    <w:t>联防联控要求</w:t>
                  </w:r>
                </w:p>
              </w:tc>
              <w:tc>
                <w:tcPr>
                  <w:tcW w:w="3499" w:type="dxa"/>
                  <w:tcBorders>
                    <w:tl2br w:val="nil"/>
                    <w:tr2bl w:val="nil"/>
                  </w:tcBorders>
                  <w:shd w:val="clear" w:color="auto" w:fill="auto"/>
                  <w:vAlign w:val="top"/>
                </w:tcPr>
                <w:p w14:paraId="2191B734">
                  <w:pPr>
                    <w:keepNext w:val="0"/>
                    <w:keepLines w:val="0"/>
                    <w:pageBreakBefore w:val="0"/>
                    <w:widowControl w:val="0"/>
                    <w:kinsoku/>
                    <w:wordWrap/>
                    <w:overflowPunct/>
                    <w:topLinePunct w:val="0"/>
                    <w:autoSpaceDE/>
                    <w:autoSpaceDN/>
                    <w:bidi w:val="0"/>
                    <w:adjustRightInd/>
                    <w:snapToGrid/>
                    <w:spacing w:before="45" w:line="360" w:lineRule="auto"/>
                    <w:ind w:left="29" w:leftChars="0" w:right="23" w:rightChars="0" w:hanging="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【A3.2-2】依法推行农用地分类管理制</w:t>
                  </w:r>
                  <w:r>
                    <w:rPr>
                      <w:rFonts w:hint="eastAsia" w:ascii="宋体" w:hAnsi="宋体" w:eastAsia="宋体" w:cs="宋体"/>
                      <w:color w:val="auto"/>
                      <w:spacing w:val="7"/>
                      <w:sz w:val="24"/>
                      <w:szCs w:val="24"/>
                    </w:rPr>
                    <w:t>度，强化受污染耕地安全利用和风险管控。因地制宜制定实施安全利用方案，鼓励采取种植结构调整等措施，确保受</w:t>
                  </w:r>
                  <w:r>
                    <w:rPr>
                      <w:rFonts w:hint="eastAsia" w:ascii="宋体" w:hAnsi="宋体" w:eastAsia="宋体" w:cs="宋体"/>
                      <w:color w:val="auto"/>
                      <w:spacing w:val="8"/>
                      <w:sz w:val="24"/>
                      <w:szCs w:val="24"/>
                    </w:rPr>
                    <w:t>污染耕地全部实现安全利用。</w:t>
                  </w:r>
                </w:p>
              </w:tc>
              <w:tc>
                <w:tcPr>
                  <w:tcW w:w="2061" w:type="dxa"/>
                  <w:tcBorders>
                    <w:tl2br w:val="nil"/>
                    <w:tr2bl w:val="nil"/>
                  </w:tcBorders>
                  <w:shd w:val="clear" w:color="auto" w:fill="auto"/>
                  <w:vAlign w:val="top"/>
                </w:tcPr>
                <w:p w14:paraId="77E010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829DA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6EB3120">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1CEBEA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B7994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2710DF2">
                  <w:pPr>
                    <w:keepNext w:val="0"/>
                    <w:keepLines w:val="0"/>
                    <w:pageBreakBefore w:val="0"/>
                    <w:widowControl w:val="0"/>
                    <w:kinsoku/>
                    <w:wordWrap/>
                    <w:overflowPunct/>
                    <w:topLinePunct w:val="0"/>
                    <w:autoSpaceDE/>
                    <w:autoSpaceDN/>
                    <w:bidi w:val="0"/>
                    <w:adjustRightInd/>
                    <w:snapToGrid/>
                    <w:spacing w:before="65" w:line="360" w:lineRule="auto"/>
                    <w:ind w:left="235"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position w:val="-3"/>
                      <w:sz w:val="24"/>
                      <w:szCs w:val="24"/>
                    </w:rPr>
                    <w:t>—</w:t>
                  </w:r>
                </w:p>
              </w:tc>
            </w:tr>
            <w:tr w14:paraId="53580E9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5718BC2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39E83D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1EFA6220">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417BA9AD">
                  <w:pPr>
                    <w:keepNext w:val="0"/>
                    <w:keepLines w:val="0"/>
                    <w:pageBreakBefore w:val="0"/>
                    <w:widowControl w:val="0"/>
                    <w:kinsoku/>
                    <w:wordWrap/>
                    <w:overflowPunct/>
                    <w:topLinePunct w:val="0"/>
                    <w:autoSpaceDE/>
                    <w:autoSpaceDN/>
                    <w:bidi w:val="0"/>
                    <w:adjustRightInd/>
                    <w:snapToGrid/>
                    <w:spacing w:before="35" w:line="360" w:lineRule="auto"/>
                    <w:ind w:left="29" w:leftChars="0" w:right="23" w:rightChars="0" w:hanging="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【A3.2-3】加强新污染物多环境介质协</w:t>
                  </w:r>
                  <w:r>
                    <w:rPr>
                      <w:rFonts w:hint="eastAsia" w:ascii="宋体" w:hAnsi="宋体" w:eastAsia="宋体" w:cs="宋体"/>
                      <w:color w:val="auto"/>
                      <w:spacing w:val="7"/>
                      <w:sz w:val="24"/>
                      <w:szCs w:val="24"/>
                    </w:rPr>
                    <w:t>同治理。排放重点管控新污染物的企事业单位应采取污染控制措施，达到相关污染物排放标准及环境质量目标要求；按照排污许可管理有关要求，依法申领排污许可证或填写排污登记表，并在其</w:t>
                  </w:r>
                  <w:r>
                    <w:rPr>
                      <w:rFonts w:hint="eastAsia" w:ascii="宋体" w:hAnsi="宋体" w:eastAsia="宋体" w:cs="宋体"/>
                      <w:color w:val="auto"/>
                      <w:spacing w:val="20"/>
                      <w:sz w:val="24"/>
                      <w:szCs w:val="24"/>
                    </w:rPr>
                    <w:t>中载明执行的污染控制标准要求及采</w:t>
                  </w:r>
                  <w:r>
                    <w:rPr>
                      <w:rFonts w:hint="eastAsia" w:ascii="宋体" w:hAnsi="宋体" w:eastAsia="宋体" w:cs="宋体"/>
                      <w:color w:val="auto"/>
                      <w:spacing w:val="7"/>
                      <w:sz w:val="24"/>
                      <w:szCs w:val="24"/>
                    </w:rPr>
                    <w:t>取的污染控制措施。排放重点管控新污</w:t>
                  </w:r>
                  <w:r>
                    <w:rPr>
                      <w:rFonts w:hint="eastAsia" w:ascii="宋体" w:hAnsi="宋体" w:eastAsia="宋体" w:cs="宋体"/>
                      <w:color w:val="auto"/>
                      <w:spacing w:val="20"/>
                      <w:sz w:val="24"/>
                      <w:szCs w:val="24"/>
                    </w:rPr>
                    <w:t>染物的企事业单位和其他生产经营者</w:t>
                  </w:r>
                  <w:r>
                    <w:rPr>
                      <w:rFonts w:hint="eastAsia" w:ascii="宋体" w:hAnsi="宋体" w:eastAsia="宋体" w:cs="宋体"/>
                      <w:color w:val="auto"/>
                      <w:spacing w:val="10"/>
                      <w:sz w:val="24"/>
                      <w:szCs w:val="24"/>
                    </w:rPr>
                    <w:t>应按照相关法律法规要求，对排放</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污</w:t>
                  </w:r>
                  <w:r>
                    <w:rPr>
                      <w:rFonts w:hint="eastAsia" w:ascii="宋体" w:hAnsi="宋体" w:cs="宋体"/>
                      <w:color w:val="auto"/>
                      <w:spacing w:val="10"/>
                      <w:sz w:val="24"/>
                      <w:szCs w:val="24"/>
                      <w:lang w:eastAsia="zh-CN"/>
                    </w:rPr>
                    <w:t>）</w:t>
                  </w:r>
                  <w:r>
                    <w:rPr>
                      <w:rFonts w:hint="eastAsia" w:ascii="宋体" w:hAnsi="宋体" w:eastAsia="宋体" w:cs="宋体"/>
                      <w:color w:val="auto"/>
                      <w:spacing w:val="7"/>
                      <w:sz w:val="24"/>
                      <w:szCs w:val="24"/>
                    </w:rPr>
                    <w:t>口及其周边环境定期开展环境监测，评估环境风险，排查整治环境安全隐患，依法公开新污染物信息，采取措施防范环境风险。土壤污染重点监管单位应严格控制有毒有害物质排放，建立土壤污</w:t>
                  </w:r>
                  <w:r>
                    <w:rPr>
                      <w:rFonts w:hint="eastAsia" w:ascii="宋体" w:hAnsi="宋体" w:eastAsia="宋体" w:cs="宋体"/>
                      <w:color w:val="auto"/>
                      <w:spacing w:val="20"/>
                      <w:sz w:val="24"/>
                      <w:szCs w:val="24"/>
                    </w:rPr>
                    <w:t>染隐患排查制度防止有毒有害物质渗</w:t>
                  </w:r>
                  <w:r>
                    <w:rPr>
                      <w:rFonts w:hint="eastAsia" w:ascii="宋体" w:hAnsi="宋体" w:eastAsia="宋体" w:cs="宋体"/>
                      <w:color w:val="auto"/>
                      <w:spacing w:val="7"/>
                      <w:sz w:val="24"/>
                      <w:szCs w:val="24"/>
                    </w:rPr>
                    <w:t>漏、流失、扬散。</w:t>
                  </w:r>
                </w:p>
              </w:tc>
              <w:tc>
                <w:tcPr>
                  <w:tcW w:w="2061" w:type="dxa"/>
                  <w:tcBorders>
                    <w:tl2br w:val="nil"/>
                    <w:tr2bl w:val="nil"/>
                  </w:tcBorders>
                  <w:shd w:val="clear" w:color="auto" w:fill="auto"/>
                  <w:vAlign w:val="top"/>
                </w:tcPr>
                <w:p w14:paraId="2AEFDB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966DE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BDB54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F602C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14D14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BDDA3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1FE5498">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66B1F2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6AE83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50F46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8B1A2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E9925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B3D8C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0B4FD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CEF318D">
                  <w:pPr>
                    <w:keepNext w:val="0"/>
                    <w:keepLines w:val="0"/>
                    <w:pageBreakBefore w:val="0"/>
                    <w:widowControl w:val="0"/>
                    <w:kinsoku/>
                    <w:wordWrap/>
                    <w:overflowPunct/>
                    <w:topLinePunct w:val="0"/>
                    <w:autoSpaceDE/>
                    <w:autoSpaceDN/>
                    <w:bidi w:val="0"/>
                    <w:adjustRightInd/>
                    <w:snapToGrid/>
                    <w:spacing w:before="57"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164B11B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5" w:type="dxa"/>
                  <w:vMerge w:val="continue"/>
                  <w:tcBorders>
                    <w:tl2br w:val="nil"/>
                    <w:tr2bl w:val="nil"/>
                  </w:tcBorders>
                </w:tcPr>
                <w:p w14:paraId="251190E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restart"/>
                  <w:tcBorders>
                    <w:tl2br w:val="nil"/>
                    <w:tr2bl w:val="nil"/>
                  </w:tcBorders>
                  <w:shd w:val="clear" w:color="auto" w:fill="auto"/>
                  <w:vAlign w:val="top"/>
                </w:tcPr>
                <w:p w14:paraId="1D1364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3480387">
                  <w:pPr>
                    <w:keepNext w:val="0"/>
                    <w:keepLines w:val="0"/>
                    <w:pageBreakBefore w:val="0"/>
                    <w:widowControl w:val="0"/>
                    <w:kinsoku/>
                    <w:wordWrap/>
                    <w:overflowPunct/>
                    <w:topLinePunct w:val="0"/>
                    <w:autoSpaceDE/>
                    <w:autoSpaceDN/>
                    <w:bidi w:val="0"/>
                    <w:adjustRightInd/>
                    <w:snapToGrid/>
                    <w:spacing w:before="57" w:line="360" w:lineRule="auto"/>
                    <w:ind w:left="95" w:leftChars="0" w:right="76" w:rightChars="0" w:hanging="29"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A3</w:t>
                  </w:r>
                  <w:r>
                    <w:rPr>
                      <w:rFonts w:hint="eastAsia" w:ascii="宋体" w:hAnsi="宋体" w:eastAsia="宋体" w:cs="宋体"/>
                      <w:color w:val="auto"/>
                      <w:spacing w:val="1"/>
                      <w:sz w:val="24"/>
                      <w:szCs w:val="24"/>
                    </w:rPr>
                    <w:t>环境风险防控</w:t>
                  </w:r>
                </w:p>
              </w:tc>
              <w:tc>
                <w:tcPr>
                  <w:tcW w:w="679" w:type="dxa"/>
                  <w:vMerge w:val="continue"/>
                  <w:tcBorders>
                    <w:tl2br w:val="nil"/>
                    <w:tr2bl w:val="nil"/>
                  </w:tcBorders>
                  <w:shd w:val="clear" w:color="auto" w:fill="auto"/>
                  <w:vAlign w:val="top"/>
                </w:tcPr>
                <w:p w14:paraId="6FB9294C">
                  <w:pPr>
                    <w:keepNext w:val="0"/>
                    <w:keepLines w:val="0"/>
                    <w:pageBreakBefore w:val="0"/>
                    <w:widowControl w:val="0"/>
                    <w:kinsoku/>
                    <w:wordWrap/>
                    <w:overflowPunct/>
                    <w:topLinePunct w:val="0"/>
                    <w:autoSpaceDE/>
                    <w:autoSpaceDN/>
                    <w:bidi w:val="0"/>
                    <w:adjustRightInd/>
                    <w:snapToGrid/>
                    <w:spacing w:before="57" w:line="360" w:lineRule="auto"/>
                    <w:ind w:left="84" w:leftChars="0" w:right="85" w:rightChars="0" w:firstLine="102" w:firstLineChars="0"/>
                    <w:textAlignment w:val="auto"/>
                    <w:rPr>
                      <w:rFonts w:hint="eastAsia" w:ascii="宋体" w:hAnsi="宋体" w:eastAsia="宋体" w:cs="宋体"/>
                      <w:color w:val="auto"/>
                      <w:kern w:val="2"/>
                      <w:sz w:val="24"/>
                      <w:szCs w:val="24"/>
                      <w:lang w:val="en-US" w:eastAsia="zh-CN" w:bidi="ar-SA"/>
                    </w:rPr>
                  </w:pPr>
                </w:p>
              </w:tc>
              <w:tc>
                <w:tcPr>
                  <w:tcW w:w="3499" w:type="dxa"/>
                  <w:tcBorders>
                    <w:tl2br w:val="nil"/>
                    <w:tr2bl w:val="nil"/>
                  </w:tcBorders>
                  <w:shd w:val="clear" w:color="auto" w:fill="auto"/>
                  <w:vAlign w:val="top"/>
                </w:tcPr>
                <w:p w14:paraId="4397D72C">
                  <w:pPr>
                    <w:keepNext w:val="0"/>
                    <w:keepLines w:val="0"/>
                    <w:pageBreakBefore w:val="0"/>
                    <w:widowControl w:val="0"/>
                    <w:kinsoku/>
                    <w:wordWrap/>
                    <w:overflowPunct/>
                    <w:topLinePunct w:val="0"/>
                    <w:autoSpaceDE/>
                    <w:autoSpaceDN/>
                    <w:bidi w:val="0"/>
                    <w:adjustRightInd/>
                    <w:snapToGrid/>
                    <w:spacing w:before="34" w:line="360" w:lineRule="auto"/>
                    <w:ind w:left="30" w:leftChars="0" w:right="23" w:rightChars="0" w:hanging="5"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【A3.2-4】加强环境风险预警防控。加</w:t>
                  </w:r>
                  <w:r>
                    <w:rPr>
                      <w:rFonts w:hint="eastAsia" w:ascii="宋体" w:hAnsi="宋体" w:eastAsia="宋体" w:cs="宋体"/>
                      <w:color w:val="auto"/>
                      <w:spacing w:val="7"/>
                      <w:sz w:val="24"/>
                      <w:szCs w:val="24"/>
                    </w:rPr>
                    <w:t>强涉危险物企业、涉重金属企业、化工园区、集中式饮用水水源地及重点流域环境风险调查评估，实施分类分级风险管控，协同推进重点区域、流域生态环</w:t>
                  </w:r>
                  <w:r>
                    <w:rPr>
                      <w:rFonts w:hint="eastAsia" w:ascii="宋体" w:hAnsi="宋体" w:eastAsia="宋体" w:cs="宋体"/>
                      <w:color w:val="auto"/>
                      <w:spacing w:val="20"/>
                      <w:sz w:val="24"/>
                      <w:szCs w:val="24"/>
                    </w:rPr>
                    <w:t>境污染综合防治、风险防控与生态修</w:t>
                  </w:r>
                  <w:r>
                    <w:rPr>
                      <w:rFonts w:hint="eastAsia" w:ascii="宋体" w:hAnsi="宋体" w:eastAsia="宋体" w:cs="宋体"/>
                      <w:color w:val="auto"/>
                      <w:sz w:val="24"/>
                      <w:szCs w:val="24"/>
                    </w:rPr>
                    <w:t>复。</w:t>
                  </w:r>
                </w:p>
              </w:tc>
              <w:tc>
                <w:tcPr>
                  <w:tcW w:w="2061" w:type="dxa"/>
                  <w:tcBorders>
                    <w:tl2br w:val="nil"/>
                    <w:tr2bl w:val="nil"/>
                  </w:tcBorders>
                  <w:shd w:val="clear" w:color="auto" w:fill="auto"/>
                  <w:vAlign w:val="top"/>
                </w:tcPr>
                <w:p w14:paraId="3209E882">
                  <w:pPr>
                    <w:keepNext w:val="0"/>
                    <w:keepLines w:val="0"/>
                    <w:pageBreakBefore w:val="0"/>
                    <w:widowControl w:val="0"/>
                    <w:kinsoku/>
                    <w:wordWrap/>
                    <w:overflowPunct/>
                    <w:topLinePunct w:val="0"/>
                    <w:autoSpaceDE/>
                    <w:autoSpaceDN/>
                    <w:bidi w:val="0"/>
                    <w:adjustRightInd/>
                    <w:snapToGrid/>
                    <w:spacing w:before="65" w:line="360" w:lineRule="auto"/>
                    <w:ind w:left="36" w:leftChars="0" w:right="20" w:rightChars="0"/>
                    <w:jc w:val="center"/>
                    <w:textAlignment w:val="auto"/>
                    <w:rPr>
                      <w:rFonts w:hint="eastAsia" w:ascii="宋体" w:hAnsi="宋体" w:eastAsia="宋体" w:cs="宋体"/>
                      <w:color w:val="auto"/>
                      <w:spacing w:val="5"/>
                      <w:sz w:val="24"/>
                      <w:szCs w:val="24"/>
                      <w:lang w:val="en-US" w:eastAsia="zh-CN"/>
                    </w:rPr>
                  </w:pPr>
                </w:p>
                <w:p w14:paraId="7E66971A">
                  <w:pPr>
                    <w:keepNext w:val="0"/>
                    <w:keepLines w:val="0"/>
                    <w:pageBreakBefore w:val="0"/>
                    <w:widowControl w:val="0"/>
                    <w:kinsoku/>
                    <w:wordWrap/>
                    <w:overflowPunct/>
                    <w:topLinePunct w:val="0"/>
                    <w:autoSpaceDE/>
                    <w:autoSpaceDN/>
                    <w:bidi w:val="0"/>
                    <w:adjustRightInd/>
                    <w:snapToGrid/>
                    <w:spacing w:before="65" w:line="360" w:lineRule="auto"/>
                    <w:ind w:left="36" w:leftChars="0" w:right="20" w:rightChars="0"/>
                    <w:jc w:val="center"/>
                    <w:textAlignment w:val="auto"/>
                    <w:rPr>
                      <w:rFonts w:hint="eastAsia" w:ascii="宋体" w:hAnsi="宋体" w:eastAsia="宋体" w:cs="宋体"/>
                      <w:color w:val="auto"/>
                      <w:spacing w:val="5"/>
                      <w:sz w:val="24"/>
                      <w:szCs w:val="24"/>
                      <w:lang w:val="en-US" w:eastAsia="zh-CN"/>
                    </w:rPr>
                  </w:pPr>
                </w:p>
                <w:p w14:paraId="6F31C601">
                  <w:pPr>
                    <w:keepNext w:val="0"/>
                    <w:keepLines w:val="0"/>
                    <w:pageBreakBefore w:val="0"/>
                    <w:widowControl w:val="0"/>
                    <w:kinsoku/>
                    <w:wordWrap/>
                    <w:overflowPunct/>
                    <w:topLinePunct w:val="0"/>
                    <w:autoSpaceDE/>
                    <w:autoSpaceDN/>
                    <w:bidi w:val="0"/>
                    <w:adjustRightInd/>
                    <w:snapToGrid/>
                    <w:spacing w:before="65" w:line="360" w:lineRule="auto"/>
                    <w:ind w:left="36" w:leftChars="0" w:right="20" w:righ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lang w:val="en-US" w:eastAsia="zh-CN"/>
                    </w:rPr>
                    <w:t>不涉及</w:t>
                  </w:r>
                </w:p>
              </w:tc>
              <w:tc>
                <w:tcPr>
                  <w:tcW w:w="706" w:type="dxa"/>
                  <w:tcBorders>
                    <w:tl2br w:val="nil"/>
                    <w:tr2bl w:val="nil"/>
                  </w:tcBorders>
                  <w:shd w:val="clear" w:color="auto" w:fill="auto"/>
                  <w:vAlign w:val="top"/>
                </w:tcPr>
                <w:p w14:paraId="595966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44841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11AF2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1B918EB">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4E043F3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95" w:type="dxa"/>
                  <w:vMerge w:val="continue"/>
                  <w:tcBorders>
                    <w:tl2br w:val="nil"/>
                    <w:tr2bl w:val="nil"/>
                  </w:tcBorders>
                </w:tcPr>
                <w:p w14:paraId="1821077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788982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5DECBF5B">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5B442DA9">
                  <w:pPr>
                    <w:keepNext w:val="0"/>
                    <w:keepLines w:val="0"/>
                    <w:pageBreakBefore w:val="0"/>
                    <w:widowControl w:val="0"/>
                    <w:kinsoku/>
                    <w:wordWrap/>
                    <w:overflowPunct/>
                    <w:topLinePunct w:val="0"/>
                    <w:autoSpaceDE/>
                    <w:autoSpaceDN/>
                    <w:bidi w:val="0"/>
                    <w:adjustRightInd/>
                    <w:snapToGrid/>
                    <w:spacing w:before="28" w:line="360" w:lineRule="auto"/>
                    <w:ind w:left="28" w:leftChars="0" w:right="23" w:rightChars="0" w:hanging="3"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【A3.2-5】强化生态环境应急管理。实</w:t>
                  </w:r>
                  <w:r>
                    <w:rPr>
                      <w:rFonts w:hint="eastAsia" w:ascii="宋体" w:hAnsi="宋体" w:eastAsia="宋体" w:cs="宋体"/>
                      <w:color w:val="auto"/>
                      <w:spacing w:val="20"/>
                      <w:sz w:val="24"/>
                      <w:szCs w:val="24"/>
                    </w:rPr>
                    <w:t>施企业突发生态环境应急预案电子化</w:t>
                  </w:r>
                  <w:r>
                    <w:rPr>
                      <w:rFonts w:hint="eastAsia" w:ascii="宋体" w:hAnsi="宋体" w:eastAsia="宋体" w:cs="宋体"/>
                      <w:color w:val="auto"/>
                      <w:spacing w:val="7"/>
                      <w:sz w:val="24"/>
                      <w:szCs w:val="24"/>
                    </w:rPr>
                    <w:t>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w:t>
                  </w:r>
                  <w:r>
                    <w:rPr>
                      <w:rFonts w:hint="eastAsia" w:ascii="宋体" w:hAnsi="宋体" w:eastAsia="宋体" w:cs="宋体"/>
                      <w:color w:val="auto"/>
                      <w:spacing w:val="8"/>
                      <w:sz w:val="24"/>
                      <w:szCs w:val="24"/>
                    </w:rPr>
                    <w:t>开展应急演练，增强实战能力。</w:t>
                  </w:r>
                </w:p>
              </w:tc>
              <w:tc>
                <w:tcPr>
                  <w:tcW w:w="2061" w:type="dxa"/>
                  <w:tcBorders>
                    <w:tl2br w:val="nil"/>
                    <w:tr2bl w:val="nil"/>
                  </w:tcBorders>
                </w:tcPr>
                <w:p w14:paraId="0F81F77D">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spacing w:val="5"/>
                      <w:sz w:val="24"/>
                      <w:szCs w:val="24"/>
                    </w:rPr>
                  </w:pPr>
                </w:p>
                <w:p w14:paraId="759B18E3">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spacing w:val="5"/>
                      <w:sz w:val="24"/>
                      <w:szCs w:val="24"/>
                    </w:rPr>
                  </w:pPr>
                </w:p>
                <w:p w14:paraId="70576EF7">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spacing w:val="5"/>
                      <w:sz w:val="24"/>
                      <w:szCs w:val="24"/>
                    </w:rPr>
                  </w:pPr>
                </w:p>
                <w:p w14:paraId="0410374B">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spacing w:val="5"/>
                      <w:sz w:val="24"/>
                      <w:szCs w:val="24"/>
                    </w:rPr>
                  </w:pPr>
                </w:p>
                <w:p w14:paraId="4FF49EB5">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spacing w:val="5"/>
                      <w:sz w:val="24"/>
                      <w:szCs w:val="24"/>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1292F3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CE536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32473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9A108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3184033">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40E1181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restart"/>
                  <w:tcBorders>
                    <w:tl2br w:val="nil"/>
                    <w:tr2bl w:val="nil"/>
                  </w:tcBorders>
                </w:tcPr>
                <w:p w14:paraId="4647DF4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7B7BF3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68C1AC31">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6850CF55">
                  <w:pPr>
                    <w:keepNext w:val="0"/>
                    <w:keepLines w:val="0"/>
                    <w:pageBreakBefore w:val="0"/>
                    <w:widowControl w:val="0"/>
                    <w:kinsoku/>
                    <w:wordWrap/>
                    <w:overflowPunct/>
                    <w:topLinePunct w:val="0"/>
                    <w:autoSpaceDE/>
                    <w:autoSpaceDN/>
                    <w:bidi w:val="0"/>
                    <w:adjustRightInd/>
                    <w:snapToGrid/>
                    <w:spacing w:before="34" w:line="360" w:lineRule="auto"/>
                    <w:ind w:left="30" w:leftChars="0" w:right="22" w:rightChars="0" w:hanging="5"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【A3.2-6】强化兵地联防联控联治，落</w:t>
                  </w:r>
                  <w:r>
                    <w:rPr>
                      <w:rFonts w:hint="eastAsia" w:ascii="宋体" w:hAnsi="宋体" w:eastAsia="宋体" w:cs="宋体"/>
                      <w:color w:val="auto"/>
                      <w:spacing w:val="7"/>
                      <w:sz w:val="24"/>
                      <w:szCs w:val="24"/>
                    </w:rPr>
                    <w:t>实兵地统一规划、统一政策统一标准、统一要求、统一推进的防治管理措施，完善重大项目环境影响评价区域会商、重污染天气兵地联合应急联动机制。建</w:t>
                  </w:r>
                  <w:r>
                    <w:rPr>
                      <w:rFonts w:hint="eastAsia" w:ascii="宋体" w:hAnsi="宋体" w:eastAsia="宋体" w:cs="宋体"/>
                      <w:color w:val="auto"/>
                      <w:spacing w:val="20"/>
                      <w:sz w:val="24"/>
                      <w:szCs w:val="24"/>
                    </w:rPr>
                    <w:t>立兵地生态环境联合执法和联合监测</w:t>
                  </w:r>
                  <w:r>
                    <w:rPr>
                      <w:rFonts w:hint="eastAsia" w:ascii="宋体" w:hAnsi="宋体" w:eastAsia="宋体" w:cs="宋体"/>
                      <w:color w:val="auto"/>
                      <w:spacing w:val="5"/>
                      <w:sz w:val="24"/>
                      <w:szCs w:val="24"/>
                    </w:rPr>
                    <w:t>长效机制。</w:t>
                  </w:r>
                </w:p>
              </w:tc>
              <w:tc>
                <w:tcPr>
                  <w:tcW w:w="2061" w:type="dxa"/>
                  <w:tcBorders>
                    <w:tl2br w:val="nil"/>
                    <w:tr2bl w:val="nil"/>
                  </w:tcBorders>
                  <w:shd w:val="clear" w:color="auto" w:fill="auto"/>
                  <w:vAlign w:val="top"/>
                </w:tcPr>
                <w:p w14:paraId="5A7E93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9DB61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17B76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0A99ADE">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2742A2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CB63B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167B3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CC9F6C7">
                  <w:pPr>
                    <w:keepNext w:val="0"/>
                    <w:keepLines w:val="0"/>
                    <w:pageBreakBefore w:val="0"/>
                    <w:widowControl w:val="0"/>
                    <w:kinsoku/>
                    <w:wordWrap/>
                    <w:overflowPunct/>
                    <w:topLinePunct w:val="0"/>
                    <w:autoSpaceDE/>
                    <w:autoSpaceDN/>
                    <w:bidi w:val="0"/>
                    <w:adjustRightInd/>
                    <w:snapToGrid/>
                    <w:spacing w:before="57"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7786B7A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495" w:type="dxa"/>
                  <w:vMerge w:val="continue"/>
                  <w:tcBorders>
                    <w:tl2br w:val="nil"/>
                    <w:tr2bl w:val="nil"/>
                  </w:tcBorders>
                </w:tcPr>
                <w:p w14:paraId="456023D0">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restart"/>
                  <w:tcBorders>
                    <w:tl2br w:val="nil"/>
                    <w:tr2bl w:val="nil"/>
                  </w:tcBorders>
                  <w:shd w:val="clear" w:color="auto" w:fill="auto"/>
                  <w:vAlign w:val="top"/>
                </w:tcPr>
                <w:p w14:paraId="46CE3A67">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3BBD22AE">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7B97DF57">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09D78B21">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602AD42E">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7A68911A">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5F9396F4">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0AFAC9E5">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4B176CD7">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56604AB2">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06FD9488">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54B14DA7">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09A87758">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spacing w:val="4"/>
                      <w:sz w:val="24"/>
                      <w:szCs w:val="24"/>
                    </w:rPr>
                  </w:pPr>
                </w:p>
                <w:p w14:paraId="51FA25DB">
                  <w:pPr>
                    <w:keepNext w:val="0"/>
                    <w:keepLines w:val="0"/>
                    <w:pageBreakBefore w:val="0"/>
                    <w:widowControl w:val="0"/>
                    <w:kinsoku/>
                    <w:wordWrap/>
                    <w:overflowPunct/>
                    <w:topLinePunct w:val="0"/>
                    <w:autoSpaceDE/>
                    <w:autoSpaceDN/>
                    <w:bidi w:val="0"/>
                    <w:adjustRightInd/>
                    <w:snapToGrid/>
                    <w:spacing w:before="58" w:line="360" w:lineRule="auto"/>
                    <w:ind w:left="95" w:leftChars="0" w:right="76" w:rightChars="0" w:hanging="29"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A4</w:t>
                  </w:r>
                  <w:r>
                    <w:rPr>
                      <w:rFonts w:hint="eastAsia" w:ascii="宋体" w:hAnsi="宋体" w:eastAsia="宋体" w:cs="宋体"/>
                      <w:color w:val="auto"/>
                      <w:spacing w:val="1"/>
                      <w:sz w:val="24"/>
                      <w:szCs w:val="24"/>
                    </w:rPr>
                    <w:t>资源利用要求</w:t>
                  </w:r>
                </w:p>
              </w:tc>
              <w:tc>
                <w:tcPr>
                  <w:tcW w:w="679" w:type="dxa"/>
                  <w:vMerge w:val="restart"/>
                  <w:tcBorders>
                    <w:tl2br w:val="nil"/>
                    <w:tr2bl w:val="nil"/>
                  </w:tcBorders>
                  <w:shd w:val="clear" w:color="auto" w:fill="auto"/>
                  <w:vAlign w:val="top"/>
                </w:tcPr>
                <w:p w14:paraId="32EB9A4D">
                  <w:pPr>
                    <w:keepNext w:val="0"/>
                    <w:keepLines w:val="0"/>
                    <w:pageBreakBefore w:val="0"/>
                    <w:widowControl w:val="0"/>
                    <w:kinsoku/>
                    <w:wordWrap/>
                    <w:overflowPunct/>
                    <w:topLinePunct w:val="0"/>
                    <w:autoSpaceDE/>
                    <w:autoSpaceDN/>
                    <w:bidi w:val="0"/>
                    <w:adjustRightInd/>
                    <w:snapToGrid/>
                    <w:spacing w:before="57" w:line="360" w:lineRule="auto"/>
                    <w:ind w:left="-11" w:leftChars="0" w:right="-11" w:rightChars="0" w:firstLine="96"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A4.1</w:t>
                  </w:r>
                  <w:r>
                    <w:rPr>
                      <w:rFonts w:hint="eastAsia" w:ascii="宋体" w:hAnsi="宋体" w:eastAsia="宋体" w:cs="宋体"/>
                      <w:color w:val="auto"/>
                      <w:spacing w:val="6"/>
                      <w:sz w:val="24"/>
                      <w:szCs w:val="24"/>
                    </w:rPr>
                    <w:t>水资源</w:t>
                  </w:r>
                </w:p>
              </w:tc>
              <w:tc>
                <w:tcPr>
                  <w:tcW w:w="3499" w:type="dxa"/>
                  <w:tcBorders>
                    <w:tl2br w:val="nil"/>
                    <w:tr2bl w:val="nil"/>
                  </w:tcBorders>
                  <w:shd w:val="clear" w:color="auto" w:fill="auto"/>
                  <w:vAlign w:val="top"/>
                </w:tcPr>
                <w:p w14:paraId="0A461CD7">
                  <w:pPr>
                    <w:keepNext w:val="0"/>
                    <w:keepLines w:val="0"/>
                    <w:pageBreakBefore w:val="0"/>
                    <w:widowControl w:val="0"/>
                    <w:kinsoku/>
                    <w:wordWrap/>
                    <w:overflowPunct/>
                    <w:topLinePunct w:val="0"/>
                    <w:autoSpaceDE/>
                    <w:autoSpaceDN/>
                    <w:bidi w:val="0"/>
                    <w:adjustRightInd/>
                    <w:snapToGrid/>
                    <w:spacing w:before="65" w:line="360" w:lineRule="auto"/>
                    <w:ind w:left="26" w:leftChars="0" w:right="61" w:rightChars="0" w:hanging="1"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4"/>
                      <w:sz w:val="24"/>
                      <w:szCs w:val="24"/>
                    </w:rPr>
                    <w:t>【A4.1-1】自治区用水总量2025年、</w:t>
                  </w:r>
                  <w:r>
                    <w:rPr>
                      <w:rFonts w:hint="eastAsia" w:ascii="宋体" w:hAnsi="宋体" w:eastAsia="宋体" w:cs="宋体"/>
                      <w:color w:val="auto"/>
                      <w:spacing w:val="7"/>
                      <w:sz w:val="24"/>
                      <w:szCs w:val="24"/>
                    </w:rPr>
                    <w:t>2030年控制在国家下达的指标内。</w:t>
                  </w:r>
                </w:p>
              </w:tc>
              <w:tc>
                <w:tcPr>
                  <w:tcW w:w="2061" w:type="dxa"/>
                  <w:tcBorders>
                    <w:tl2br w:val="nil"/>
                    <w:tr2bl w:val="nil"/>
                  </w:tcBorders>
                  <w:shd w:val="clear" w:color="auto" w:fill="auto"/>
                  <w:vAlign w:val="top"/>
                </w:tcPr>
                <w:p w14:paraId="2ED677EB">
                  <w:pPr>
                    <w:keepNext w:val="0"/>
                    <w:keepLines w:val="0"/>
                    <w:pageBreakBefore w:val="0"/>
                    <w:widowControl w:val="0"/>
                    <w:kinsoku/>
                    <w:wordWrap/>
                    <w:overflowPunct/>
                    <w:topLinePunct w:val="0"/>
                    <w:autoSpaceDE/>
                    <w:autoSpaceDN/>
                    <w:bidi w:val="0"/>
                    <w:adjustRightInd/>
                    <w:snapToGrid/>
                    <w:spacing w:before="38" w:line="360" w:lineRule="auto"/>
                    <w:ind w:left="37"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本项目生产废水经配套污水处理站处理后进入下水管网，最终进入库尔勒金城洁净排水有限责任公司库尔勒市老城区污水处理厂深度处理后达标排放。</w:t>
                  </w:r>
                  <w:r>
                    <w:rPr>
                      <w:rFonts w:hint="eastAsia" w:ascii="宋体" w:hAnsi="宋体" w:eastAsia="宋体" w:cs="宋体"/>
                      <w:color w:val="auto"/>
                      <w:spacing w:val="24"/>
                      <w:sz w:val="24"/>
                      <w:szCs w:val="24"/>
                    </w:rPr>
                    <w:t>不会超过用水总量控</w:t>
                  </w:r>
                  <w:r>
                    <w:rPr>
                      <w:rFonts w:hint="eastAsia" w:ascii="宋体" w:hAnsi="宋体" w:eastAsia="宋体" w:cs="宋体"/>
                      <w:color w:val="auto"/>
                      <w:spacing w:val="6"/>
                      <w:sz w:val="24"/>
                      <w:szCs w:val="24"/>
                    </w:rPr>
                    <w:t>制指标</w:t>
                  </w:r>
                </w:p>
              </w:tc>
              <w:tc>
                <w:tcPr>
                  <w:tcW w:w="706" w:type="dxa"/>
                  <w:tcBorders>
                    <w:tl2br w:val="nil"/>
                    <w:tr2bl w:val="nil"/>
                  </w:tcBorders>
                  <w:shd w:val="clear" w:color="auto" w:fill="auto"/>
                  <w:vAlign w:val="top"/>
                </w:tcPr>
                <w:p w14:paraId="074821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B364389">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2DFB517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31F9473B">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1E4AA2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24E49500">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024B29CA">
                  <w:pPr>
                    <w:keepNext w:val="0"/>
                    <w:keepLines w:val="0"/>
                    <w:pageBreakBefore w:val="0"/>
                    <w:widowControl w:val="0"/>
                    <w:kinsoku/>
                    <w:wordWrap/>
                    <w:overflowPunct/>
                    <w:topLinePunct w:val="0"/>
                    <w:autoSpaceDE/>
                    <w:autoSpaceDN/>
                    <w:bidi w:val="0"/>
                    <w:adjustRightInd/>
                    <w:snapToGrid/>
                    <w:spacing w:before="41" w:line="360" w:lineRule="auto"/>
                    <w:ind w:left="32" w:right="23" w:hanging="7"/>
                    <w:textAlignment w:val="auto"/>
                    <w:rPr>
                      <w:rFonts w:hint="eastAsia" w:ascii="宋体" w:hAnsi="宋体" w:eastAsia="宋体" w:cs="宋体"/>
                      <w:color w:val="auto"/>
                      <w:sz w:val="24"/>
                      <w:szCs w:val="24"/>
                    </w:rPr>
                  </w:pPr>
                  <w:r>
                    <w:rPr>
                      <w:rFonts w:hint="eastAsia" w:ascii="宋体" w:hAnsi="宋体" w:eastAsia="宋体" w:cs="宋体"/>
                      <w:color w:val="auto"/>
                      <w:spacing w:val="7"/>
                      <w:sz w:val="24"/>
                      <w:szCs w:val="24"/>
                    </w:rPr>
                    <w:t>【A4.1-2】加大城镇污水再生利用工程建设力度，推进区域再生水循环利用，</w:t>
                  </w:r>
                  <w:r>
                    <w:rPr>
                      <w:rFonts w:hint="eastAsia" w:ascii="宋体" w:hAnsi="宋体" w:eastAsia="宋体" w:cs="宋体"/>
                      <w:color w:val="auto"/>
                      <w:spacing w:val="11"/>
                      <w:sz w:val="24"/>
                      <w:szCs w:val="24"/>
                    </w:rPr>
                    <w:t>到2025年，城市生活污水再生利用率</w:t>
                  </w:r>
                  <w:r>
                    <w:rPr>
                      <w:rFonts w:hint="eastAsia" w:ascii="宋体" w:hAnsi="宋体" w:eastAsia="宋体" w:cs="宋体"/>
                      <w:color w:val="auto"/>
                      <w:spacing w:val="4"/>
                      <w:sz w:val="24"/>
                      <w:szCs w:val="24"/>
                    </w:rPr>
                    <w:t>力争达到60%。</w:t>
                  </w:r>
                </w:p>
                <w:p w14:paraId="2FC61804">
                  <w:pPr>
                    <w:keepNext w:val="0"/>
                    <w:keepLines w:val="0"/>
                    <w:pageBreakBefore w:val="0"/>
                    <w:widowControl w:val="0"/>
                    <w:kinsoku/>
                    <w:wordWrap/>
                    <w:overflowPunct/>
                    <w:topLinePunct w:val="0"/>
                    <w:autoSpaceDE/>
                    <w:autoSpaceDN/>
                    <w:bidi w:val="0"/>
                    <w:adjustRightInd/>
                    <w:snapToGrid/>
                    <w:spacing w:before="27" w:line="360" w:lineRule="auto"/>
                    <w:ind w:left="29" w:leftChars="0" w:hanging="4"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【A4.1-3】加强农村水利基础设施建设，</w:t>
                  </w:r>
                  <w:r>
                    <w:rPr>
                      <w:rFonts w:hint="eastAsia" w:ascii="宋体" w:hAnsi="宋体" w:eastAsia="宋体" w:cs="宋体"/>
                      <w:color w:val="auto"/>
                      <w:spacing w:val="5"/>
                      <w:sz w:val="24"/>
                      <w:szCs w:val="24"/>
                    </w:rPr>
                    <w:t>推进农村供水保障工程，农村自来水普</w:t>
                  </w:r>
                  <w:r>
                    <w:rPr>
                      <w:rFonts w:hint="eastAsia" w:ascii="宋体" w:hAnsi="宋体" w:eastAsia="宋体" w:cs="宋体"/>
                      <w:color w:val="auto"/>
                      <w:spacing w:val="15"/>
                      <w:sz w:val="24"/>
                      <w:szCs w:val="24"/>
                    </w:rPr>
                    <w:t>及率、集中供水率分别达到99.3%、</w:t>
                  </w:r>
                  <w:r>
                    <w:rPr>
                      <w:rFonts w:hint="eastAsia" w:ascii="宋体" w:hAnsi="宋体" w:eastAsia="宋体" w:cs="宋体"/>
                      <w:color w:val="auto"/>
                      <w:spacing w:val="2"/>
                      <w:sz w:val="24"/>
                      <w:szCs w:val="24"/>
                    </w:rPr>
                    <w:t>99.7%。</w:t>
                  </w:r>
                </w:p>
              </w:tc>
              <w:tc>
                <w:tcPr>
                  <w:tcW w:w="2061" w:type="dxa"/>
                  <w:tcBorders>
                    <w:tl2br w:val="nil"/>
                    <w:tr2bl w:val="nil"/>
                  </w:tcBorders>
                  <w:shd w:val="clear" w:color="auto" w:fill="auto"/>
                  <w:vAlign w:val="top"/>
                </w:tcPr>
                <w:p w14:paraId="40B643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63D89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EDFBA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4C19E7B">
                  <w:pPr>
                    <w:keepNext w:val="0"/>
                    <w:keepLines w:val="0"/>
                    <w:pageBreakBefore w:val="0"/>
                    <w:widowControl w:val="0"/>
                    <w:kinsoku/>
                    <w:wordWrap/>
                    <w:overflowPunct/>
                    <w:topLinePunct w:val="0"/>
                    <w:autoSpaceDE/>
                    <w:autoSpaceDN/>
                    <w:bidi w:val="0"/>
                    <w:adjustRightInd/>
                    <w:snapToGrid/>
                    <w:spacing w:before="65" w:line="360" w:lineRule="auto"/>
                    <w:ind w:left="738"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5"/>
                      <w:sz w:val="24"/>
                      <w:szCs w:val="24"/>
                    </w:rPr>
                    <w:t>不涉及</w:t>
                  </w:r>
                </w:p>
              </w:tc>
              <w:tc>
                <w:tcPr>
                  <w:tcW w:w="706" w:type="dxa"/>
                  <w:tcBorders>
                    <w:tl2br w:val="nil"/>
                    <w:tr2bl w:val="nil"/>
                  </w:tcBorders>
                  <w:shd w:val="clear" w:color="auto" w:fill="auto"/>
                  <w:vAlign w:val="top"/>
                </w:tcPr>
                <w:p w14:paraId="5F8708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2207A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93A5D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85587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A10E3FA">
                  <w:pPr>
                    <w:keepNext w:val="0"/>
                    <w:keepLines w:val="0"/>
                    <w:pageBreakBefore w:val="0"/>
                    <w:widowControl w:val="0"/>
                    <w:kinsoku/>
                    <w:wordWrap/>
                    <w:overflowPunct/>
                    <w:topLinePunct w:val="0"/>
                    <w:autoSpaceDE/>
                    <w:autoSpaceDN/>
                    <w:bidi w:val="0"/>
                    <w:adjustRightInd/>
                    <w:snapToGrid/>
                    <w:spacing w:before="58" w:line="360" w:lineRule="auto"/>
                    <w:ind w:left="270"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position w:val="-2"/>
                      <w:sz w:val="24"/>
                      <w:szCs w:val="24"/>
                    </w:rPr>
                    <w:t>--</w:t>
                  </w:r>
                </w:p>
              </w:tc>
            </w:tr>
            <w:tr w14:paraId="45491E5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5" w:type="dxa"/>
                  <w:vMerge w:val="continue"/>
                  <w:tcBorders>
                    <w:tl2br w:val="nil"/>
                    <w:tr2bl w:val="nil"/>
                  </w:tcBorders>
                </w:tcPr>
                <w:p w14:paraId="03E7860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356EE3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7E20A732">
                  <w:pPr>
                    <w:keepNext w:val="0"/>
                    <w:keepLines w:val="0"/>
                    <w:pageBreakBefore w:val="0"/>
                    <w:widowControl w:val="0"/>
                    <w:kinsoku/>
                    <w:wordWrap/>
                    <w:overflowPunct/>
                    <w:topLinePunct w:val="0"/>
                    <w:autoSpaceDE/>
                    <w:autoSpaceDN/>
                    <w:bidi w:val="0"/>
                    <w:adjustRightInd/>
                    <w:snapToGrid/>
                    <w:spacing w:before="26" w:line="360" w:lineRule="auto"/>
                    <w:ind w:left="296" w:leftChars="0"/>
                    <w:textAlignment w:val="auto"/>
                    <w:rPr>
                      <w:rFonts w:hint="eastAsia" w:ascii="宋体" w:hAnsi="宋体" w:eastAsia="宋体" w:cs="宋体"/>
                      <w:color w:val="auto"/>
                      <w:sz w:val="24"/>
                      <w:szCs w:val="24"/>
                    </w:rPr>
                  </w:pPr>
                </w:p>
              </w:tc>
              <w:tc>
                <w:tcPr>
                  <w:tcW w:w="3499" w:type="dxa"/>
                  <w:tcBorders>
                    <w:tl2br w:val="nil"/>
                    <w:tr2bl w:val="nil"/>
                  </w:tcBorders>
                  <w:shd w:val="clear" w:color="auto" w:fill="auto"/>
                  <w:vAlign w:val="top"/>
                </w:tcPr>
                <w:p w14:paraId="0C7D3A0A">
                  <w:pPr>
                    <w:keepNext w:val="0"/>
                    <w:keepLines w:val="0"/>
                    <w:pageBreakBefore w:val="0"/>
                    <w:widowControl w:val="0"/>
                    <w:kinsoku/>
                    <w:wordWrap/>
                    <w:overflowPunct/>
                    <w:topLinePunct w:val="0"/>
                    <w:autoSpaceDE/>
                    <w:autoSpaceDN/>
                    <w:bidi w:val="0"/>
                    <w:adjustRightInd/>
                    <w:snapToGrid/>
                    <w:spacing w:before="43" w:line="360" w:lineRule="auto"/>
                    <w:ind w:left="31" w:leftChars="0" w:right="23" w:rightChars="0" w:hanging="6"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7"/>
                      <w:sz w:val="24"/>
                      <w:szCs w:val="24"/>
                    </w:rPr>
                    <w:t>【A4.1-3】地下水资源利用实行总量控制和水位控制。取用地下水资源，应当</w:t>
                  </w:r>
                  <w:r>
                    <w:rPr>
                      <w:rFonts w:hint="eastAsia" w:ascii="宋体" w:hAnsi="宋体" w:eastAsia="宋体" w:cs="宋体"/>
                      <w:color w:val="auto"/>
                      <w:spacing w:val="20"/>
                      <w:sz w:val="24"/>
                      <w:szCs w:val="24"/>
                    </w:rPr>
                    <w:t>按照国家和自治区有关规定申请取水</w:t>
                  </w:r>
                  <w:r>
                    <w:rPr>
                      <w:rFonts w:hint="eastAsia" w:ascii="宋体" w:hAnsi="宋体" w:eastAsia="宋体" w:cs="宋体"/>
                      <w:color w:val="auto"/>
                      <w:spacing w:val="7"/>
                      <w:sz w:val="24"/>
                      <w:szCs w:val="24"/>
                    </w:rPr>
                    <w:t>许可。地下水利用应当以浅层地下水为</w:t>
                  </w:r>
                  <w:r>
                    <w:rPr>
                      <w:rFonts w:hint="eastAsia" w:ascii="宋体" w:hAnsi="宋体" w:eastAsia="宋体" w:cs="宋体"/>
                      <w:color w:val="auto"/>
                      <w:sz w:val="24"/>
                      <w:szCs w:val="24"/>
                    </w:rPr>
                    <w:t>主。</w:t>
                  </w:r>
                </w:p>
              </w:tc>
              <w:tc>
                <w:tcPr>
                  <w:tcW w:w="2061" w:type="dxa"/>
                  <w:tcBorders>
                    <w:tl2br w:val="nil"/>
                    <w:tr2bl w:val="nil"/>
                  </w:tcBorders>
                  <w:shd w:val="clear" w:color="auto" w:fill="auto"/>
                  <w:vAlign w:val="top"/>
                </w:tcPr>
                <w:p w14:paraId="4D5D1FBF">
                  <w:pPr>
                    <w:keepNext w:val="0"/>
                    <w:keepLines w:val="0"/>
                    <w:pageBreakBefore w:val="0"/>
                    <w:widowControl w:val="0"/>
                    <w:kinsoku/>
                    <w:wordWrap/>
                    <w:overflowPunct/>
                    <w:topLinePunct w:val="0"/>
                    <w:autoSpaceDE/>
                    <w:autoSpaceDN/>
                    <w:bidi w:val="0"/>
                    <w:adjustRightInd/>
                    <w:snapToGrid/>
                    <w:spacing w:before="179" w:line="360" w:lineRule="auto"/>
                    <w:ind w:left="37"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本项目生产废水经配套污水处理站处理后进入下水管网，最终进入库尔勒金城洁净排水有限责任公司库尔勒市老城区污水处理厂深度处理后达标排放。</w:t>
                  </w:r>
                  <w:r>
                    <w:rPr>
                      <w:rFonts w:hint="eastAsia" w:ascii="宋体" w:hAnsi="宋体" w:eastAsia="宋体" w:cs="宋体"/>
                      <w:color w:val="auto"/>
                      <w:spacing w:val="24"/>
                      <w:sz w:val="24"/>
                      <w:szCs w:val="24"/>
                    </w:rPr>
                    <w:t>不会超过用水总量控</w:t>
                  </w:r>
                  <w:r>
                    <w:rPr>
                      <w:rFonts w:hint="eastAsia" w:ascii="宋体" w:hAnsi="宋体" w:eastAsia="宋体" w:cs="宋体"/>
                      <w:color w:val="auto"/>
                      <w:spacing w:val="6"/>
                      <w:sz w:val="24"/>
                      <w:szCs w:val="24"/>
                    </w:rPr>
                    <w:t>制指标</w:t>
                  </w:r>
                </w:p>
              </w:tc>
              <w:tc>
                <w:tcPr>
                  <w:tcW w:w="706" w:type="dxa"/>
                  <w:tcBorders>
                    <w:tl2br w:val="nil"/>
                    <w:tr2bl w:val="nil"/>
                  </w:tcBorders>
                  <w:shd w:val="clear" w:color="auto" w:fill="auto"/>
                  <w:vAlign w:val="top"/>
                </w:tcPr>
                <w:p w14:paraId="531AA4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F5150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4173D749">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0EB9321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495" w:type="dxa"/>
                  <w:vMerge w:val="continue"/>
                  <w:tcBorders>
                    <w:tl2br w:val="nil"/>
                    <w:tr2bl w:val="nil"/>
                  </w:tcBorders>
                </w:tcPr>
                <w:p w14:paraId="38DC84F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131563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tcBorders>
                    <w:tl2br w:val="nil"/>
                    <w:tr2bl w:val="nil"/>
                  </w:tcBorders>
                  <w:shd w:val="clear" w:color="auto" w:fill="auto"/>
                  <w:vAlign w:val="top"/>
                </w:tcPr>
                <w:p w14:paraId="55C1F4D3">
                  <w:pPr>
                    <w:keepNext w:val="0"/>
                    <w:keepLines w:val="0"/>
                    <w:pageBreakBefore w:val="0"/>
                    <w:widowControl w:val="0"/>
                    <w:kinsoku/>
                    <w:wordWrap/>
                    <w:overflowPunct/>
                    <w:topLinePunct w:val="0"/>
                    <w:autoSpaceDE/>
                    <w:autoSpaceDN/>
                    <w:bidi w:val="0"/>
                    <w:adjustRightInd/>
                    <w:snapToGrid/>
                    <w:spacing w:before="181" w:line="360" w:lineRule="auto"/>
                    <w:ind w:left="85" w:leftChars="0" w:right="63" w:rightChars="0" w:hanging="3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A4.2土</w:t>
                  </w:r>
                  <w:r>
                    <w:rPr>
                      <w:rFonts w:hint="eastAsia" w:ascii="宋体" w:hAnsi="宋体" w:eastAsia="宋体" w:cs="宋体"/>
                      <w:color w:val="auto"/>
                      <w:spacing w:val="6"/>
                      <w:sz w:val="24"/>
                      <w:szCs w:val="24"/>
                    </w:rPr>
                    <w:t>地资源</w:t>
                  </w:r>
                </w:p>
              </w:tc>
              <w:tc>
                <w:tcPr>
                  <w:tcW w:w="3499" w:type="dxa"/>
                  <w:tcBorders>
                    <w:tl2br w:val="nil"/>
                    <w:tr2bl w:val="nil"/>
                  </w:tcBorders>
                  <w:shd w:val="clear" w:color="auto" w:fill="auto"/>
                  <w:vAlign w:val="top"/>
                </w:tcPr>
                <w:p w14:paraId="780ABD24">
                  <w:pPr>
                    <w:keepNext w:val="0"/>
                    <w:keepLines w:val="0"/>
                    <w:pageBreakBefore w:val="0"/>
                    <w:widowControl w:val="0"/>
                    <w:kinsoku/>
                    <w:wordWrap/>
                    <w:overflowPunct/>
                    <w:topLinePunct w:val="0"/>
                    <w:autoSpaceDE/>
                    <w:autoSpaceDN/>
                    <w:bidi w:val="0"/>
                    <w:adjustRightInd/>
                    <w:snapToGrid/>
                    <w:spacing w:before="181" w:line="360" w:lineRule="auto"/>
                    <w:ind w:left="33" w:leftChars="0" w:right="23" w:rightChars="0" w:hanging="8"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【A4.2-1】土地资源上线指标控制在最终批复的国土空间规划控制指标内。</w:t>
                  </w:r>
                </w:p>
              </w:tc>
              <w:tc>
                <w:tcPr>
                  <w:tcW w:w="2061" w:type="dxa"/>
                  <w:tcBorders>
                    <w:tl2br w:val="nil"/>
                    <w:tr2bl w:val="nil"/>
                  </w:tcBorders>
                  <w:shd w:val="clear" w:color="auto" w:fill="auto"/>
                  <w:vAlign w:val="top"/>
                </w:tcPr>
                <w:p w14:paraId="21AD6DE7">
                  <w:pPr>
                    <w:keepNext w:val="0"/>
                    <w:keepLines w:val="0"/>
                    <w:pageBreakBefore w:val="0"/>
                    <w:widowControl w:val="0"/>
                    <w:kinsoku/>
                    <w:wordWrap/>
                    <w:overflowPunct/>
                    <w:topLinePunct w:val="0"/>
                    <w:autoSpaceDE/>
                    <w:autoSpaceDN/>
                    <w:bidi w:val="0"/>
                    <w:adjustRightInd/>
                    <w:snapToGrid/>
                    <w:spacing w:before="45" w:line="360" w:lineRule="auto"/>
                    <w:ind w:left="36" w:leftChars="0" w:right="20" w:rightChars="0" w:firstLine="3"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项目对土地资源占用</w:t>
                  </w:r>
                  <w:r>
                    <w:rPr>
                      <w:rFonts w:hint="eastAsia" w:ascii="宋体" w:hAnsi="宋体" w:eastAsia="宋体" w:cs="宋体"/>
                      <w:color w:val="auto"/>
                      <w:spacing w:val="1"/>
                      <w:sz w:val="24"/>
                      <w:szCs w:val="24"/>
                    </w:rPr>
                    <w:t>较少，土地资源消耗符</w:t>
                  </w:r>
                  <w:r>
                    <w:rPr>
                      <w:rFonts w:hint="eastAsia" w:ascii="宋体" w:hAnsi="宋体" w:eastAsia="宋体" w:cs="宋体"/>
                      <w:color w:val="auto"/>
                      <w:spacing w:val="6"/>
                      <w:sz w:val="24"/>
                      <w:szCs w:val="24"/>
                    </w:rPr>
                    <w:t>合要求</w:t>
                  </w:r>
                </w:p>
              </w:tc>
              <w:tc>
                <w:tcPr>
                  <w:tcW w:w="706" w:type="dxa"/>
                  <w:tcBorders>
                    <w:tl2br w:val="nil"/>
                    <w:tr2bl w:val="nil"/>
                  </w:tcBorders>
                  <w:shd w:val="clear" w:color="auto" w:fill="auto"/>
                  <w:vAlign w:val="top"/>
                </w:tcPr>
                <w:p w14:paraId="2F13CC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9674750">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0BF3930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6B73840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09944E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tcBorders>
                    <w:tl2br w:val="nil"/>
                    <w:tr2bl w:val="nil"/>
                  </w:tcBorders>
                  <w:shd w:val="clear" w:color="auto" w:fill="auto"/>
                  <w:vAlign w:val="top"/>
                </w:tcPr>
                <w:p w14:paraId="5A3BB8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p>
                <w:p w14:paraId="59CE34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p>
                <w:p w14:paraId="29ECBA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rPr>
                  </w:pPr>
                </w:p>
                <w:p w14:paraId="2429AE7A">
                  <w:pPr>
                    <w:keepNext w:val="0"/>
                    <w:keepLines w:val="0"/>
                    <w:pageBreakBefore w:val="0"/>
                    <w:widowControl w:val="0"/>
                    <w:kinsoku/>
                    <w:wordWrap/>
                    <w:overflowPunct/>
                    <w:topLinePunct w:val="0"/>
                    <w:autoSpaceDE/>
                    <w:autoSpaceDN/>
                    <w:bidi w:val="0"/>
                    <w:adjustRightInd/>
                    <w:snapToGrid/>
                    <w:spacing w:before="65" w:line="360" w:lineRule="auto"/>
                    <w:ind w:left="84" w:leftChars="0" w:right="63" w:rightChars="0" w:hanging="29"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A4.3能</w:t>
                  </w:r>
                  <w:r>
                    <w:rPr>
                      <w:rFonts w:hint="eastAsia" w:ascii="宋体" w:hAnsi="宋体" w:eastAsia="宋体" w:cs="宋体"/>
                      <w:color w:val="auto"/>
                      <w:spacing w:val="7"/>
                      <w:sz w:val="24"/>
                      <w:szCs w:val="24"/>
                    </w:rPr>
                    <w:t>源利用</w:t>
                  </w:r>
                </w:p>
              </w:tc>
              <w:tc>
                <w:tcPr>
                  <w:tcW w:w="3499" w:type="dxa"/>
                  <w:tcBorders>
                    <w:tl2br w:val="nil"/>
                    <w:tr2bl w:val="nil"/>
                  </w:tcBorders>
                  <w:shd w:val="clear" w:color="auto" w:fill="auto"/>
                  <w:vAlign w:val="top"/>
                </w:tcPr>
                <w:p w14:paraId="56D574F7">
                  <w:pPr>
                    <w:keepNext w:val="0"/>
                    <w:keepLines w:val="0"/>
                    <w:pageBreakBefore w:val="0"/>
                    <w:widowControl w:val="0"/>
                    <w:kinsoku/>
                    <w:wordWrap/>
                    <w:overflowPunct/>
                    <w:topLinePunct w:val="0"/>
                    <w:autoSpaceDE/>
                    <w:autoSpaceDN/>
                    <w:bidi w:val="0"/>
                    <w:adjustRightInd/>
                    <w:snapToGrid/>
                    <w:spacing w:before="47" w:line="360" w:lineRule="auto"/>
                    <w:ind w:left="30" w:right="23" w:hanging="5"/>
                    <w:textAlignment w:val="auto"/>
                    <w:rPr>
                      <w:rFonts w:hint="eastAsia" w:ascii="宋体" w:hAnsi="宋体" w:eastAsia="宋体" w:cs="宋体"/>
                      <w:color w:val="auto"/>
                      <w:sz w:val="24"/>
                      <w:szCs w:val="24"/>
                    </w:rPr>
                  </w:pPr>
                  <w:r>
                    <w:rPr>
                      <w:rFonts w:hint="eastAsia" w:ascii="宋体" w:hAnsi="宋体" w:eastAsia="宋体" w:cs="宋体"/>
                      <w:color w:val="auto"/>
                      <w:spacing w:val="8"/>
                      <w:sz w:val="24"/>
                      <w:szCs w:val="24"/>
                    </w:rPr>
                    <w:t>【A4.3-1】单位地区生产总值二氧化碳排放降低水平完成国家下达指标。</w:t>
                  </w:r>
                </w:p>
                <w:p w14:paraId="6C4F8938">
                  <w:pPr>
                    <w:keepNext w:val="0"/>
                    <w:keepLines w:val="0"/>
                    <w:pageBreakBefore w:val="0"/>
                    <w:widowControl w:val="0"/>
                    <w:kinsoku/>
                    <w:wordWrap/>
                    <w:overflowPunct/>
                    <w:topLinePunct w:val="0"/>
                    <w:autoSpaceDE/>
                    <w:autoSpaceDN/>
                    <w:bidi w:val="0"/>
                    <w:adjustRightInd/>
                    <w:snapToGrid/>
                    <w:spacing w:before="24" w:line="360" w:lineRule="auto"/>
                    <w:ind w:left="31" w:right="23" w:hanging="6"/>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rPr>
                    <w:t>【A4.3-2】到2025年，自治区万元国内</w:t>
                  </w:r>
                  <w:r>
                    <w:rPr>
                      <w:rFonts w:hint="eastAsia" w:ascii="宋体" w:hAnsi="宋体" w:eastAsia="宋体" w:cs="宋体"/>
                      <w:color w:val="auto"/>
                      <w:spacing w:val="5"/>
                      <w:sz w:val="24"/>
                      <w:szCs w:val="24"/>
                    </w:rPr>
                    <w:t>生产总值能耗比2020年下降14.5%。</w:t>
                  </w:r>
                </w:p>
                <w:p w14:paraId="5D3040C2">
                  <w:pPr>
                    <w:keepNext w:val="0"/>
                    <w:keepLines w:val="0"/>
                    <w:pageBreakBefore w:val="0"/>
                    <w:widowControl w:val="0"/>
                    <w:kinsoku/>
                    <w:wordWrap/>
                    <w:overflowPunct/>
                    <w:topLinePunct w:val="0"/>
                    <w:autoSpaceDE/>
                    <w:autoSpaceDN/>
                    <w:bidi w:val="0"/>
                    <w:adjustRightInd/>
                    <w:snapToGrid/>
                    <w:spacing w:before="25" w:line="360" w:lineRule="auto"/>
                    <w:ind w:left="35" w:leftChars="0" w:right="23" w:rightChars="0" w:hanging="10"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2"/>
                      <w:sz w:val="24"/>
                      <w:szCs w:val="24"/>
                    </w:rPr>
                    <w:t>【A4.3-3】到2025年，非化石能源占一</w:t>
                  </w:r>
                  <w:r>
                    <w:rPr>
                      <w:rFonts w:hint="eastAsia" w:ascii="宋体" w:hAnsi="宋体" w:eastAsia="宋体" w:cs="宋体"/>
                      <w:color w:val="auto"/>
                      <w:spacing w:val="5"/>
                      <w:sz w:val="24"/>
                      <w:szCs w:val="24"/>
                    </w:rPr>
                    <w:t>次能源消费比重达18%以上</w:t>
                  </w:r>
                </w:p>
              </w:tc>
              <w:tc>
                <w:tcPr>
                  <w:tcW w:w="2061" w:type="dxa"/>
                  <w:tcBorders>
                    <w:tl2br w:val="nil"/>
                    <w:tr2bl w:val="nil"/>
                  </w:tcBorders>
                  <w:shd w:val="clear" w:color="auto" w:fill="auto"/>
                  <w:vAlign w:val="top"/>
                </w:tcPr>
                <w:p w14:paraId="0ADEC0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46434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39326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28999B2">
                  <w:pPr>
                    <w:keepNext w:val="0"/>
                    <w:keepLines w:val="0"/>
                    <w:pageBreakBefore w:val="0"/>
                    <w:widowControl w:val="0"/>
                    <w:kinsoku/>
                    <w:wordWrap/>
                    <w:overflowPunct/>
                    <w:topLinePunct w:val="0"/>
                    <w:autoSpaceDE/>
                    <w:autoSpaceDN/>
                    <w:bidi w:val="0"/>
                    <w:adjustRightInd/>
                    <w:snapToGrid/>
                    <w:spacing w:before="65" w:line="360" w:lineRule="auto"/>
                    <w:ind w:left="36" w:leftChars="0" w:right="20" w:rightChars="0" w:firstLine="3" w:firstLine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lang w:val="en-US" w:eastAsia="zh-CN"/>
                    </w:rPr>
                    <w:t>不涉及</w:t>
                  </w:r>
                </w:p>
              </w:tc>
              <w:tc>
                <w:tcPr>
                  <w:tcW w:w="706" w:type="dxa"/>
                  <w:tcBorders>
                    <w:tl2br w:val="nil"/>
                    <w:tr2bl w:val="nil"/>
                  </w:tcBorders>
                  <w:shd w:val="clear" w:color="auto" w:fill="auto"/>
                  <w:vAlign w:val="top"/>
                </w:tcPr>
                <w:p w14:paraId="535B51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BAAFC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30B1B85">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091C619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495" w:type="dxa"/>
                  <w:vMerge w:val="continue"/>
                  <w:tcBorders>
                    <w:tl2br w:val="nil"/>
                    <w:tr2bl w:val="nil"/>
                  </w:tcBorders>
                </w:tcPr>
                <w:p w14:paraId="0C712FB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06D770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tcBorders>
                    <w:tl2br w:val="nil"/>
                    <w:tr2bl w:val="nil"/>
                  </w:tcBorders>
                </w:tcPr>
                <w:p w14:paraId="1905627E">
                  <w:pPr>
                    <w:keepNext w:val="0"/>
                    <w:keepLines w:val="0"/>
                    <w:pageBreakBefore w:val="0"/>
                    <w:widowControl w:val="0"/>
                    <w:kinsoku/>
                    <w:wordWrap/>
                    <w:overflowPunct/>
                    <w:topLinePunct w:val="0"/>
                    <w:autoSpaceDE/>
                    <w:autoSpaceDN/>
                    <w:bidi w:val="0"/>
                    <w:adjustRightInd/>
                    <w:snapToGrid/>
                    <w:spacing w:before="181" w:line="360" w:lineRule="auto"/>
                    <w:ind w:left="85" w:leftChars="0" w:right="63" w:rightChars="0" w:hanging="30" w:firstLineChars="0"/>
                    <w:textAlignment w:val="auto"/>
                    <w:rPr>
                      <w:rFonts w:hint="eastAsia" w:ascii="宋体" w:hAnsi="宋体" w:eastAsia="宋体" w:cs="宋体"/>
                      <w:color w:val="auto"/>
                      <w:spacing w:val="3"/>
                      <w:sz w:val="24"/>
                      <w:szCs w:val="24"/>
                    </w:rPr>
                  </w:pPr>
                </w:p>
              </w:tc>
              <w:tc>
                <w:tcPr>
                  <w:tcW w:w="3499" w:type="dxa"/>
                  <w:tcBorders>
                    <w:tl2br w:val="nil"/>
                    <w:tr2bl w:val="nil"/>
                  </w:tcBorders>
                  <w:shd w:val="clear" w:color="auto" w:fill="auto"/>
                  <w:vAlign w:val="top"/>
                </w:tcPr>
                <w:p w14:paraId="52A439DA">
                  <w:pPr>
                    <w:keepNext w:val="0"/>
                    <w:keepLines w:val="0"/>
                    <w:pageBreakBefore w:val="0"/>
                    <w:widowControl w:val="0"/>
                    <w:kinsoku/>
                    <w:wordWrap/>
                    <w:overflowPunct/>
                    <w:topLinePunct w:val="0"/>
                    <w:autoSpaceDE/>
                    <w:autoSpaceDN/>
                    <w:bidi w:val="0"/>
                    <w:adjustRightInd/>
                    <w:snapToGrid/>
                    <w:spacing w:before="34" w:line="360" w:lineRule="auto"/>
                    <w:ind w:left="31" w:leftChars="0" w:right="23" w:rightChars="0" w:hanging="6"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【A4.3-4】鼓励使用清洁能源或电厂热</w:t>
                  </w:r>
                  <w:r>
                    <w:rPr>
                      <w:rFonts w:hint="eastAsia" w:ascii="宋体" w:hAnsi="宋体" w:eastAsia="宋体" w:cs="宋体"/>
                      <w:color w:val="auto"/>
                      <w:spacing w:val="20"/>
                      <w:sz w:val="24"/>
                      <w:szCs w:val="24"/>
                    </w:rPr>
                    <w:t>力、工业余热等替代锅炉炉窑燃料用</w:t>
                  </w:r>
                  <w:r>
                    <w:rPr>
                      <w:rFonts w:hint="eastAsia" w:ascii="宋体" w:hAnsi="宋体" w:eastAsia="宋体" w:cs="宋体"/>
                      <w:color w:val="auto"/>
                      <w:sz w:val="24"/>
                      <w:szCs w:val="24"/>
                    </w:rPr>
                    <w:t>煤。</w:t>
                  </w:r>
                </w:p>
              </w:tc>
              <w:tc>
                <w:tcPr>
                  <w:tcW w:w="2061" w:type="dxa"/>
                  <w:tcBorders>
                    <w:tl2br w:val="nil"/>
                    <w:tr2bl w:val="nil"/>
                  </w:tcBorders>
                </w:tcPr>
                <w:p w14:paraId="42F9DF99">
                  <w:pPr>
                    <w:keepNext w:val="0"/>
                    <w:keepLines w:val="0"/>
                    <w:pageBreakBefore w:val="0"/>
                    <w:widowControl w:val="0"/>
                    <w:kinsoku/>
                    <w:wordWrap/>
                    <w:overflowPunct/>
                    <w:topLinePunct w:val="0"/>
                    <w:autoSpaceDE/>
                    <w:autoSpaceDN/>
                    <w:bidi w:val="0"/>
                    <w:adjustRightInd/>
                    <w:snapToGrid/>
                    <w:spacing w:before="45" w:line="360" w:lineRule="auto"/>
                    <w:ind w:left="36" w:leftChars="0" w:right="20" w:rightChars="0" w:firstLine="3" w:firstLineChars="0"/>
                    <w:jc w:val="both"/>
                    <w:textAlignment w:val="auto"/>
                    <w:rPr>
                      <w:rFonts w:hint="eastAsia" w:ascii="宋体" w:hAnsi="宋体" w:eastAsia="宋体" w:cs="宋体"/>
                      <w:color w:val="auto"/>
                      <w:spacing w:val="16"/>
                      <w:sz w:val="24"/>
                      <w:szCs w:val="24"/>
                      <w:lang w:val="en-US" w:eastAsia="zh-CN"/>
                    </w:rPr>
                  </w:pPr>
                  <w:r>
                    <w:rPr>
                      <w:rFonts w:hint="eastAsia" w:ascii="宋体" w:hAnsi="宋体" w:eastAsia="宋体" w:cs="宋体"/>
                      <w:color w:val="auto"/>
                      <w:spacing w:val="16"/>
                      <w:sz w:val="24"/>
                      <w:szCs w:val="24"/>
                      <w:lang w:val="en-US" w:eastAsia="zh-CN"/>
                    </w:rPr>
                    <w:t>本项目采用电锅炉进行</w:t>
                  </w:r>
                  <w:r>
                    <w:rPr>
                      <w:rFonts w:hint="eastAsia" w:ascii="宋体" w:hAnsi="宋体" w:cs="宋体"/>
                      <w:color w:val="auto"/>
                      <w:spacing w:val="16"/>
                      <w:sz w:val="24"/>
                      <w:szCs w:val="24"/>
                      <w:lang w:val="en-US" w:eastAsia="zh-CN"/>
                    </w:rPr>
                    <w:t>生产</w:t>
                  </w:r>
                  <w:r>
                    <w:rPr>
                      <w:rFonts w:hint="eastAsia" w:ascii="宋体" w:hAnsi="宋体" w:eastAsia="宋体" w:cs="宋体"/>
                      <w:color w:val="auto"/>
                      <w:spacing w:val="16"/>
                      <w:sz w:val="24"/>
                      <w:szCs w:val="24"/>
                      <w:lang w:val="en-US" w:eastAsia="zh-CN"/>
                    </w:rPr>
                    <w:t>供热</w:t>
                  </w:r>
                  <w:r>
                    <w:rPr>
                      <w:rFonts w:hint="eastAsia" w:ascii="宋体" w:hAnsi="宋体" w:cs="宋体"/>
                      <w:color w:val="auto"/>
                      <w:spacing w:val="16"/>
                      <w:sz w:val="24"/>
                      <w:szCs w:val="24"/>
                      <w:lang w:val="en-US" w:eastAsia="zh-CN"/>
                    </w:rPr>
                    <w:t>，供暖采用电采暖</w:t>
                  </w:r>
                  <w:r>
                    <w:rPr>
                      <w:rFonts w:hint="eastAsia" w:ascii="宋体" w:hAnsi="宋体" w:eastAsia="宋体" w:cs="宋体"/>
                      <w:color w:val="auto"/>
                      <w:spacing w:val="16"/>
                      <w:sz w:val="24"/>
                      <w:szCs w:val="24"/>
                      <w:lang w:val="en-US" w:eastAsia="zh-CN"/>
                    </w:rPr>
                    <w:t>。</w:t>
                  </w:r>
                </w:p>
              </w:tc>
              <w:tc>
                <w:tcPr>
                  <w:tcW w:w="706" w:type="dxa"/>
                  <w:tcBorders>
                    <w:tl2br w:val="nil"/>
                    <w:tr2bl w:val="nil"/>
                  </w:tcBorders>
                  <w:shd w:val="clear" w:color="auto" w:fill="auto"/>
                  <w:vAlign w:val="top"/>
                </w:tcPr>
                <w:p w14:paraId="39E74217">
                  <w:pPr>
                    <w:keepNext w:val="0"/>
                    <w:keepLines w:val="0"/>
                    <w:pageBreakBefore w:val="0"/>
                    <w:widowControl w:val="0"/>
                    <w:kinsoku/>
                    <w:wordWrap/>
                    <w:overflowPunct/>
                    <w:topLinePunct w:val="0"/>
                    <w:autoSpaceDE/>
                    <w:autoSpaceDN/>
                    <w:bidi w:val="0"/>
                    <w:adjustRightInd/>
                    <w:snapToGrid/>
                    <w:spacing w:before="304"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5CB9760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2786F63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66636E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tcBorders>
                    <w:tl2br w:val="nil"/>
                    <w:tr2bl w:val="nil"/>
                  </w:tcBorders>
                  <w:shd w:val="clear" w:color="auto" w:fill="auto"/>
                  <w:vAlign w:val="top"/>
                </w:tcPr>
                <w:p w14:paraId="2AA8F0A5">
                  <w:pPr>
                    <w:keepNext w:val="0"/>
                    <w:keepLines w:val="0"/>
                    <w:pageBreakBefore w:val="0"/>
                    <w:widowControl w:val="0"/>
                    <w:kinsoku/>
                    <w:wordWrap/>
                    <w:overflowPunct/>
                    <w:topLinePunct w:val="0"/>
                    <w:autoSpaceDE/>
                    <w:autoSpaceDN/>
                    <w:bidi w:val="0"/>
                    <w:adjustRightInd/>
                    <w:snapToGrid/>
                    <w:spacing w:before="170" w:line="360" w:lineRule="auto"/>
                    <w:ind w:left="55"/>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A4.4禁</w:t>
                  </w:r>
                  <w:r>
                    <w:rPr>
                      <w:rFonts w:hint="eastAsia" w:ascii="宋体" w:hAnsi="宋体" w:eastAsia="宋体" w:cs="宋体"/>
                      <w:color w:val="auto"/>
                      <w:spacing w:val="6"/>
                      <w:sz w:val="24"/>
                      <w:szCs w:val="24"/>
                    </w:rPr>
                    <w:t>燃区要</w:t>
                  </w:r>
                  <w:r>
                    <w:rPr>
                      <w:rFonts w:hint="eastAsia" w:ascii="宋体" w:hAnsi="宋体" w:eastAsia="宋体" w:cs="宋体"/>
                      <w:color w:val="auto"/>
                      <w:sz w:val="24"/>
                      <w:szCs w:val="24"/>
                    </w:rPr>
                    <w:t>求</w:t>
                  </w:r>
                </w:p>
              </w:tc>
              <w:tc>
                <w:tcPr>
                  <w:tcW w:w="3499" w:type="dxa"/>
                  <w:tcBorders>
                    <w:tl2br w:val="nil"/>
                    <w:tr2bl w:val="nil"/>
                  </w:tcBorders>
                  <w:shd w:val="clear" w:color="auto" w:fill="auto"/>
                  <w:vAlign w:val="top"/>
                </w:tcPr>
                <w:p w14:paraId="33601152">
                  <w:pPr>
                    <w:keepNext w:val="0"/>
                    <w:keepLines w:val="0"/>
                    <w:pageBreakBefore w:val="0"/>
                    <w:widowControl w:val="0"/>
                    <w:kinsoku/>
                    <w:wordWrap/>
                    <w:overflowPunct/>
                    <w:topLinePunct w:val="0"/>
                    <w:autoSpaceDE/>
                    <w:autoSpaceDN/>
                    <w:bidi w:val="0"/>
                    <w:adjustRightInd/>
                    <w:snapToGrid/>
                    <w:spacing w:before="34" w:line="360" w:lineRule="auto"/>
                    <w:ind w:left="31" w:leftChars="0" w:right="23" w:rightChars="0" w:hanging="6"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【A4.4-1】在禁燃区内，禁止销售、燃</w:t>
                  </w:r>
                  <w:r>
                    <w:rPr>
                      <w:rFonts w:hint="eastAsia" w:ascii="宋体" w:hAnsi="宋体" w:eastAsia="宋体" w:cs="宋体"/>
                      <w:color w:val="auto"/>
                      <w:spacing w:val="7"/>
                      <w:sz w:val="24"/>
                      <w:szCs w:val="24"/>
                    </w:rPr>
                    <w:t>用高污染燃料；禁止新建、扩建燃用高污染燃料的设施。已建成的，应当在规定期限内改用清洁能源。</w:t>
                  </w:r>
                </w:p>
              </w:tc>
              <w:tc>
                <w:tcPr>
                  <w:tcW w:w="2061" w:type="dxa"/>
                  <w:tcBorders>
                    <w:tl2br w:val="nil"/>
                    <w:tr2bl w:val="nil"/>
                  </w:tcBorders>
                  <w:shd w:val="clear" w:color="auto" w:fill="auto"/>
                  <w:vAlign w:val="top"/>
                </w:tcPr>
                <w:p w14:paraId="0D7953D5">
                  <w:pPr>
                    <w:keepNext w:val="0"/>
                    <w:keepLines w:val="0"/>
                    <w:pageBreakBefore w:val="0"/>
                    <w:widowControl w:val="0"/>
                    <w:kinsoku/>
                    <w:wordWrap/>
                    <w:overflowPunct/>
                    <w:topLinePunct w:val="0"/>
                    <w:autoSpaceDE/>
                    <w:autoSpaceDN/>
                    <w:bidi w:val="0"/>
                    <w:adjustRightInd/>
                    <w:snapToGrid/>
                    <w:spacing w:before="170" w:line="360" w:lineRule="auto"/>
                    <w:ind w:left="39" w:leftChars="0" w:right="20" w:rightChars="0" w:hanging="2"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6"/>
                      <w:sz w:val="24"/>
                      <w:szCs w:val="24"/>
                    </w:rPr>
                    <w:t>本项目不涉及煤炭的</w:t>
                  </w:r>
                  <w:r>
                    <w:rPr>
                      <w:rFonts w:hint="eastAsia" w:ascii="宋体" w:hAnsi="宋体" w:eastAsia="宋体" w:cs="宋体"/>
                      <w:color w:val="auto"/>
                      <w:spacing w:val="1"/>
                      <w:sz w:val="24"/>
                      <w:szCs w:val="24"/>
                    </w:rPr>
                    <w:t>消耗，不涉及燃用高污</w:t>
                  </w:r>
                  <w:r>
                    <w:rPr>
                      <w:rFonts w:hint="eastAsia" w:ascii="宋体" w:hAnsi="宋体" w:eastAsia="宋体" w:cs="宋体"/>
                      <w:color w:val="auto"/>
                      <w:spacing w:val="7"/>
                      <w:sz w:val="24"/>
                      <w:szCs w:val="24"/>
                    </w:rPr>
                    <w:t>染燃料的设施</w:t>
                  </w:r>
                </w:p>
              </w:tc>
              <w:tc>
                <w:tcPr>
                  <w:tcW w:w="706" w:type="dxa"/>
                  <w:tcBorders>
                    <w:tl2br w:val="nil"/>
                    <w:tr2bl w:val="nil"/>
                  </w:tcBorders>
                  <w:shd w:val="clear" w:color="auto" w:fill="auto"/>
                  <w:vAlign w:val="top"/>
                </w:tcPr>
                <w:p w14:paraId="7AEDE3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0E42C8D">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7F5B164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restart"/>
                  <w:tcBorders>
                    <w:tl2br w:val="nil"/>
                    <w:tr2bl w:val="nil"/>
                  </w:tcBorders>
                </w:tcPr>
                <w:p w14:paraId="6698C0C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7D6BBF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restart"/>
                  <w:tcBorders>
                    <w:tl2br w:val="nil"/>
                    <w:tr2bl w:val="nil"/>
                  </w:tcBorders>
                  <w:shd w:val="clear" w:color="auto" w:fill="auto"/>
                  <w:vAlign w:val="top"/>
                </w:tcPr>
                <w:p w14:paraId="40EC84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E157E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EEE98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D2FB2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46C76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1E1E2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97137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03178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15426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7483F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0C2BF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7BF21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D525B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FFE66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1858D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6C90A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A8C30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77E86C2">
                  <w:pPr>
                    <w:keepNext w:val="0"/>
                    <w:keepLines w:val="0"/>
                    <w:pageBreakBefore w:val="0"/>
                    <w:widowControl w:val="0"/>
                    <w:kinsoku/>
                    <w:wordWrap/>
                    <w:overflowPunct/>
                    <w:topLinePunct w:val="0"/>
                    <w:autoSpaceDE/>
                    <w:autoSpaceDN/>
                    <w:bidi w:val="0"/>
                    <w:adjustRightInd/>
                    <w:snapToGrid/>
                    <w:spacing w:before="65" w:line="360" w:lineRule="auto"/>
                    <w:ind w:left="55"/>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A4.5资</w:t>
                  </w:r>
                  <w:r>
                    <w:rPr>
                      <w:rFonts w:hint="eastAsia" w:ascii="宋体" w:hAnsi="宋体" w:eastAsia="宋体" w:cs="宋体"/>
                      <w:color w:val="auto"/>
                      <w:spacing w:val="7"/>
                      <w:sz w:val="24"/>
                      <w:szCs w:val="24"/>
                    </w:rPr>
                    <w:t>源综合</w:t>
                  </w:r>
                  <w:r>
                    <w:rPr>
                      <w:rFonts w:hint="eastAsia" w:ascii="宋体" w:hAnsi="宋体" w:eastAsia="宋体" w:cs="宋体"/>
                      <w:color w:val="auto"/>
                      <w:spacing w:val="4"/>
                      <w:sz w:val="24"/>
                      <w:szCs w:val="24"/>
                    </w:rPr>
                    <w:t>利用</w:t>
                  </w:r>
                </w:p>
              </w:tc>
              <w:tc>
                <w:tcPr>
                  <w:tcW w:w="3499" w:type="dxa"/>
                  <w:tcBorders>
                    <w:tl2br w:val="nil"/>
                    <w:tr2bl w:val="nil"/>
                  </w:tcBorders>
                  <w:shd w:val="clear" w:color="auto" w:fill="auto"/>
                  <w:vAlign w:val="top"/>
                </w:tcPr>
                <w:p w14:paraId="48D5D23B">
                  <w:pPr>
                    <w:keepNext w:val="0"/>
                    <w:keepLines w:val="0"/>
                    <w:pageBreakBefore w:val="0"/>
                    <w:widowControl w:val="0"/>
                    <w:kinsoku/>
                    <w:wordWrap/>
                    <w:overflowPunct/>
                    <w:topLinePunct w:val="0"/>
                    <w:autoSpaceDE/>
                    <w:autoSpaceDN/>
                    <w:bidi w:val="0"/>
                    <w:adjustRightInd/>
                    <w:snapToGrid/>
                    <w:spacing w:before="34" w:line="360" w:lineRule="auto"/>
                    <w:ind w:left="29" w:leftChars="0" w:right="22" w:righ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8"/>
                      <w:sz w:val="24"/>
                      <w:szCs w:val="24"/>
                    </w:rPr>
                    <w:t>【A4.5-1】加强固体废物源头减量、资</w:t>
                  </w:r>
                  <w:r>
                    <w:rPr>
                      <w:rFonts w:hint="eastAsia" w:ascii="宋体" w:hAnsi="宋体" w:eastAsia="宋体" w:cs="宋体"/>
                      <w:color w:val="auto"/>
                      <w:spacing w:val="7"/>
                      <w:sz w:val="24"/>
                      <w:szCs w:val="24"/>
                    </w:rPr>
                    <w:t>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w:t>
                  </w:r>
                  <w:r>
                    <w:rPr>
                      <w:rFonts w:hint="eastAsia" w:ascii="宋体" w:hAnsi="宋体" w:eastAsia="宋体" w:cs="宋体"/>
                      <w:color w:val="auto"/>
                      <w:spacing w:val="5"/>
                      <w:sz w:val="24"/>
                      <w:szCs w:val="24"/>
                    </w:rPr>
                    <w:t>企业“逆向回收”模式。以尾矿和共伴</w:t>
                  </w:r>
                  <w:r>
                    <w:rPr>
                      <w:rFonts w:hint="eastAsia" w:ascii="宋体" w:hAnsi="宋体" w:eastAsia="宋体" w:cs="宋体"/>
                      <w:color w:val="auto"/>
                      <w:spacing w:val="7"/>
                      <w:sz w:val="24"/>
                      <w:szCs w:val="24"/>
                    </w:rPr>
                    <w:t>生矿、煤矸石、炉渣、粉煤灰、脱硫石膏、冶炼渣、建筑垃圾等为重点，持续</w:t>
                  </w:r>
                  <w:r>
                    <w:rPr>
                      <w:rFonts w:hint="eastAsia" w:ascii="宋体" w:hAnsi="宋体" w:eastAsia="宋体" w:cs="宋体"/>
                      <w:color w:val="auto"/>
                      <w:spacing w:val="20"/>
                      <w:sz w:val="24"/>
                      <w:szCs w:val="24"/>
                    </w:rPr>
                    <w:t>推进固体废物综合利用和环境整治不</w:t>
                  </w:r>
                  <w:r>
                    <w:rPr>
                      <w:rFonts w:hint="eastAsia" w:ascii="宋体" w:hAnsi="宋体" w:eastAsia="宋体" w:cs="宋体"/>
                      <w:color w:val="auto"/>
                      <w:spacing w:val="7"/>
                      <w:sz w:val="24"/>
                      <w:szCs w:val="24"/>
                    </w:rPr>
                    <w:t>断提高大宗固体废物资源化利用水平。</w:t>
                  </w:r>
                  <w:r>
                    <w:rPr>
                      <w:rFonts w:hint="eastAsia" w:ascii="宋体" w:hAnsi="宋体" w:eastAsia="宋体" w:cs="宋体"/>
                      <w:color w:val="auto"/>
                      <w:spacing w:val="10"/>
                      <w:sz w:val="24"/>
                      <w:szCs w:val="24"/>
                    </w:rPr>
                    <w:t>推行生活垃圾分类，加快建设县</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市</w:t>
                  </w:r>
                  <w:r>
                    <w:rPr>
                      <w:rFonts w:hint="eastAsia" w:ascii="宋体" w:hAnsi="宋体" w:cs="宋体"/>
                      <w:color w:val="auto"/>
                      <w:spacing w:val="10"/>
                      <w:sz w:val="24"/>
                      <w:szCs w:val="24"/>
                      <w:lang w:eastAsia="zh-CN"/>
                    </w:rPr>
                    <w:t>）</w:t>
                  </w:r>
                  <w:r>
                    <w:rPr>
                      <w:rFonts w:hint="eastAsia" w:ascii="宋体" w:hAnsi="宋体" w:eastAsia="宋体" w:cs="宋体"/>
                      <w:color w:val="auto"/>
                      <w:spacing w:val="10"/>
                      <w:sz w:val="24"/>
                      <w:szCs w:val="24"/>
                    </w:rPr>
                    <w:t>生活垃圾处理设施，到2025年，全疆城</w:t>
                  </w:r>
                  <w:r>
                    <w:rPr>
                      <w:rFonts w:hint="eastAsia" w:ascii="宋体" w:hAnsi="宋体" w:eastAsia="宋体" w:cs="宋体"/>
                      <w:color w:val="auto"/>
                      <w:spacing w:val="16"/>
                      <w:sz w:val="24"/>
                      <w:szCs w:val="24"/>
                    </w:rPr>
                    <w:t>市生活垃圾无害化处理率达到99%以</w:t>
                  </w:r>
                  <w:r>
                    <w:rPr>
                      <w:rFonts w:hint="eastAsia" w:ascii="宋体" w:hAnsi="宋体" w:eastAsia="宋体" w:cs="宋体"/>
                      <w:color w:val="auto"/>
                      <w:sz w:val="24"/>
                      <w:szCs w:val="24"/>
                    </w:rPr>
                    <w:t>上。</w:t>
                  </w:r>
                </w:p>
              </w:tc>
              <w:tc>
                <w:tcPr>
                  <w:tcW w:w="2061" w:type="dxa"/>
                  <w:vMerge w:val="restart"/>
                  <w:tcBorders>
                    <w:tl2br w:val="nil"/>
                    <w:tr2bl w:val="nil"/>
                  </w:tcBorders>
                  <w:shd w:val="clear" w:color="auto" w:fill="auto"/>
                  <w:vAlign w:val="top"/>
                </w:tcPr>
                <w:p w14:paraId="75D579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12C73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9FAF2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D9DC4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C776E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ACFF4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CBCAE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E54A5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DF2B6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158E4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D661B35">
                  <w:pPr>
                    <w:keepNext w:val="0"/>
                    <w:keepLines w:val="0"/>
                    <w:pageBreakBefore w:val="0"/>
                    <w:widowControl w:val="0"/>
                    <w:kinsoku/>
                    <w:wordWrap/>
                    <w:overflowPunct/>
                    <w:topLinePunct w:val="0"/>
                    <w:autoSpaceDE/>
                    <w:autoSpaceDN/>
                    <w:bidi w:val="0"/>
                    <w:adjustRightInd/>
                    <w:snapToGrid/>
                    <w:spacing w:before="65" w:line="360" w:lineRule="auto"/>
                    <w:ind w:left="36" w:left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一般工业固体废物均合理处置，不合格产品、过期产品、隔油池油污、豆渣、生牛乳废渣分别收集后外售给肥料厂制造肥料；职工生活垃圾和废卤渣收集后交由环卫部门处置；废包装材料收集后外售给废品回收站；软水制备的废RO膜更换时由厂家回收；废活性炭集中收集后暂存于危废贮存间定期交由有危废处置资质的单位处置；污水处理站污泥一部分用作活性污泥参与好氧系统培养活性菌，剩余部分脱水后拉运至垃圾填埋场填埋，均能够妥善处理。</w:t>
                  </w:r>
                </w:p>
              </w:tc>
              <w:tc>
                <w:tcPr>
                  <w:tcW w:w="706" w:type="dxa"/>
                  <w:tcBorders>
                    <w:tl2br w:val="nil"/>
                    <w:tr2bl w:val="nil"/>
                  </w:tcBorders>
                  <w:shd w:val="clear" w:color="auto" w:fill="auto"/>
                  <w:vAlign w:val="top"/>
                </w:tcPr>
                <w:p w14:paraId="6087B0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50F3B3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70FC1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8981B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F3096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1FF67F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F2C67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682250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0F2CA008">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45BC9F4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495" w:type="dxa"/>
                  <w:vMerge w:val="continue"/>
                  <w:tcBorders>
                    <w:tl2br w:val="nil"/>
                    <w:tr2bl w:val="nil"/>
                  </w:tcBorders>
                </w:tcPr>
                <w:p w14:paraId="069D4B8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335B95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78B72463">
                  <w:pPr>
                    <w:keepNext w:val="0"/>
                    <w:keepLines w:val="0"/>
                    <w:pageBreakBefore w:val="0"/>
                    <w:widowControl w:val="0"/>
                    <w:kinsoku/>
                    <w:wordWrap/>
                    <w:overflowPunct/>
                    <w:topLinePunct w:val="0"/>
                    <w:autoSpaceDE/>
                    <w:autoSpaceDN/>
                    <w:bidi w:val="0"/>
                    <w:adjustRightInd/>
                    <w:snapToGrid/>
                    <w:spacing w:before="181" w:line="360" w:lineRule="auto"/>
                    <w:ind w:left="85" w:leftChars="0" w:right="63" w:rightChars="0" w:hanging="30" w:firstLineChars="0"/>
                    <w:textAlignment w:val="auto"/>
                    <w:rPr>
                      <w:rFonts w:hint="eastAsia" w:ascii="宋体" w:hAnsi="宋体" w:eastAsia="宋体" w:cs="宋体"/>
                      <w:color w:val="auto"/>
                      <w:spacing w:val="3"/>
                      <w:sz w:val="24"/>
                      <w:szCs w:val="24"/>
                    </w:rPr>
                  </w:pPr>
                </w:p>
              </w:tc>
              <w:tc>
                <w:tcPr>
                  <w:tcW w:w="3499" w:type="dxa"/>
                  <w:tcBorders>
                    <w:tl2br w:val="nil"/>
                    <w:tr2bl w:val="nil"/>
                  </w:tcBorders>
                  <w:shd w:val="clear" w:color="auto" w:fill="auto"/>
                  <w:vAlign w:val="top"/>
                </w:tcPr>
                <w:p w14:paraId="3DAFBE86">
                  <w:pPr>
                    <w:keepNext w:val="0"/>
                    <w:keepLines w:val="0"/>
                    <w:pageBreakBefore w:val="0"/>
                    <w:widowControl w:val="0"/>
                    <w:kinsoku/>
                    <w:wordWrap/>
                    <w:overflowPunct/>
                    <w:topLinePunct w:val="0"/>
                    <w:autoSpaceDE/>
                    <w:autoSpaceDN/>
                    <w:bidi w:val="0"/>
                    <w:adjustRightInd/>
                    <w:snapToGrid/>
                    <w:spacing w:before="43" w:line="360" w:lineRule="auto"/>
                    <w:ind w:left="29" w:lef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6"/>
                      <w:sz w:val="24"/>
                      <w:szCs w:val="24"/>
                    </w:rPr>
                    <w:t>【A4.5-2】推动工业固废按元素价值综</w:t>
                  </w:r>
                  <w:r>
                    <w:rPr>
                      <w:rFonts w:hint="eastAsia" w:ascii="宋体" w:hAnsi="宋体" w:eastAsia="宋体" w:cs="宋体"/>
                      <w:color w:val="auto"/>
                      <w:sz w:val="24"/>
                      <w:szCs w:val="24"/>
                    </w:rPr>
                    <w:t>合开发利用，加快推进尾矿</w:t>
                  </w:r>
                  <w:r>
                    <w:rPr>
                      <w:rFonts w:hint="eastAsia" w:ascii="宋体" w:hAnsi="宋体" w:cs="宋体"/>
                      <w:color w:val="auto"/>
                      <w:sz w:val="24"/>
                      <w:szCs w:val="24"/>
                      <w:lang w:eastAsia="zh-CN"/>
                    </w:rPr>
                    <w:t>（</w:t>
                  </w:r>
                  <w:r>
                    <w:rPr>
                      <w:rFonts w:hint="eastAsia" w:ascii="宋体" w:hAnsi="宋体" w:eastAsia="宋体" w:cs="宋体"/>
                      <w:color w:val="auto"/>
                      <w:sz w:val="24"/>
                      <w:szCs w:val="24"/>
                    </w:rPr>
                    <w:t>共伴生矿</w:t>
                  </w:r>
                  <w:r>
                    <w:rPr>
                      <w:rFonts w:hint="eastAsia" w:ascii="宋体" w:hAnsi="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pacing w:val="4"/>
                      <w:sz w:val="24"/>
                      <w:szCs w:val="24"/>
                    </w:rPr>
                    <w:t>粉煤灰、煤矸石、冶炼渣、工业副产石膏、赤泥、化工废渣等工业固废在有价</w:t>
                  </w:r>
                  <w:r>
                    <w:rPr>
                      <w:rFonts w:hint="eastAsia" w:ascii="宋体" w:hAnsi="宋体" w:eastAsia="宋体" w:cs="宋体"/>
                      <w:color w:val="auto"/>
                      <w:spacing w:val="7"/>
                      <w:sz w:val="24"/>
                      <w:szCs w:val="24"/>
                    </w:rPr>
                    <w:t>组分提取、建材生产、市政设施建设、</w:t>
                  </w:r>
                  <w:r>
                    <w:rPr>
                      <w:rFonts w:hint="eastAsia" w:ascii="宋体" w:hAnsi="宋体" w:eastAsia="宋体" w:cs="宋体"/>
                      <w:color w:val="auto"/>
                      <w:spacing w:val="4"/>
                      <w:sz w:val="24"/>
                      <w:szCs w:val="24"/>
                    </w:rPr>
                    <w:t>井下充填、生态修复、土壤治理等领域的规模化利用。着力提升工业固废在生</w:t>
                  </w:r>
                  <w:r>
                    <w:rPr>
                      <w:rFonts w:hint="eastAsia" w:ascii="宋体" w:hAnsi="宋体" w:eastAsia="宋体" w:cs="宋体"/>
                      <w:color w:val="auto"/>
                      <w:spacing w:val="7"/>
                      <w:sz w:val="24"/>
                      <w:szCs w:val="24"/>
                    </w:rPr>
                    <w:t>产纤维材料、微晶玻璃、超细化填料、</w:t>
                  </w:r>
                  <w:r>
                    <w:rPr>
                      <w:rFonts w:hint="eastAsia" w:ascii="宋体" w:hAnsi="宋体" w:eastAsia="宋体" w:cs="宋体"/>
                      <w:color w:val="auto"/>
                      <w:spacing w:val="4"/>
                      <w:sz w:val="24"/>
                      <w:szCs w:val="24"/>
                    </w:rPr>
                    <w:t>低碳水泥、固废基高性能混凝土、预制件、节能型建筑材料等领域的高值化利</w:t>
                  </w:r>
                  <w:r>
                    <w:rPr>
                      <w:rFonts w:hint="eastAsia" w:ascii="宋体" w:hAnsi="宋体" w:eastAsia="宋体" w:cs="宋体"/>
                      <w:color w:val="auto"/>
                      <w:spacing w:val="3"/>
                      <w:sz w:val="24"/>
                      <w:szCs w:val="24"/>
                    </w:rPr>
                    <w:t>用水平。</w:t>
                  </w:r>
                </w:p>
              </w:tc>
              <w:tc>
                <w:tcPr>
                  <w:tcW w:w="2061" w:type="dxa"/>
                  <w:vMerge w:val="continue"/>
                  <w:tcBorders>
                    <w:tl2br w:val="nil"/>
                    <w:tr2bl w:val="nil"/>
                  </w:tcBorders>
                </w:tcPr>
                <w:p w14:paraId="7F5E47E8">
                  <w:pPr>
                    <w:keepNext w:val="0"/>
                    <w:keepLines w:val="0"/>
                    <w:pageBreakBefore w:val="0"/>
                    <w:widowControl w:val="0"/>
                    <w:kinsoku/>
                    <w:wordWrap/>
                    <w:overflowPunct/>
                    <w:topLinePunct w:val="0"/>
                    <w:autoSpaceDE/>
                    <w:autoSpaceDN/>
                    <w:bidi w:val="0"/>
                    <w:adjustRightInd/>
                    <w:snapToGrid/>
                    <w:spacing w:before="45" w:line="360" w:lineRule="auto"/>
                    <w:ind w:left="36" w:leftChars="0" w:right="20" w:rightChars="0" w:firstLine="3" w:firstLineChars="0"/>
                    <w:jc w:val="both"/>
                    <w:textAlignment w:val="auto"/>
                    <w:rPr>
                      <w:rFonts w:hint="eastAsia" w:ascii="宋体" w:hAnsi="宋体" w:eastAsia="宋体" w:cs="宋体"/>
                      <w:color w:val="auto"/>
                      <w:spacing w:val="16"/>
                      <w:sz w:val="24"/>
                      <w:szCs w:val="24"/>
                    </w:rPr>
                  </w:pPr>
                </w:p>
              </w:tc>
              <w:tc>
                <w:tcPr>
                  <w:tcW w:w="706" w:type="dxa"/>
                  <w:tcBorders>
                    <w:tl2br w:val="nil"/>
                    <w:tr2bl w:val="nil"/>
                  </w:tcBorders>
                  <w:shd w:val="clear" w:color="auto" w:fill="auto"/>
                  <w:vAlign w:val="top"/>
                </w:tcPr>
                <w:p w14:paraId="1084EF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0C80F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BDEA2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5DE7C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275D6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3F4EA26B">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r w14:paraId="66022AA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8" w:hRule="atLeast"/>
              </w:trPr>
              <w:tc>
                <w:tcPr>
                  <w:tcW w:w="495" w:type="dxa"/>
                  <w:vMerge w:val="continue"/>
                  <w:tcBorders>
                    <w:tl2br w:val="nil"/>
                    <w:tr2bl w:val="nil"/>
                  </w:tcBorders>
                </w:tcPr>
                <w:p w14:paraId="77621631">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4"/>
                      <w:szCs w:val="24"/>
                    </w:rPr>
                  </w:pPr>
                </w:p>
              </w:tc>
              <w:tc>
                <w:tcPr>
                  <w:tcW w:w="500" w:type="dxa"/>
                  <w:vMerge w:val="continue"/>
                  <w:tcBorders>
                    <w:tl2br w:val="nil"/>
                    <w:tr2bl w:val="nil"/>
                  </w:tcBorders>
                </w:tcPr>
                <w:p w14:paraId="3581E8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tc>
              <w:tc>
                <w:tcPr>
                  <w:tcW w:w="679" w:type="dxa"/>
                  <w:vMerge w:val="continue"/>
                  <w:tcBorders>
                    <w:tl2br w:val="nil"/>
                    <w:tr2bl w:val="nil"/>
                  </w:tcBorders>
                </w:tcPr>
                <w:p w14:paraId="47286B80">
                  <w:pPr>
                    <w:keepNext w:val="0"/>
                    <w:keepLines w:val="0"/>
                    <w:pageBreakBefore w:val="0"/>
                    <w:widowControl w:val="0"/>
                    <w:kinsoku/>
                    <w:wordWrap/>
                    <w:overflowPunct/>
                    <w:topLinePunct w:val="0"/>
                    <w:autoSpaceDE/>
                    <w:autoSpaceDN/>
                    <w:bidi w:val="0"/>
                    <w:adjustRightInd/>
                    <w:snapToGrid/>
                    <w:spacing w:before="181" w:line="360" w:lineRule="auto"/>
                    <w:ind w:left="85" w:leftChars="0" w:right="63" w:rightChars="0" w:hanging="30" w:firstLineChars="0"/>
                    <w:textAlignment w:val="auto"/>
                    <w:rPr>
                      <w:rFonts w:hint="eastAsia" w:ascii="宋体" w:hAnsi="宋体" w:eastAsia="宋体" w:cs="宋体"/>
                      <w:color w:val="auto"/>
                      <w:spacing w:val="3"/>
                      <w:sz w:val="24"/>
                      <w:szCs w:val="24"/>
                    </w:rPr>
                  </w:pPr>
                </w:p>
              </w:tc>
              <w:tc>
                <w:tcPr>
                  <w:tcW w:w="3499" w:type="dxa"/>
                  <w:tcBorders>
                    <w:tl2br w:val="nil"/>
                    <w:tr2bl w:val="nil"/>
                  </w:tcBorders>
                  <w:shd w:val="clear" w:color="auto" w:fill="auto"/>
                  <w:vAlign w:val="top"/>
                </w:tcPr>
                <w:p w14:paraId="2D2608BE">
                  <w:pPr>
                    <w:keepNext w:val="0"/>
                    <w:keepLines w:val="0"/>
                    <w:pageBreakBefore w:val="0"/>
                    <w:widowControl w:val="0"/>
                    <w:kinsoku/>
                    <w:wordWrap/>
                    <w:overflowPunct/>
                    <w:topLinePunct w:val="0"/>
                    <w:autoSpaceDE/>
                    <w:autoSpaceDN/>
                    <w:bidi w:val="0"/>
                    <w:adjustRightInd/>
                    <w:snapToGrid/>
                    <w:spacing w:before="44" w:line="360" w:lineRule="auto"/>
                    <w:ind w:left="29" w:leftChars="0" w:hanging="4"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1"/>
                      <w:sz w:val="24"/>
                      <w:szCs w:val="24"/>
                    </w:rPr>
                    <w:t>【A4.5-3】结合工业领域减污降碳要求，</w:t>
                  </w:r>
                  <w:r>
                    <w:rPr>
                      <w:rFonts w:hint="eastAsia" w:ascii="宋体" w:hAnsi="宋体" w:eastAsia="宋体" w:cs="宋体"/>
                      <w:color w:val="auto"/>
                      <w:spacing w:val="5"/>
                      <w:sz w:val="24"/>
                      <w:szCs w:val="24"/>
                    </w:rPr>
                    <w:t>加快探索钢铁、有色、化工、建材等重点行业工业固体废物减量化路径，全面推行清洁生产全面推进绿色矿山、“无</w:t>
                  </w:r>
                  <w:r>
                    <w:rPr>
                      <w:rFonts w:hint="eastAsia" w:ascii="宋体" w:hAnsi="宋体" w:eastAsia="宋体" w:cs="宋体"/>
                      <w:color w:val="auto"/>
                      <w:spacing w:val="3"/>
                      <w:sz w:val="24"/>
                      <w:szCs w:val="24"/>
                    </w:rPr>
                    <w:t>废”矿区建设，推广尾矿等大宗工业固</w:t>
                  </w:r>
                  <w:r>
                    <w:rPr>
                      <w:rFonts w:hint="eastAsia" w:ascii="宋体" w:hAnsi="宋体" w:eastAsia="宋体" w:cs="宋体"/>
                      <w:color w:val="auto"/>
                      <w:spacing w:val="5"/>
                      <w:sz w:val="24"/>
                      <w:szCs w:val="24"/>
                    </w:rPr>
                    <w:t>体废物环境友好型井下充填回填，减少尾矿库贮存量。推动大宗工业固体废物</w:t>
                  </w:r>
                  <w:r>
                    <w:rPr>
                      <w:rFonts w:hint="eastAsia" w:ascii="宋体" w:hAnsi="宋体" w:eastAsia="宋体" w:cs="宋体"/>
                      <w:color w:val="auto"/>
                      <w:spacing w:val="7"/>
                      <w:sz w:val="24"/>
                      <w:szCs w:val="24"/>
                    </w:rPr>
                    <w:t>在提取有价组分、生产建材、筑路、生</w:t>
                  </w:r>
                  <w:r>
                    <w:rPr>
                      <w:rFonts w:hint="eastAsia" w:ascii="宋体" w:hAnsi="宋体" w:eastAsia="宋体" w:cs="宋体"/>
                      <w:color w:val="auto"/>
                      <w:spacing w:val="20"/>
                      <w:sz w:val="24"/>
                      <w:szCs w:val="24"/>
                    </w:rPr>
                    <w:t>态修复、土壤治理等领域的规模化利</w:t>
                  </w:r>
                  <w:r>
                    <w:rPr>
                      <w:rFonts w:hint="eastAsia" w:ascii="宋体" w:hAnsi="宋体" w:eastAsia="宋体" w:cs="宋体"/>
                      <w:color w:val="auto"/>
                      <w:sz w:val="24"/>
                      <w:szCs w:val="24"/>
                    </w:rPr>
                    <w:t>用。</w:t>
                  </w:r>
                </w:p>
              </w:tc>
              <w:tc>
                <w:tcPr>
                  <w:tcW w:w="2061" w:type="dxa"/>
                  <w:vMerge w:val="continue"/>
                  <w:tcBorders>
                    <w:tl2br w:val="nil"/>
                    <w:tr2bl w:val="nil"/>
                  </w:tcBorders>
                </w:tcPr>
                <w:p w14:paraId="05C51FB3">
                  <w:pPr>
                    <w:keepNext w:val="0"/>
                    <w:keepLines w:val="0"/>
                    <w:pageBreakBefore w:val="0"/>
                    <w:widowControl w:val="0"/>
                    <w:kinsoku/>
                    <w:wordWrap/>
                    <w:overflowPunct/>
                    <w:topLinePunct w:val="0"/>
                    <w:autoSpaceDE/>
                    <w:autoSpaceDN/>
                    <w:bidi w:val="0"/>
                    <w:adjustRightInd/>
                    <w:snapToGrid/>
                    <w:spacing w:before="45" w:line="360" w:lineRule="auto"/>
                    <w:ind w:left="36" w:leftChars="0" w:right="20" w:rightChars="0" w:firstLine="3" w:firstLineChars="0"/>
                    <w:jc w:val="both"/>
                    <w:textAlignment w:val="auto"/>
                    <w:rPr>
                      <w:rFonts w:hint="eastAsia" w:ascii="宋体" w:hAnsi="宋体" w:eastAsia="宋体" w:cs="宋体"/>
                      <w:color w:val="auto"/>
                      <w:spacing w:val="16"/>
                      <w:sz w:val="24"/>
                      <w:szCs w:val="24"/>
                    </w:rPr>
                  </w:pPr>
                </w:p>
              </w:tc>
              <w:tc>
                <w:tcPr>
                  <w:tcW w:w="706" w:type="dxa"/>
                  <w:tcBorders>
                    <w:tl2br w:val="nil"/>
                    <w:tr2bl w:val="nil"/>
                  </w:tcBorders>
                  <w:shd w:val="clear" w:color="auto" w:fill="auto"/>
                  <w:vAlign w:val="top"/>
                </w:tcPr>
                <w:p w14:paraId="208827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7199F9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5346D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p>
                <w:p w14:paraId="2ECBFA25">
                  <w:pPr>
                    <w:keepNext w:val="0"/>
                    <w:keepLines w:val="0"/>
                    <w:pageBreakBefore w:val="0"/>
                    <w:widowControl w:val="0"/>
                    <w:kinsoku/>
                    <w:wordWrap/>
                    <w:overflowPunct/>
                    <w:topLinePunct w:val="0"/>
                    <w:autoSpaceDE/>
                    <w:autoSpaceDN/>
                    <w:bidi w:val="0"/>
                    <w:adjustRightInd/>
                    <w:snapToGrid/>
                    <w:spacing w:before="65" w:line="360" w:lineRule="auto"/>
                    <w:ind w:left="132"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pacing w:val="3"/>
                      <w:sz w:val="24"/>
                      <w:szCs w:val="24"/>
                    </w:rPr>
                    <w:t>符合</w:t>
                  </w:r>
                </w:p>
              </w:tc>
            </w:tr>
          </w:tbl>
          <w:p w14:paraId="4EA6382B">
            <w:pPr>
              <w:rPr>
                <w:color w:val="auto"/>
                <w:sz w:val="24"/>
                <w:szCs w:val="24"/>
              </w:rPr>
            </w:pPr>
          </w:p>
          <w:p w14:paraId="698E670C">
            <w:pPr>
              <w:pStyle w:val="5"/>
              <w:ind w:firstLine="482"/>
              <w:rPr>
                <w:color w:val="auto"/>
                <w:kern w:val="0"/>
                <w:sz w:val="24"/>
                <w:szCs w:val="24"/>
              </w:rPr>
            </w:pPr>
            <w:r>
              <w:rPr>
                <w:rFonts w:eastAsia="TimesNewRomanPSMT"/>
                <w:color w:val="auto"/>
                <w:sz w:val="24"/>
                <w:szCs w:val="24"/>
              </w:rPr>
              <w:t>4</w:t>
            </w:r>
            <w:r>
              <w:rPr>
                <w:color w:val="auto"/>
                <w:sz w:val="24"/>
                <w:szCs w:val="24"/>
              </w:rPr>
              <w:t>.与巴音郭楞蒙古自治州</w:t>
            </w:r>
            <w:r>
              <w:rPr>
                <w:rFonts w:hint="eastAsia"/>
                <w:color w:val="auto"/>
                <w:sz w:val="24"/>
                <w:szCs w:val="24"/>
                <w:lang w:eastAsia="zh-CN"/>
              </w:rPr>
              <w:t>“</w:t>
            </w:r>
            <w:r>
              <w:rPr>
                <w:color w:val="auto"/>
                <w:sz w:val="24"/>
                <w:szCs w:val="24"/>
              </w:rPr>
              <w:t>三线一单</w:t>
            </w:r>
            <w:r>
              <w:rPr>
                <w:rFonts w:hint="eastAsia"/>
                <w:color w:val="auto"/>
                <w:sz w:val="24"/>
                <w:szCs w:val="24"/>
                <w:lang w:eastAsia="zh-CN"/>
              </w:rPr>
              <w:t>”</w:t>
            </w:r>
            <w:r>
              <w:rPr>
                <w:color w:val="auto"/>
                <w:sz w:val="24"/>
                <w:szCs w:val="24"/>
              </w:rPr>
              <w:t>生态环境分区管控方案</w:t>
            </w:r>
            <w:r>
              <w:rPr>
                <w:color w:val="auto"/>
                <w:kern w:val="0"/>
                <w:sz w:val="24"/>
                <w:szCs w:val="24"/>
              </w:rPr>
              <w:t>的符合性分析</w:t>
            </w:r>
          </w:p>
          <w:p w14:paraId="5D9044F5">
            <w:pPr>
              <w:pStyle w:val="105"/>
              <w:ind w:firstLine="480"/>
              <w:rPr>
                <w:color w:val="auto"/>
                <w:sz w:val="24"/>
                <w:szCs w:val="24"/>
              </w:rPr>
            </w:pPr>
            <w:r>
              <w:rPr>
                <w:color w:val="auto"/>
                <w:sz w:val="24"/>
                <w:szCs w:val="24"/>
              </w:rPr>
              <w:t>根据《关于以改善环境质量为核心加强环境影响评价管理的通知》（环环评〔2016〕150号</w:t>
            </w:r>
            <w:r>
              <w:rPr>
                <w:rFonts w:hint="eastAsia"/>
                <w:color w:val="auto"/>
                <w:sz w:val="24"/>
                <w:szCs w:val="24"/>
                <w:lang w:eastAsia="zh-CN"/>
              </w:rPr>
              <w:t>）</w:t>
            </w:r>
            <w:r>
              <w:rPr>
                <w:color w:val="auto"/>
                <w:sz w:val="24"/>
                <w:szCs w:val="24"/>
              </w:rPr>
              <w:t>：</w:t>
            </w:r>
            <w:r>
              <w:rPr>
                <w:rFonts w:hint="eastAsia"/>
                <w:color w:val="auto"/>
                <w:sz w:val="24"/>
                <w:szCs w:val="24"/>
                <w:lang w:eastAsia="zh-CN"/>
              </w:rPr>
              <w:t>“</w:t>
            </w:r>
            <w:r>
              <w:rPr>
                <w:color w:val="auto"/>
                <w:sz w:val="24"/>
                <w:szCs w:val="24"/>
              </w:rPr>
              <w:t>为适应以改善环境质量为核心的环境管理要求，切实加强适应以改善环境质量为核心的管理要求，切实加强环境影响评价管理，落实生态保护红线、环境质量底线、资源利用上线和生态环境准入清单</w:t>
            </w:r>
            <w:r>
              <w:rPr>
                <w:rFonts w:hint="eastAsia"/>
                <w:color w:val="auto"/>
                <w:sz w:val="24"/>
                <w:szCs w:val="24"/>
                <w:lang w:eastAsia="zh-CN"/>
              </w:rPr>
              <w:t>”</w:t>
            </w:r>
            <w:r>
              <w:rPr>
                <w:color w:val="auto"/>
                <w:sz w:val="24"/>
                <w:szCs w:val="24"/>
              </w:rPr>
              <w:t>约束。</w:t>
            </w:r>
          </w:p>
          <w:p w14:paraId="370092FE">
            <w:pPr>
              <w:pStyle w:val="105"/>
              <w:ind w:firstLine="480"/>
              <w:rPr>
                <w:color w:val="auto"/>
                <w:sz w:val="24"/>
                <w:szCs w:val="24"/>
              </w:rPr>
            </w:pPr>
            <w:r>
              <w:rPr>
                <w:color w:val="auto"/>
                <w:sz w:val="24"/>
                <w:szCs w:val="24"/>
              </w:rPr>
              <w:t>同时根据</w:t>
            </w:r>
            <w:r>
              <w:rPr>
                <w:rFonts w:hint="eastAsia" w:ascii="Times New Roman" w:hAnsi="Times New Roman" w:eastAsia="宋体" w:cs="Times New Roman"/>
                <w:snapToGrid/>
                <w:color w:val="auto"/>
                <w:kern w:val="2"/>
                <w:szCs w:val="22"/>
              </w:rPr>
              <w:t>《关于印发巴音郭楞蒙古自治州“三线一单”生态环境分区管控动态更新成果（2023年</w:t>
            </w:r>
            <w:r>
              <w:rPr>
                <w:rFonts w:hint="eastAsia" w:cs="Times New Roman"/>
                <w:snapToGrid/>
                <w:color w:val="auto"/>
                <w:kern w:val="2"/>
                <w:szCs w:val="22"/>
                <w:lang w:eastAsia="zh-CN"/>
              </w:rPr>
              <w:t>）</w:t>
            </w:r>
            <w:r>
              <w:rPr>
                <w:rFonts w:hint="eastAsia" w:ascii="Times New Roman" w:hAnsi="Times New Roman" w:eastAsia="宋体" w:cs="Times New Roman"/>
                <w:snapToGrid/>
                <w:color w:val="auto"/>
                <w:kern w:val="2"/>
                <w:szCs w:val="22"/>
              </w:rPr>
              <w:t>的通知》（巴政办发</w:t>
            </w:r>
            <w:r>
              <w:rPr>
                <w:rFonts w:hint="eastAsia" w:ascii="Times New Roman" w:hAnsi="Times New Roman" w:eastAsia="宋体" w:cs="Times New Roman"/>
                <w:snapToGrid/>
                <w:color w:val="auto"/>
                <w:kern w:val="2"/>
                <w:szCs w:val="22"/>
                <w:lang w:eastAsia="zh-CN"/>
              </w:rPr>
              <w:t>〔</w:t>
            </w:r>
            <w:r>
              <w:rPr>
                <w:rFonts w:hint="eastAsia" w:ascii="Times New Roman" w:hAnsi="Times New Roman" w:eastAsia="宋体" w:cs="Times New Roman"/>
                <w:snapToGrid/>
                <w:color w:val="auto"/>
                <w:kern w:val="2"/>
                <w:szCs w:val="22"/>
                <w:lang w:val="en-US" w:eastAsia="zh-CN"/>
              </w:rPr>
              <w:t>2024</w:t>
            </w:r>
            <w:r>
              <w:rPr>
                <w:rFonts w:hint="eastAsia" w:ascii="Times New Roman" w:hAnsi="Times New Roman" w:eastAsia="宋体" w:cs="Times New Roman"/>
                <w:snapToGrid/>
                <w:color w:val="auto"/>
                <w:kern w:val="2"/>
                <w:szCs w:val="22"/>
                <w:lang w:eastAsia="zh-CN"/>
              </w:rPr>
              <w:t>〕</w:t>
            </w:r>
            <w:r>
              <w:rPr>
                <w:rFonts w:ascii="Times New Roman" w:hAnsi="Times New Roman" w:eastAsia="宋体" w:cs="Times New Roman"/>
                <w:snapToGrid/>
                <w:color w:val="auto"/>
                <w:kern w:val="2"/>
                <w:szCs w:val="22"/>
              </w:rPr>
              <w:t>32</w:t>
            </w:r>
            <w:r>
              <w:rPr>
                <w:rFonts w:hint="eastAsia" w:ascii="Times New Roman" w:hAnsi="Times New Roman" w:eastAsia="宋体" w:cs="Times New Roman"/>
                <w:snapToGrid/>
                <w:color w:val="auto"/>
                <w:kern w:val="2"/>
                <w:szCs w:val="22"/>
              </w:rPr>
              <w:t>号</w:t>
            </w:r>
            <w:r>
              <w:rPr>
                <w:rFonts w:hint="eastAsia" w:cs="Times New Roman"/>
                <w:snapToGrid/>
                <w:color w:val="auto"/>
                <w:kern w:val="2"/>
                <w:szCs w:val="22"/>
                <w:lang w:eastAsia="zh-CN"/>
              </w:rPr>
              <w:t>）</w:t>
            </w:r>
            <w:r>
              <w:rPr>
                <w:color w:val="auto"/>
                <w:sz w:val="24"/>
                <w:szCs w:val="24"/>
              </w:rPr>
              <w:t>分析本项目</w:t>
            </w:r>
            <w:r>
              <w:rPr>
                <w:bCs/>
                <w:color w:val="auto"/>
                <w:sz w:val="24"/>
                <w:szCs w:val="24"/>
              </w:rPr>
              <w:t>符合性情况，</w:t>
            </w:r>
            <w:r>
              <w:rPr>
                <w:color w:val="auto"/>
                <w:sz w:val="24"/>
                <w:szCs w:val="24"/>
              </w:rPr>
              <w:t>见表1-2所示。</w:t>
            </w:r>
          </w:p>
          <w:p w14:paraId="1263D05E">
            <w:pPr>
              <w:pStyle w:val="91"/>
              <w:rPr>
                <w:color w:val="auto"/>
                <w:sz w:val="24"/>
                <w:szCs w:val="24"/>
              </w:rPr>
            </w:pPr>
            <w:r>
              <w:rPr>
                <w:color w:val="auto"/>
                <w:sz w:val="24"/>
                <w:szCs w:val="24"/>
              </w:rPr>
              <w:t>表1-2与巴州</w:t>
            </w:r>
            <w:r>
              <w:rPr>
                <w:rFonts w:hint="eastAsia"/>
                <w:color w:val="auto"/>
                <w:sz w:val="24"/>
                <w:szCs w:val="24"/>
                <w:lang w:eastAsia="zh-CN"/>
              </w:rPr>
              <w:t>“</w:t>
            </w:r>
            <w:r>
              <w:rPr>
                <w:color w:val="auto"/>
                <w:sz w:val="24"/>
                <w:szCs w:val="24"/>
              </w:rPr>
              <w:t>三线一单</w:t>
            </w:r>
            <w:r>
              <w:rPr>
                <w:rFonts w:hint="eastAsia"/>
                <w:color w:val="auto"/>
                <w:sz w:val="24"/>
                <w:szCs w:val="24"/>
                <w:lang w:eastAsia="zh-CN"/>
              </w:rPr>
              <w:t>”</w:t>
            </w:r>
            <w:r>
              <w:rPr>
                <w:color w:val="auto"/>
                <w:sz w:val="24"/>
                <w:szCs w:val="24"/>
              </w:rPr>
              <w:t>符合性分析一览表</w:t>
            </w:r>
          </w:p>
          <w:tbl>
            <w:tblPr>
              <w:tblStyle w:val="29"/>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63"/>
              <w:gridCol w:w="3164"/>
              <w:gridCol w:w="2916"/>
              <w:gridCol w:w="955"/>
            </w:tblGrid>
            <w:tr w14:paraId="20882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atLeast"/>
                <w:tblHeader/>
                <w:jc w:val="center"/>
              </w:trPr>
              <w:tc>
                <w:tcPr>
                  <w:tcW w:w="2580" w:type="pct"/>
                  <w:gridSpan w:val="2"/>
                  <w:vAlign w:val="center"/>
                </w:tcPr>
                <w:p w14:paraId="204B55DB">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文件要求</w:t>
                  </w:r>
                </w:p>
              </w:tc>
              <w:tc>
                <w:tcPr>
                  <w:tcW w:w="1822" w:type="pct"/>
                  <w:vAlign w:val="center"/>
                </w:tcPr>
                <w:p w14:paraId="5A06C29F">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本项目</w:t>
                  </w:r>
                </w:p>
              </w:tc>
              <w:tc>
                <w:tcPr>
                  <w:tcW w:w="597" w:type="pct"/>
                  <w:vAlign w:val="center"/>
                </w:tcPr>
                <w:p w14:paraId="4EAF5640">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符合性</w:t>
                  </w:r>
                </w:p>
              </w:tc>
            </w:tr>
            <w:tr w14:paraId="6CA78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3" w:hRule="atLeast"/>
                <w:jc w:val="center"/>
              </w:trPr>
              <w:tc>
                <w:tcPr>
                  <w:tcW w:w="602" w:type="pct"/>
                  <w:vAlign w:val="center"/>
                </w:tcPr>
                <w:p w14:paraId="01FE034E">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空间</w:t>
                  </w:r>
                </w:p>
                <w:p w14:paraId="6130691E">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lang w:val="en-US" w:eastAsia="zh-CN"/>
                    </w:rPr>
                  </w:pPr>
                  <w:r>
                    <w:rPr>
                      <w:rFonts w:hint="default" w:ascii="Times New Roman" w:hAnsi="Times New Roman" w:eastAsia="宋体" w:cs="Times New Roman"/>
                      <w:b w:val="0"/>
                      <w:color w:val="auto"/>
                      <w:sz w:val="24"/>
                      <w:szCs w:val="24"/>
                      <w:lang w:val="en-US" w:eastAsia="zh-CN"/>
                    </w:rPr>
                    <w:t>布局</w:t>
                  </w:r>
                </w:p>
              </w:tc>
              <w:tc>
                <w:tcPr>
                  <w:tcW w:w="1977" w:type="pct"/>
                  <w:vAlign w:val="center"/>
                </w:tcPr>
                <w:p w14:paraId="633D5080">
                  <w:pPr>
                    <w:pStyle w:val="80"/>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按照</w:t>
                  </w:r>
                  <w:r>
                    <w:rPr>
                      <w:rFonts w:hint="default" w:ascii="Times New Roman" w:hAnsi="Times New Roman" w:eastAsia="宋体" w:cs="Times New Roman"/>
                      <w:b w:val="0"/>
                      <w:color w:val="auto"/>
                      <w:sz w:val="24"/>
                      <w:szCs w:val="24"/>
                      <w:lang w:eastAsia="zh-CN"/>
                    </w:rPr>
                    <w:t>“</w:t>
                  </w:r>
                  <w:r>
                    <w:rPr>
                      <w:rFonts w:hint="default" w:ascii="Times New Roman" w:hAnsi="Times New Roman" w:eastAsia="宋体" w:cs="Times New Roman"/>
                      <w:b w:val="0"/>
                      <w:color w:val="auto"/>
                      <w:sz w:val="24"/>
                      <w:szCs w:val="24"/>
                    </w:rPr>
                    <w:t>生态功能不降低、面积不减少、性质不改变</w:t>
                  </w:r>
                  <w:r>
                    <w:rPr>
                      <w:rFonts w:hint="default" w:ascii="Times New Roman" w:hAnsi="Times New Roman" w:eastAsia="宋体" w:cs="Times New Roman"/>
                      <w:b w:val="0"/>
                      <w:color w:val="auto"/>
                      <w:sz w:val="24"/>
                      <w:szCs w:val="24"/>
                      <w:lang w:eastAsia="zh-CN"/>
                    </w:rPr>
                    <w:t>”</w:t>
                  </w:r>
                  <w:r>
                    <w:rPr>
                      <w:rFonts w:hint="default" w:ascii="Times New Roman" w:hAnsi="Times New Roman" w:eastAsia="宋体" w:cs="Times New Roman"/>
                      <w:b w:val="0"/>
                      <w:color w:val="auto"/>
                      <w:sz w:val="24"/>
                      <w:szCs w:val="24"/>
                    </w:rPr>
                    <w:t>的基本要求，对划定的生态保护红线实施严格管控，保障和维护国家生态安全的底线和生命线</w:t>
                  </w:r>
                </w:p>
              </w:tc>
              <w:tc>
                <w:tcPr>
                  <w:tcW w:w="1822" w:type="pct"/>
                  <w:vAlign w:val="center"/>
                </w:tcPr>
                <w:p w14:paraId="5609B265">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本项目位于新疆巴州</w:t>
                  </w:r>
                  <w:r>
                    <w:rPr>
                      <w:rFonts w:hint="default" w:ascii="Times New Roman" w:hAnsi="Times New Roman" w:eastAsia="宋体" w:cs="Times New Roman"/>
                      <w:b w:val="0"/>
                      <w:color w:val="auto"/>
                      <w:sz w:val="24"/>
                      <w:szCs w:val="24"/>
                      <w:lang w:val="en-US" w:eastAsia="zh-CN"/>
                    </w:rPr>
                    <w:t>库尔勒市兰干乡兰干村（库尔勒市食品加工产业小镇内</w:t>
                  </w:r>
                  <w:r>
                    <w:rPr>
                      <w:rFonts w:hint="eastAsia" w:ascii="Times New Roman" w:hAnsi="Times New Roman" w:cs="Times New Roman"/>
                      <w:b w:val="0"/>
                      <w:color w:val="auto"/>
                      <w:sz w:val="24"/>
                      <w:szCs w:val="24"/>
                      <w:lang w:val="en-US" w:eastAsia="zh-CN"/>
                    </w:rPr>
                    <w:t>）</w:t>
                  </w:r>
                  <w:r>
                    <w:rPr>
                      <w:rFonts w:hint="default" w:ascii="Times New Roman" w:hAnsi="Times New Roman" w:eastAsia="宋体" w:cs="Times New Roman"/>
                      <w:b w:val="0"/>
                      <w:color w:val="auto"/>
                      <w:sz w:val="24"/>
                      <w:szCs w:val="24"/>
                    </w:rPr>
                    <w:t>，项目不涉及生态保护红线区域</w:t>
                  </w:r>
                </w:p>
              </w:tc>
              <w:tc>
                <w:tcPr>
                  <w:tcW w:w="597" w:type="pct"/>
                  <w:vAlign w:val="center"/>
                </w:tcPr>
                <w:p w14:paraId="468C4D9F">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符合</w:t>
                  </w:r>
                </w:p>
              </w:tc>
            </w:tr>
            <w:tr w14:paraId="5E0DA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38" w:hRule="atLeast"/>
                <w:jc w:val="center"/>
              </w:trPr>
              <w:tc>
                <w:tcPr>
                  <w:tcW w:w="602" w:type="pct"/>
                  <w:vAlign w:val="center"/>
                </w:tcPr>
                <w:p w14:paraId="443A99E9">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环境质量底线</w:t>
                  </w:r>
                </w:p>
              </w:tc>
              <w:tc>
                <w:tcPr>
                  <w:tcW w:w="1977" w:type="pct"/>
                  <w:vAlign w:val="center"/>
                </w:tcPr>
                <w:p w14:paraId="6B5103DA">
                  <w:pPr>
                    <w:pStyle w:val="80"/>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eastAsia" w:ascii="Times New Roman" w:hAnsi="Times New Roman" w:eastAsia="宋体" w:cs="Times New Roman"/>
                      <w:b w:val="0"/>
                      <w:color w:val="auto"/>
                      <w:sz w:val="24"/>
                      <w:szCs w:val="24"/>
                      <w:lang w:eastAsia="zh-CN"/>
                    </w:rPr>
                  </w:pPr>
                  <w:r>
                    <w:rPr>
                      <w:rFonts w:hint="default" w:ascii="Times New Roman" w:hAnsi="Times New Roman" w:eastAsia="宋体" w:cs="Times New Roman"/>
                      <w:b w:val="0"/>
                      <w:color w:val="auto"/>
                      <w:sz w:val="24"/>
                      <w:szCs w:val="24"/>
                    </w:rPr>
                    <w:t>全州水环境质量持续改善，开都河、塔里木河、迪那河、车尔臣河、黄水沟5条河流13个监测断面稳定达到</w:t>
                  </w:r>
                  <w:r>
                    <w:rPr>
                      <w:rFonts w:hint="default" w:ascii="Times New Roman" w:hAnsi="Times New Roman" w:eastAsia="宋体" w:cs="Times New Roman"/>
                      <w:b w:val="0"/>
                      <w:color w:val="auto"/>
                      <w:sz w:val="24"/>
                      <w:szCs w:val="24"/>
                      <w:lang w:eastAsia="zh-CN"/>
                    </w:rPr>
                    <w:t>Ⅱ</w:t>
                  </w:r>
                  <w:r>
                    <w:rPr>
                      <w:rFonts w:hint="default" w:ascii="Times New Roman" w:hAnsi="Times New Roman" w:eastAsia="宋体" w:cs="Times New Roman"/>
                      <w:b w:val="0"/>
                      <w:color w:val="auto"/>
                      <w:sz w:val="24"/>
                      <w:szCs w:val="24"/>
                    </w:rPr>
                    <w:t>类水</w:t>
                  </w:r>
                  <w:r>
                    <w:rPr>
                      <w:rFonts w:hint="default" w:ascii="Times New Roman" w:hAnsi="Times New Roman" w:eastAsia="宋体" w:cs="Times New Roman"/>
                      <w:b w:val="0"/>
                      <w:color w:val="auto"/>
                      <w:sz w:val="24"/>
                      <w:szCs w:val="24"/>
                      <w:lang w:eastAsia="zh-CN"/>
                    </w:rPr>
                    <w:t>（</w:t>
                  </w:r>
                  <w:r>
                    <w:rPr>
                      <w:rFonts w:hint="default" w:ascii="Times New Roman" w:hAnsi="Times New Roman" w:eastAsia="宋体" w:cs="Times New Roman"/>
                      <w:b w:val="0"/>
                      <w:color w:val="auto"/>
                      <w:sz w:val="24"/>
                      <w:szCs w:val="24"/>
                    </w:rPr>
                    <w:t>塔里木河氟化物不参与考核，其他指标均为</w:t>
                  </w:r>
                  <w:r>
                    <w:rPr>
                      <w:rFonts w:hint="default" w:ascii="Times New Roman" w:hAnsi="Times New Roman" w:eastAsia="宋体" w:cs="Times New Roman"/>
                      <w:b w:val="0"/>
                      <w:color w:val="auto"/>
                      <w:sz w:val="24"/>
                      <w:szCs w:val="24"/>
                      <w:lang w:eastAsia="zh-CN"/>
                    </w:rPr>
                    <w:t>Ⅱ</w:t>
                  </w:r>
                  <w:r>
                    <w:rPr>
                      <w:rFonts w:hint="default" w:ascii="Times New Roman" w:hAnsi="Times New Roman" w:eastAsia="宋体" w:cs="Times New Roman"/>
                      <w:b w:val="0"/>
                      <w:color w:val="auto"/>
                      <w:sz w:val="24"/>
                      <w:szCs w:val="24"/>
                    </w:rPr>
                    <w:t>类</w:t>
                  </w:r>
                  <w:r>
                    <w:rPr>
                      <w:rFonts w:hint="eastAsia" w:ascii="Times New Roman" w:hAnsi="Times New Roman" w:cs="Times New Roman"/>
                      <w:b w:val="0"/>
                      <w:color w:val="auto"/>
                      <w:sz w:val="24"/>
                      <w:szCs w:val="24"/>
                      <w:lang w:eastAsia="zh-CN"/>
                    </w:rPr>
                    <w:t>）</w:t>
                  </w:r>
                  <w:r>
                    <w:rPr>
                      <w:rFonts w:hint="default" w:ascii="Times New Roman" w:hAnsi="Times New Roman" w:eastAsia="宋体" w:cs="Times New Roman"/>
                      <w:b w:val="0"/>
                      <w:color w:val="auto"/>
                      <w:sz w:val="24"/>
                      <w:szCs w:val="24"/>
                    </w:rPr>
                    <w:t>，孔雀河4个监测断面达到II类水，博斯腾湖17个重点点位中1、7、14监测点均值Ⅲ类，其余监测点均值Ⅳ类;受污染地表水体得到有效治理，饮用水安全保障水平持续提升，地下水超采得到严格控制，地下水水质保持稳定。全州环境空气质量有所提升，SO</w:t>
                  </w:r>
                  <w:r>
                    <w:rPr>
                      <w:rFonts w:hint="default" w:ascii="Times New Roman" w:hAnsi="Times New Roman" w:eastAsia="宋体" w:cs="Times New Roman"/>
                      <w:b w:val="0"/>
                      <w:color w:val="auto"/>
                      <w:sz w:val="24"/>
                      <w:szCs w:val="24"/>
                      <w:vertAlign w:val="subscript"/>
                    </w:rPr>
                    <w:t>2</w:t>
                  </w:r>
                  <w:r>
                    <w:rPr>
                      <w:rFonts w:hint="default" w:ascii="Times New Roman" w:hAnsi="Times New Roman" w:eastAsia="宋体" w:cs="Times New Roman"/>
                      <w:b w:val="0"/>
                      <w:color w:val="auto"/>
                      <w:sz w:val="24"/>
                      <w:szCs w:val="24"/>
                    </w:rPr>
                    <w:t>、NO</w:t>
                  </w:r>
                  <w:r>
                    <w:rPr>
                      <w:rFonts w:hint="default" w:ascii="Times New Roman" w:hAnsi="Times New Roman" w:eastAsia="宋体" w:cs="Times New Roman"/>
                      <w:b w:val="0"/>
                      <w:color w:val="auto"/>
                      <w:sz w:val="24"/>
                      <w:szCs w:val="24"/>
                      <w:vertAlign w:val="subscript"/>
                    </w:rPr>
                    <w:t>2</w:t>
                  </w:r>
                  <w:r>
                    <w:rPr>
                      <w:rFonts w:hint="default" w:ascii="Times New Roman" w:hAnsi="Times New Roman" w:eastAsia="宋体" w:cs="Times New Roman"/>
                      <w:b w:val="0"/>
                      <w:color w:val="auto"/>
                      <w:sz w:val="24"/>
                      <w:szCs w:val="24"/>
                    </w:rPr>
                    <w:t>浓度长期维持在较低水平，达到环境空气质量一级标准;逐步减少颗粒物排放，PM</w:t>
                  </w:r>
                  <w:r>
                    <w:rPr>
                      <w:rFonts w:hint="default" w:ascii="Times New Roman" w:hAnsi="Times New Roman" w:eastAsia="宋体" w:cs="Times New Roman"/>
                      <w:b w:val="0"/>
                      <w:color w:val="auto"/>
                      <w:sz w:val="24"/>
                      <w:szCs w:val="24"/>
                      <w:vertAlign w:val="subscript"/>
                    </w:rPr>
                    <w:t>10</w:t>
                  </w:r>
                  <w:r>
                    <w:rPr>
                      <w:rFonts w:hint="default" w:ascii="Times New Roman" w:hAnsi="Times New Roman" w:eastAsia="宋体" w:cs="Times New Roman"/>
                      <w:b w:val="0"/>
                      <w:color w:val="auto"/>
                      <w:sz w:val="24"/>
                      <w:szCs w:val="24"/>
                    </w:rPr>
                    <w:t>、PM</w:t>
                  </w:r>
                  <w:r>
                    <w:rPr>
                      <w:rFonts w:hint="default" w:ascii="Times New Roman" w:hAnsi="Times New Roman" w:eastAsia="宋体" w:cs="Times New Roman"/>
                      <w:b w:val="0"/>
                      <w:color w:val="auto"/>
                      <w:sz w:val="24"/>
                      <w:szCs w:val="24"/>
                      <w:vertAlign w:val="subscript"/>
                    </w:rPr>
                    <w:t>2.5</w:t>
                  </w:r>
                  <w:r>
                    <w:rPr>
                      <w:rFonts w:hint="default" w:ascii="Times New Roman" w:hAnsi="Times New Roman" w:eastAsia="宋体" w:cs="Times New Roman"/>
                      <w:b w:val="0"/>
                      <w:color w:val="auto"/>
                      <w:sz w:val="24"/>
                      <w:szCs w:val="24"/>
                    </w:rPr>
                    <w:t>平均浓度分别低于81ug/m</w:t>
                  </w:r>
                  <w:r>
                    <w:rPr>
                      <w:rFonts w:hint="default" w:ascii="Times New Roman" w:hAnsi="Times New Roman" w:eastAsia="宋体" w:cs="Times New Roman"/>
                      <w:b w:val="0"/>
                      <w:color w:val="auto"/>
                      <w:sz w:val="24"/>
                      <w:szCs w:val="24"/>
                      <w:vertAlign w:val="superscript"/>
                    </w:rPr>
                    <w:t>3</w:t>
                  </w:r>
                  <w:r>
                    <w:rPr>
                      <w:rFonts w:hint="default" w:ascii="Times New Roman" w:hAnsi="Times New Roman" w:eastAsia="宋体" w:cs="Times New Roman"/>
                      <w:b w:val="0"/>
                      <w:color w:val="auto"/>
                      <w:sz w:val="24"/>
                      <w:szCs w:val="24"/>
                    </w:rPr>
                    <w:t>、31.5ug/m</w:t>
                  </w:r>
                  <w:r>
                    <w:rPr>
                      <w:rFonts w:hint="default" w:ascii="Times New Roman" w:hAnsi="Times New Roman" w:eastAsia="宋体" w:cs="Times New Roman"/>
                      <w:b w:val="0"/>
                      <w:color w:val="auto"/>
                      <w:sz w:val="24"/>
                      <w:szCs w:val="24"/>
                      <w:vertAlign w:val="superscript"/>
                    </w:rPr>
                    <w:t>3</w:t>
                  </w:r>
                  <w:r>
                    <w:rPr>
                      <w:rFonts w:hint="default" w:ascii="Times New Roman" w:hAnsi="Times New Roman" w:eastAsia="宋体" w:cs="Times New Roman"/>
                      <w:b w:val="0"/>
                      <w:color w:val="auto"/>
                      <w:sz w:val="24"/>
                      <w:szCs w:val="24"/>
                      <w:lang w:eastAsia="zh-CN"/>
                    </w:rPr>
                    <w:t>（</w:t>
                  </w:r>
                  <w:r>
                    <w:rPr>
                      <w:rFonts w:hint="default" w:ascii="Times New Roman" w:hAnsi="Times New Roman" w:eastAsia="宋体" w:cs="Times New Roman"/>
                      <w:b w:val="0"/>
                      <w:color w:val="auto"/>
                      <w:sz w:val="24"/>
                      <w:szCs w:val="24"/>
                    </w:rPr>
                    <w:t>库尔勒市，扣除沙尘天气影响</w:t>
                  </w:r>
                  <w:r>
                    <w:rPr>
                      <w:rFonts w:hint="eastAsia" w:ascii="Times New Roman" w:hAnsi="Times New Roman" w:cs="Times New Roman"/>
                      <w:b w:val="0"/>
                      <w:color w:val="auto"/>
                      <w:sz w:val="24"/>
                      <w:szCs w:val="24"/>
                      <w:lang w:eastAsia="zh-CN"/>
                    </w:rPr>
                    <w:t>）</w:t>
                  </w:r>
                  <w:r>
                    <w:rPr>
                      <w:rFonts w:hint="default" w:ascii="Times New Roman" w:hAnsi="Times New Roman" w:eastAsia="宋体" w:cs="Times New Roman"/>
                      <w:b w:val="0"/>
                      <w:color w:val="auto"/>
                      <w:sz w:val="24"/>
                      <w:szCs w:val="24"/>
                    </w:rPr>
                    <w:t>，空气优良天数比例大于75.2%</w:t>
                  </w:r>
                  <w:r>
                    <w:rPr>
                      <w:rFonts w:hint="default" w:ascii="Times New Roman" w:hAnsi="Times New Roman" w:eastAsia="宋体" w:cs="Times New Roman"/>
                      <w:b w:val="0"/>
                      <w:color w:val="auto"/>
                      <w:sz w:val="24"/>
                      <w:szCs w:val="24"/>
                      <w:lang w:eastAsia="zh-CN"/>
                    </w:rPr>
                    <w:t>（</w:t>
                  </w:r>
                  <w:r>
                    <w:rPr>
                      <w:rFonts w:hint="default" w:ascii="Times New Roman" w:hAnsi="Times New Roman" w:eastAsia="宋体" w:cs="Times New Roman"/>
                      <w:b w:val="0"/>
                      <w:color w:val="auto"/>
                      <w:sz w:val="24"/>
                      <w:szCs w:val="24"/>
                    </w:rPr>
                    <w:t>库尔勒市</w:t>
                  </w:r>
                  <w:r>
                    <w:rPr>
                      <w:rFonts w:hint="eastAsia" w:ascii="Times New Roman" w:hAnsi="Times New Roman" w:cs="Times New Roman"/>
                      <w:b w:val="0"/>
                      <w:color w:val="auto"/>
                      <w:sz w:val="24"/>
                      <w:szCs w:val="24"/>
                      <w:lang w:eastAsia="zh-CN"/>
                    </w:rPr>
                    <w:t>）</w:t>
                  </w:r>
                  <w:r>
                    <w:rPr>
                      <w:rFonts w:hint="default" w:ascii="Times New Roman" w:hAnsi="Times New Roman" w:eastAsia="宋体" w:cs="Times New Roman"/>
                      <w:b w:val="0"/>
                      <w:color w:val="auto"/>
                      <w:sz w:val="24"/>
                      <w:szCs w:val="24"/>
                    </w:rPr>
                    <w:t>，重污染天数持续减少，沙尘影响严重地区做好防风固沙、生态环境保护修复等工作；全州土壤环境质量保持稳定，受污染耕地安全利用率达到98%以上，污染地块安全利用率不低于93%，土壤环境风险得到进一步管控</w:t>
                  </w:r>
                  <w:r>
                    <w:rPr>
                      <w:rFonts w:hint="eastAsia" w:ascii="Times New Roman" w:hAnsi="Times New Roman" w:cs="Times New Roman"/>
                      <w:b w:val="0"/>
                      <w:color w:val="auto"/>
                      <w:sz w:val="24"/>
                      <w:szCs w:val="24"/>
                      <w:lang w:eastAsia="zh-CN"/>
                    </w:rPr>
                    <w:t>。</w:t>
                  </w:r>
                </w:p>
              </w:tc>
              <w:tc>
                <w:tcPr>
                  <w:tcW w:w="1822" w:type="pct"/>
                  <w:vAlign w:val="center"/>
                </w:tcPr>
                <w:p w14:paraId="2109842C">
                  <w:pPr>
                    <w:pStyle w:val="38"/>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本项目施工期废水经临时沉淀池收集后用于施工场地洒水抑尘，运营期综合废水</w:t>
                  </w:r>
                  <w:r>
                    <w:rPr>
                      <w:rFonts w:hint="default" w:ascii="Times New Roman" w:hAnsi="Times New Roman" w:eastAsia="宋体" w:cs="Times New Roman"/>
                      <w:b w:val="0"/>
                      <w:bCs/>
                      <w:color w:val="auto"/>
                      <w:sz w:val="24"/>
                      <w:szCs w:val="24"/>
                      <w:lang w:val="en-US" w:eastAsia="zh-CN"/>
                    </w:rPr>
                    <w:t>经配套污水处理站处理后进入下水管网，最终进入库尔勒金城洁净排水有限责任公司库尔勒市老城区污水处理厂深度处理</w:t>
                  </w:r>
                  <w:r>
                    <w:rPr>
                      <w:rFonts w:hint="default" w:ascii="Times New Roman" w:hAnsi="Times New Roman" w:eastAsia="宋体" w:cs="Times New Roman"/>
                      <w:b w:val="0"/>
                      <w:bCs/>
                      <w:color w:val="auto"/>
                      <w:sz w:val="24"/>
                      <w:szCs w:val="24"/>
                    </w:rPr>
                    <w:t>，不排放至附近地表水体，不会影响区域环境质量。</w:t>
                  </w:r>
                </w:p>
                <w:p w14:paraId="153BA41D">
                  <w:pPr>
                    <w:pStyle w:val="38"/>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本项目建设区隶属</w:t>
                  </w:r>
                  <w:r>
                    <w:rPr>
                      <w:rFonts w:hint="default" w:ascii="Times New Roman" w:hAnsi="Times New Roman" w:eastAsia="宋体" w:cs="Times New Roman"/>
                      <w:b w:val="0"/>
                      <w:bCs/>
                      <w:color w:val="auto"/>
                      <w:sz w:val="24"/>
                      <w:szCs w:val="24"/>
                      <w:lang w:val="en-US" w:eastAsia="zh-CN"/>
                    </w:rPr>
                    <w:t>库尔勒市</w:t>
                  </w:r>
                  <w:r>
                    <w:rPr>
                      <w:rFonts w:hint="default" w:ascii="Times New Roman" w:hAnsi="Times New Roman" w:eastAsia="宋体" w:cs="Times New Roman"/>
                      <w:b w:val="0"/>
                      <w:bCs/>
                      <w:color w:val="auto"/>
                      <w:sz w:val="24"/>
                      <w:szCs w:val="24"/>
                    </w:rPr>
                    <w:t>，项目区域环境空气属于《环境空气质量标准》（GB3095-2012</w:t>
                  </w:r>
                  <w:r>
                    <w:rPr>
                      <w:rFonts w:hint="eastAsia" w:ascii="Times New Roman" w:cs="Times New Roman"/>
                      <w:b w:val="0"/>
                      <w:bCs/>
                      <w:color w:val="auto"/>
                      <w:sz w:val="24"/>
                      <w:szCs w:val="24"/>
                      <w:lang w:eastAsia="zh-CN"/>
                    </w:rPr>
                    <w:t>）</w:t>
                  </w:r>
                  <w:r>
                    <w:rPr>
                      <w:rFonts w:hint="default" w:ascii="Times New Roman" w:hAnsi="Times New Roman" w:eastAsia="宋体" w:cs="Times New Roman"/>
                      <w:b w:val="0"/>
                      <w:bCs/>
                      <w:color w:val="auto"/>
                      <w:sz w:val="24"/>
                      <w:szCs w:val="24"/>
                    </w:rPr>
                    <w:t>中二类功能区，</w:t>
                  </w:r>
                  <w:r>
                    <w:rPr>
                      <w:rFonts w:hint="default" w:ascii="Times New Roman" w:hAnsi="Times New Roman" w:eastAsia="宋体" w:cs="Times New Roman"/>
                      <w:b w:val="0"/>
                      <w:bCs/>
                      <w:color w:val="auto"/>
                      <w:sz w:val="24"/>
                      <w:szCs w:val="24"/>
                      <w:lang w:val="en-US" w:eastAsia="zh-CN"/>
                    </w:rPr>
                    <w:t>根据库尔勒市孔雀公园自动监测站</w:t>
                  </w:r>
                  <w:r>
                    <w:rPr>
                      <w:rFonts w:hint="default" w:ascii="Times New Roman" w:hAnsi="Times New Roman" w:eastAsia="宋体" w:cs="Times New Roman"/>
                      <w:b w:val="0"/>
                      <w:bCs/>
                      <w:color w:val="auto"/>
                      <w:sz w:val="24"/>
                      <w:szCs w:val="24"/>
                    </w:rPr>
                    <w:t>2023年的监测数据，项目选址区域环境空气质量为不达标区。项目施工过程中要加强管理，制定相应的扬尘治理措施，项目运行后产生废气经有效环保措施处理后，基本不会影响周边空气质量。</w:t>
                  </w:r>
                </w:p>
                <w:p w14:paraId="45ABA1B8">
                  <w:pPr>
                    <w:pStyle w:val="38"/>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本工程所在区域声环境属于《声环境质量标准》（GB3096-2008</w:t>
                  </w:r>
                  <w:r>
                    <w:rPr>
                      <w:rFonts w:hint="eastAsia" w:ascii="Times New Roman" w:cs="Times New Roman"/>
                      <w:b w:val="0"/>
                      <w:bCs/>
                      <w:color w:val="auto"/>
                      <w:sz w:val="24"/>
                      <w:szCs w:val="24"/>
                      <w:lang w:eastAsia="zh-CN"/>
                    </w:rPr>
                    <w:t>）</w:t>
                  </w:r>
                  <w:r>
                    <w:rPr>
                      <w:rFonts w:hint="default" w:ascii="Times New Roman" w:hAnsi="Times New Roman" w:eastAsia="宋体" w:cs="Times New Roman"/>
                      <w:b w:val="0"/>
                      <w:bCs/>
                      <w:color w:val="auto"/>
                      <w:sz w:val="24"/>
                      <w:szCs w:val="24"/>
                    </w:rPr>
                    <w:t>中2类声功能区；区域环境质量现状较好，具有相应的环境容量，施工期和运营期应当选用低噪声设备，并采取减振措施，加强设备的管理和维护，对周围环境影响较小。</w:t>
                  </w:r>
                </w:p>
                <w:p w14:paraId="0BE9695C">
                  <w:pPr>
                    <w:pStyle w:val="38"/>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项目产生的固体废物全部妥善处理，不会对周围环境产生影响；</w:t>
                  </w:r>
                </w:p>
              </w:tc>
              <w:tc>
                <w:tcPr>
                  <w:tcW w:w="597" w:type="pct"/>
                  <w:vAlign w:val="center"/>
                </w:tcPr>
                <w:p w14:paraId="7897405C">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符合</w:t>
                  </w:r>
                </w:p>
              </w:tc>
            </w:tr>
            <w:tr w14:paraId="7135C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10" w:hRule="atLeast"/>
                <w:jc w:val="center"/>
              </w:trPr>
              <w:tc>
                <w:tcPr>
                  <w:tcW w:w="602" w:type="pct"/>
                  <w:vAlign w:val="center"/>
                </w:tcPr>
                <w:p w14:paraId="228B132D">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资源利用上线</w:t>
                  </w:r>
                </w:p>
              </w:tc>
              <w:tc>
                <w:tcPr>
                  <w:tcW w:w="1977" w:type="pct"/>
                  <w:vAlign w:val="center"/>
                </w:tcPr>
                <w:p w14:paraId="7DF10130">
                  <w:pPr>
                    <w:pStyle w:val="80"/>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强化节约集约利用，持续提升资源能源利用效率，水资源、土地资源、能源消耗等达到国家、自治区下达的总量和强度控制目标。加快低碳发展，提升碳汇能力，做好碳达峰和碳中和工作</w:t>
                  </w:r>
                </w:p>
              </w:tc>
              <w:tc>
                <w:tcPr>
                  <w:tcW w:w="1822" w:type="pct"/>
                  <w:vAlign w:val="center"/>
                </w:tcPr>
                <w:p w14:paraId="4F5ED370">
                  <w:pPr>
                    <w:pStyle w:val="78"/>
                    <w:keepNext w:val="0"/>
                    <w:keepLines w:val="0"/>
                    <w:pageBreakBefore w:val="0"/>
                    <w:widowControl w:val="0"/>
                    <w:kinsoku/>
                    <w:wordWrap/>
                    <w:overflowPunct/>
                    <w:topLinePunct w:val="0"/>
                    <w:bidi w:val="0"/>
                    <w:adjustRightInd w:val="0"/>
                    <w:snapToGrid w:val="0"/>
                    <w:spacing w:line="400" w:lineRule="exact"/>
                    <w:ind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本项目不属于高能耗、高污染、资源型项目，用水来自</w:t>
                  </w:r>
                  <w:r>
                    <w:rPr>
                      <w:rFonts w:hint="default" w:ascii="Times New Roman" w:hAnsi="Times New Roman" w:eastAsia="宋体" w:cs="Times New Roman"/>
                      <w:color w:val="auto"/>
                      <w:sz w:val="24"/>
                      <w:szCs w:val="24"/>
                      <w:lang w:val="en-US" w:eastAsia="zh-CN"/>
                    </w:rPr>
                    <w:t>兰干乡</w:t>
                  </w:r>
                  <w:r>
                    <w:rPr>
                      <w:rFonts w:hint="default" w:ascii="Times New Roman" w:hAnsi="Times New Roman" w:eastAsia="宋体" w:cs="Times New Roman"/>
                      <w:color w:val="auto"/>
                      <w:sz w:val="24"/>
                      <w:szCs w:val="24"/>
                    </w:rPr>
                    <w:t>供水管网供水，用电来自</w:t>
                  </w:r>
                  <w:r>
                    <w:rPr>
                      <w:rFonts w:hint="default" w:ascii="Times New Roman" w:hAnsi="Times New Roman" w:eastAsia="宋体" w:cs="Times New Roman"/>
                      <w:color w:val="auto"/>
                      <w:sz w:val="24"/>
                      <w:szCs w:val="24"/>
                      <w:lang w:val="en-US" w:eastAsia="zh-CN"/>
                    </w:rPr>
                    <w:t>兰干乡</w:t>
                  </w:r>
                  <w:r>
                    <w:rPr>
                      <w:rFonts w:hint="default" w:ascii="Times New Roman" w:hAnsi="Times New Roman" w:eastAsia="宋体" w:cs="Times New Roman"/>
                      <w:color w:val="auto"/>
                      <w:sz w:val="24"/>
                      <w:szCs w:val="24"/>
                    </w:rPr>
                    <w:t>供电管网。项目营运期通过内部管理、设备选择、生产工艺选择、污染治理等方面采取合理可行的防治措施，以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节能、降耗、减污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为目标，有效控制污染。项目的水、电等资源利用不会突破所在区域的资源利用上线。</w:t>
                  </w:r>
                  <w:r>
                    <w:rPr>
                      <w:rFonts w:hint="default" w:ascii="Times New Roman" w:hAnsi="Times New Roman" w:eastAsia="宋体" w:cs="Times New Roman"/>
                      <w:color w:val="auto"/>
                      <w:sz w:val="24"/>
                      <w:szCs w:val="24"/>
                      <w:lang w:val="en-US" w:eastAsia="zh-CN"/>
                    </w:rPr>
                    <w:t>符合资源利用上线要求。</w:t>
                  </w:r>
                </w:p>
              </w:tc>
              <w:tc>
                <w:tcPr>
                  <w:tcW w:w="597" w:type="pct"/>
                  <w:vAlign w:val="center"/>
                </w:tcPr>
                <w:p w14:paraId="11DC22FE">
                  <w:pPr>
                    <w:pStyle w:val="80"/>
                    <w:keepNext w:val="0"/>
                    <w:keepLines w:val="0"/>
                    <w:pageBreakBefore w:val="0"/>
                    <w:widowControl w:val="0"/>
                    <w:kinsoku/>
                    <w:wordWrap/>
                    <w:overflowPunct/>
                    <w:topLinePunct w:val="0"/>
                    <w:bidi w:val="0"/>
                    <w:adjustRightInd w:val="0"/>
                    <w:snapToGrid w:val="0"/>
                    <w:spacing w:line="400" w:lineRule="exact"/>
                    <w:ind w:firstLine="0" w:firstLineChars="0"/>
                    <w:jc w:val="center"/>
                    <w:textAlignment w:val="auto"/>
                    <w:rPr>
                      <w:rFonts w:hint="default" w:ascii="Times New Roman" w:hAnsi="Times New Roman" w:eastAsia="宋体" w:cs="Times New Roman"/>
                      <w:b w:val="0"/>
                      <w:color w:val="auto"/>
                      <w:sz w:val="24"/>
                      <w:szCs w:val="24"/>
                    </w:rPr>
                  </w:pPr>
                  <w:r>
                    <w:rPr>
                      <w:rFonts w:hint="default" w:ascii="Times New Roman" w:hAnsi="Times New Roman" w:eastAsia="宋体" w:cs="Times New Roman"/>
                      <w:b w:val="0"/>
                      <w:color w:val="auto"/>
                      <w:sz w:val="24"/>
                      <w:szCs w:val="24"/>
                    </w:rPr>
                    <w:t>符合</w:t>
                  </w:r>
                </w:p>
              </w:tc>
            </w:tr>
          </w:tbl>
          <w:p w14:paraId="34B383B1">
            <w:pPr>
              <w:pStyle w:val="5"/>
              <w:autoSpaceDE w:val="0"/>
              <w:autoSpaceDN w:val="0"/>
              <w:adjustRightInd w:val="0"/>
              <w:snapToGrid w:val="0"/>
              <w:ind w:firstLine="480"/>
              <w:rPr>
                <w:b w:val="0"/>
                <w:bCs w:val="0"/>
                <w:color w:val="auto"/>
                <w:sz w:val="24"/>
                <w:szCs w:val="24"/>
              </w:rPr>
            </w:pPr>
            <w:r>
              <w:rPr>
                <w:b w:val="0"/>
                <w:bCs w:val="0"/>
                <w:color w:val="auto"/>
                <w:sz w:val="24"/>
                <w:szCs w:val="24"/>
              </w:rPr>
              <w:t>综上所述，项目符合巴音郭楞蒙古自治州</w:t>
            </w:r>
            <w:r>
              <w:rPr>
                <w:rFonts w:hint="eastAsia"/>
                <w:b w:val="0"/>
                <w:bCs w:val="0"/>
                <w:color w:val="auto"/>
                <w:sz w:val="24"/>
                <w:szCs w:val="24"/>
                <w:lang w:eastAsia="zh-CN"/>
              </w:rPr>
              <w:t>“</w:t>
            </w:r>
            <w:r>
              <w:rPr>
                <w:b w:val="0"/>
                <w:bCs w:val="0"/>
                <w:color w:val="auto"/>
                <w:sz w:val="24"/>
                <w:szCs w:val="24"/>
              </w:rPr>
              <w:t>三线一单</w:t>
            </w:r>
            <w:r>
              <w:rPr>
                <w:rFonts w:hint="eastAsia"/>
                <w:b w:val="0"/>
                <w:bCs w:val="0"/>
                <w:color w:val="auto"/>
                <w:sz w:val="24"/>
                <w:szCs w:val="24"/>
                <w:lang w:eastAsia="zh-CN"/>
              </w:rPr>
              <w:t>”</w:t>
            </w:r>
            <w:r>
              <w:rPr>
                <w:b w:val="0"/>
                <w:bCs w:val="0"/>
                <w:color w:val="auto"/>
                <w:sz w:val="24"/>
                <w:szCs w:val="24"/>
              </w:rPr>
              <w:t>生态环境分区管控要求。</w:t>
            </w:r>
          </w:p>
          <w:p w14:paraId="673E8E10">
            <w:pPr>
              <w:keepNext w:val="0"/>
              <w:keepLines w:val="0"/>
              <w:pageBreakBefore w:val="0"/>
              <w:widowControl/>
              <w:suppressLineNumbers w:val="0"/>
              <w:kinsoku/>
              <w:wordWrap/>
              <w:overflowPunct/>
              <w:topLinePunct w:val="0"/>
              <w:autoSpaceDE/>
              <w:autoSpaceDN/>
              <w:bidi w:val="0"/>
              <w:adjustRightInd/>
              <w:snapToGrid/>
              <w:spacing w:line="360" w:lineRule="auto"/>
              <w:ind w:firstLine="241" w:firstLineChars="100"/>
              <w:jc w:val="left"/>
              <w:textAlignment w:val="auto"/>
              <w:rPr>
                <w:color w:val="auto"/>
              </w:rPr>
            </w:pPr>
            <w:r>
              <w:rPr>
                <w:rFonts w:hint="eastAsia" w:ascii="宋体" w:hAnsi="宋体" w:eastAsia="宋体" w:cs="宋体"/>
                <w:b/>
                <w:bCs/>
                <w:color w:val="auto"/>
                <w:kern w:val="0"/>
                <w:sz w:val="24"/>
                <w:szCs w:val="24"/>
                <w:lang w:val="en-US" w:eastAsia="zh-CN" w:bidi="ar"/>
              </w:rPr>
              <w:t>5.《巴音郭楞蒙古自治州生态环境准入清单》（</w:t>
            </w:r>
            <w:r>
              <w:rPr>
                <w:rFonts w:hint="default" w:ascii="Times New Roman" w:hAnsi="Times New Roman" w:eastAsia="宋体" w:cs="Times New Roman"/>
                <w:b/>
                <w:bCs/>
                <w:color w:val="auto"/>
                <w:kern w:val="0"/>
                <w:sz w:val="24"/>
                <w:szCs w:val="24"/>
                <w:lang w:val="en-US" w:eastAsia="zh-CN" w:bidi="ar"/>
              </w:rPr>
              <w:t>2023</w:t>
            </w:r>
            <w:r>
              <w:rPr>
                <w:rFonts w:hint="eastAsia" w:ascii="宋体" w:hAnsi="宋体" w:eastAsia="宋体" w:cs="宋体"/>
                <w:b/>
                <w:bCs/>
                <w:color w:val="auto"/>
                <w:kern w:val="0"/>
                <w:sz w:val="24"/>
                <w:szCs w:val="24"/>
                <w:lang w:val="en-US" w:eastAsia="zh-CN" w:bidi="ar"/>
              </w:rPr>
              <w:t>年</w:t>
            </w:r>
            <w:r>
              <w:rPr>
                <w:rFonts w:hint="eastAsia" w:ascii="宋体" w:hAnsi="宋体" w:cs="宋体"/>
                <w:b/>
                <w:bCs/>
                <w:color w:val="auto"/>
                <w:kern w:val="0"/>
                <w:sz w:val="24"/>
                <w:szCs w:val="24"/>
                <w:lang w:val="en-US" w:eastAsia="zh-CN" w:bidi="ar"/>
              </w:rPr>
              <w:t>）</w:t>
            </w:r>
            <w:r>
              <w:rPr>
                <w:rFonts w:hint="eastAsia" w:ascii="宋体" w:hAnsi="宋体" w:eastAsia="宋体" w:cs="宋体"/>
                <w:b/>
                <w:bCs/>
                <w:color w:val="auto"/>
                <w:kern w:val="0"/>
                <w:sz w:val="24"/>
                <w:szCs w:val="24"/>
                <w:lang w:val="en-US" w:eastAsia="zh-CN" w:bidi="ar"/>
              </w:rPr>
              <w:t>符合性分析</w:t>
            </w:r>
            <w:r>
              <w:rPr>
                <w:rFonts w:hint="eastAsia" w:ascii="宋体" w:hAnsi="宋体" w:eastAsia="宋体" w:cs="宋体"/>
                <w:color w:val="auto"/>
                <w:kern w:val="0"/>
                <w:sz w:val="24"/>
                <w:szCs w:val="24"/>
                <w:lang w:val="en-US" w:eastAsia="zh-CN" w:bidi="ar"/>
              </w:rPr>
              <w:t xml:space="preserve">。 </w:t>
            </w:r>
          </w:p>
          <w:p w14:paraId="6CC2449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本工程建设地点位于新疆巴州库尔勒市兰干乡兰干村（库尔勒市食品加工产业小镇内</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，根据《巴音郭楞蒙古自治州生态环境准入清单》（</w:t>
            </w:r>
            <w:r>
              <w:rPr>
                <w:rFonts w:hint="default" w:ascii="Times New Roman" w:hAnsi="Times New Roman" w:eastAsia="宋体" w:cs="Times New Roman"/>
                <w:color w:val="auto"/>
                <w:kern w:val="0"/>
                <w:sz w:val="24"/>
                <w:szCs w:val="24"/>
                <w:lang w:val="en-US" w:eastAsia="zh-CN" w:bidi="ar"/>
              </w:rPr>
              <w:t>2023</w:t>
            </w:r>
            <w:r>
              <w:rPr>
                <w:rFonts w:hint="eastAsia" w:ascii="宋体" w:hAnsi="宋体" w:eastAsia="宋体" w:cs="宋体"/>
                <w:color w:val="auto"/>
                <w:kern w:val="0"/>
                <w:sz w:val="24"/>
                <w:szCs w:val="24"/>
                <w:lang w:val="en-US" w:eastAsia="zh-CN" w:bidi="ar"/>
              </w:rPr>
              <w:t>年</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，本工程所在环境管控单元管控要求详见表</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w:t>
            </w:r>
          </w:p>
          <w:tbl>
            <w:tblPr>
              <w:tblStyle w:val="30"/>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3090"/>
              <w:gridCol w:w="2971"/>
              <w:gridCol w:w="737"/>
            </w:tblGrid>
            <w:tr w14:paraId="003BAB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14:paraId="48C0D415">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环境管控</w:t>
                  </w:r>
                </w:p>
                <w:p w14:paraId="479F714A">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单元编码</w:t>
                  </w:r>
                </w:p>
              </w:tc>
              <w:tc>
                <w:tcPr>
                  <w:tcW w:w="3090" w:type="dxa"/>
                  <w:tcBorders>
                    <w:tl2br w:val="nil"/>
                    <w:tr2bl w:val="nil"/>
                  </w:tcBorders>
                  <w:vAlign w:val="center"/>
                </w:tcPr>
                <w:p w14:paraId="1D538E85">
                  <w:pPr>
                    <w:keepNext w:val="0"/>
                    <w:keepLines w:val="0"/>
                    <w:pageBreakBefore w:val="0"/>
                    <w:widowControl/>
                    <w:suppressLineNumbers w:val="0"/>
                    <w:tabs>
                      <w:tab w:val="left" w:pos="1137"/>
                    </w:tabs>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ZH65280120006</w:t>
                  </w:r>
                </w:p>
              </w:tc>
              <w:tc>
                <w:tcPr>
                  <w:tcW w:w="2971" w:type="dxa"/>
                  <w:vMerge w:val="restart"/>
                  <w:tcBorders>
                    <w:tl2br w:val="nil"/>
                    <w:tr2bl w:val="nil"/>
                  </w:tcBorders>
                  <w:vAlign w:val="center"/>
                </w:tcPr>
                <w:p w14:paraId="6A6BA57D">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本</w:t>
                  </w:r>
                  <w:r>
                    <w:rPr>
                      <w:rFonts w:hint="eastAsia" w:ascii="宋体" w:hAnsi="宋体" w:cs="宋体"/>
                      <w:color w:val="auto"/>
                      <w:kern w:val="0"/>
                      <w:sz w:val="24"/>
                      <w:szCs w:val="24"/>
                      <w:vertAlign w:val="baseline"/>
                      <w:lang w:val="en-US" w:eastAsia="zh-CN" w:bidi="ar"/>
                    </w:rPr>
                    <w:t>项目</w:t>
                  </w:r>
                  <w:r>
                    <w:rPr>
                      <w:rFonts w:hint="eastAsia" w:ascii="宋体" w:hAnsi="宋体" w:eastAsia="宋体" w:cs="宋体"/>
                      <w:color w:val="auto"/>
                      <w:kern w:val="0"/>
                      <w:sz w:val="24"/>
                      <w:szCs w:val="24"/>
                      <w:vertAlign w:val="baseline"/>
                      <w:lang w:val="en-US" w:eastAsia="zh-CN" w:bidi="ar"/>
                    </w:rPr>
                    <w:t>情况</w:t>
                  </w:r>
                </w:p>
              </w:tc>
              <w:tc>
                <w:tcPr>
                  <w:tcW w:w="737" w:type="dxa"/>
                  <w:vMerge w:val="restart"/>
                  <w:tcBorders>
                    <w:tl2br w:val="nil"/>
                    <w:tr2bl w:val="nil"/>
                  </w:tcBorders>
                  <w:vAlign w:val="center"/>
                </w:tcPr>
                <w:p w14:paraId="7966A320">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相符性</w:t>
                  </w:r>
                </w:p>
              </w:tc>
            </w:tr>
            <w:tr w14:paraId="3E9EC9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137" w:type="dxa"/>
                  <w:tcBorders>
                    <w:tl2br w:val="nil"/>
                    <w:tr2bl w:val="nil"/>
                  </w:tcBorders>
                  <w:vAlign w:val="center"/>
                </w:tcPr>
                <w:p w14:paraId="7B74B278">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环境管控</w:t>
                  </w:r>
                  <w:r>
                    <w:rPr>
                      <w:rFonts w:hint="eastAsia" w:ascii="宋体" w:hAnsi="宋体" w:cs="宋体"/>
                      <w:color w:val="auto"/>
                      <w:kern w:val="0"/>
                      <w:sz w:val="24"/>
                      <w:szCs w:val="24"/>
                      <w:vertAlign w:val="baseline"/>
                      <w:lang w:val="en-US" w:eastAsia="zh-CN" w:bidi="ar"/>
                    </w:rPr>
                    <w:t>单元名称</w:t>
                  </w:r>
                </w:p>
              </w:tc>
              <w:tc>
                <w:tcPr>
                  <w:tcW w:w="3090" w:type="dxa"/>
                  <w:tcBorders>
                    <w:tl2br w:val="nil"/>
                    <w:tr2bl w:val="nil"/>
                  </w:tcBorders>
                  <w:vAlign w:val="center"/>
                </w:tcPr>
                <w:p w14:paraId="1FFB9629">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库尔勒市兰干乡工业水污染物重点管控区</w:t>
                  </w:r>
                </w:p>
              </w:tc>
              <w:tc>
                <w:tcPr>
                  <w:tcW w:w="2971" w:type="dxa"/>
                  <w:vMerge w:val="continue"/>
                  <w:tcBorders>
                    <w:tl2br w:val="nil"/>
                    <w:tr2bl w:val="nil"/>
                  </w:tcBorders>
                  <w:vAlign w:val="top"/>
                </w:tcPr>
                <w:p w14:paraId="64A6B5B6">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default" w:ascii="宋体" w:hAnsi="宋体" w:eastAsia="宋体" w:cs="宋体"/>
                      <w:color w:val="auto"/>
                      <w:kern w:val="0"/>
                      <w:sz w:val="24"/>
                      <w:szCs w:val="24"/>
                      <w:vertAlign w:val="baseline"/>
                      <w:lang w:val="en-US" w:eastAsia="zh-CN" w:bidi="ar"/>
                    </w:rPr>
                  </w:pPr>
                </w:p>
              </w:tc>
              <w:tc>
                <w:tcPr>
                  <w:tcW w:w="737" w:type="dxa"/>
                  <w:vMerge w:val="continue"/>
                  <w:tcBorders>
                    <w:tl2br w:val="nil"/>
                    <w:tr2bl w:val="nil"/>
                  </w:tcBorders>
                  <w:vAlign w:val="top"/>
                </w:tcPr>
                <w:p w14:paraId="22416C7D">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default" w:ascii="宋体" w:hAnsi="宋体" w:eastAsia="宋体" w:cs="宋体"/>
                      <w:color w:val="auto"/>
                      <w:kern w:val="0"/>
                      <w:sz w:val="24"/>
                      <w:szCs w:val="24"/>
                      <w:vertAlign w:val="baseline"/>
                      <w:lang w:val="en-US" w:eastAsia="zh-CN" w:bidi="ar"/>
                    </w:rPr>
                  </w:pPr>
                </w:p>
              </w:tc>
            </w:tr>
            <w:tr w14:paraId="71D61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center"/>
                </w:tcPr>
                <w:p w14:paraId="639B03DC">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cs="宋体"/>
                      <w:color w:val="auto"/>
                      <w:kern w:val="0"/>
                      <w:sz w:val="24"/>
                      <w:szCs w:val="24"/>
                      <w:vertAlign w:val="baseline"/>
                      <w:lang w:val="en-US" w:eastAsia="zh-CN" w:bidi="ar"/>
                    </w:rPr>
                    <w:t>环境管控单元类别</w:t>
                  </w:r>
                </w:p>
              </w:tc>
              <w:tc>
                <w:tcPr>
                  <w:tcW w:w="3090" w:type="dxa"/>
                  <w:tcBorders>
                    <w:tl2br w:val="nil"/>
                    <w:tr2bl w:val="nil"/>
                  </w:tcBorders>
                  <w:vAlign w:val="center"/>
                </w:tcPr>
                <w:p w14:paraId="5585E6C9">
                  <w:pPr>
                    <w:keepNext w:val="0"/>
                    <w:keepLines w:val="0"/>
                    <w:pageBreakBefore w:val="0"/>
                    <w:widowControl/>
                    <w:suppressLineNumbers w:val="0"/>
                    <w:tabs>
                      <w:tab w:val="left" w:pos="522"/>
                    </w:tabs>
                    <w:kinsoku/>
                    <w:wordWrap/>
                    <w:overflowPunct/>
                    <w:topLinePunct w:val="0"/>
                    <w:autoSpaceDE/>
                    <w:autoSpaceDN/>
                    <w:bidi w:val="0"/>
                    <w:adjustRightInd/>
                    <w:snapToGrid/>
                    <w:spacing w:line="360" w:lineRule="auto"/>
                    <w:ind w:left="-84" w:leftChars="-40" w:right="-84" w:rightChars="-40"/>
                    <w:jc w:val="center"/>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重点管控单元</w:t>
                  </w:r>
                </w:p>
              </w:tc>
              <w:tc>
                <w:tcPr>
                  <w:tcW w:w="2971" w:type="dxa"/>
                  <w:vMerge w:val="continue"/>
                  <w:tcBorders>
                    <w:tl2br w:val="nil"/>
                    <w:tr2bl w:val="nil"/>
                  </w:tcBorders>
                  <w:vAlign w:val="top"/>
                </w:tcPr>
                <w:p w14:paraId="585D5977">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eastAsia" w:ascii="宋体" w:hAnsi="宋体" w:eastAsia="宋体" w:cs="宋体"/>
                      <w:color w:val="auto"/>
                      <w:kern w:val="0"/>
                      <w:sz w:val="24"/>
                      <w:szCs w:val="24"/>
                      <w:vertAlign w:val="baseline"/>
                      <w:lang w:val="en-US" w:eastAsia="zh-CN" w:bidi="ar"/>
                    </w:rPr>
                  </w:pPr>
                </w:p>
              </w:tc>
              <w:tc>
                <w:tcPr>
                  <w:tcW w:w="737" w:type="dxa"/>
                  <w:vMerge w:val="continue"/>
                  <w:tcBorders>
                    <w:tl2br w:val="nil"/>
                    <w:tr2bl w:val="nil"/>
                  </w:tcBorders>
                  <w:vAlign w:val="top"/>
                </w:tcPr>
                <w:p w14:paraId="317CA0A2">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eastAsia" w:ascii="宋体" w:hAnsi="宋体" w:eastAsia="宋体" w:cs="宋体"/>
                      <w:color w:val="auto"/>
                      <w:kern w:val="0"/>
                      <w:sz w:val="24"/>
                      <w:szCs w:val="24"/>
                      <w:vertAlign w:val="baseline"/>
                      <w:lang w:val="en-US" w:eastAsia="zh-CN" w:bidi="ar"/>
                    </w:rPr>
                  </w:pPr>
                </w:p>
              </w:tc>
            </w:tr>
            <w:tr w14:paraId="2A30B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top"/>
                </w:tcPr>
                <w:p w14:paraId="14A8CADA">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jc w:val="center"/>
                    <w:textAlignment w:val="auto"/>
                    <w:rPr>
                      <w:rFonts w:hint="eastAsia" w:ascii="宋体" w:hAnsi="宋体" w:eastAsia="宋体" w:cs="宋体"/>
                      <w:color w:val="auto"/>
                      <w:kern w:val="0"/>
                      <w:sz w:val="24"/>
                      <w:szCs w:val="24"/>
                      <w:vertAlign w:val="baseline"/>
                      <w:lang w:val="en-US" w:eastAsia="zh-CN" w:bidi="ar"/>
                    </w:rPr>
                  </w:pPr>
                </w:p>
                <w:p w14:paraId="23C7AA32">
                  <w:pPr>
                    <w:keepNext w:val="0"/>
                    <w:keepLines w:val="0"/>
                    <w:pageBreakBefore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auto"/>
                      <w:kern w:val="2"/>
                      <w:sz w:val="24"/>
                      <w:szCs w:val="24"/>
                      <w:lang w:val="en-US" w:eastAsia="zh-CN" w:bidi="ar-SA"/>
                    </w:rPr>
                  </w:pPr>
                </w:p>
                <w:p w14:paraId="5D67C4A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空间布局约束</w:t>
                  </w:r>
                </w:p>
              </w:tc>
              <w:tc>
                <w:tcPr>
                  <w:tcW w:w="3090" w:type="dxa"/>
                  <w:tcBorders>
                    <w:tl2br w:val="nil"/>
                    <w:tr2bl w:val="nil"/>
                  </w:tcBorders>
                  <w:vAlign w:val="top"/>
                </w:tcPr>
                <w:p w14:paraId="417EB5D8">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1.杜绝“十小”企业死灰复燃。将其他不能稳定达标排放的工业企业废水治理工作纳入年度计划并进行改造。 </w:t>
                  </w:r>
                </w:p>
                <w:p w14:paraId="7AC77251">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2.强化环境准入，促进产业升级。禁止不符合国家、自治区和地区产业政策，已列入淘汰生产能力、工艺和产品目录的项目建设。优化高耗水、重污染工业项目的布局与发展，逐步淘汰落后工艺和设备。</w:t>
                  </w:r>
                </w:p>
              </w:tc>
              <w:tc>
                <w:tcPr>
                  <w:tcW w:w="2971" w:type="dxa"/>
                  <w:tcBorders>
                    <w:tl2br w:val="nil"/>
                    <w:tr2bl w:val="nil"/>
                  </w:tcBorders>
                  <w:vAlign w:val="top"/>
                </w:tcPr>
                <w:p w14:paraId="04D8A3F5">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31" w:firstLineChars="0"/>
                    <w:jc w:val="both"/>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本项目属于其他农副食品加工项目，不属于“十小”企业。符合库尔勒市兰干乡生态环境准入清单中重点以养殖业、农副产品加工为主、林果加工业的单元特点。</w:t>
                  </w:r>
                </w:p>
              </w:tc>
              <w:tc>
                <w:tcPr>
                  <w:tcW w:w="737" w:type="dxa"/>
                  <w:tcBorders>
                    <w:tl2br w:val="nil"/>
                    <w:tr2bl w:val="nil"/>
                  </w:tcBorders>
                  <w:vAlign w:val="top"/>
                </w:tcPr>
                <w:p w14:paraId="7C3010DA">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eastAsia" w:ascii="宋体" w:hAnsi="宋体" w:eastAsia="宋体" w:cs="宋体"/>
                      <w:color w:val="auto"/>
                      <w:kern w:val="0"/>
                      <w:sz w:val="24"/>
                      <w:szCs w:val="24"/>
                      <w:vertAlign w:val="baseline"/>
                      <w:lang w:val="en-US" w:eastAsia="zh-CN" w:bidi="ar"/>
                    </w:rPr>
                  </w:pPr>
                </w:p>
                <w:p w14:paraId="3E4DF2DF">
                  <w:pPr>
                    <w:bidi w:val="0"/>
                    <w:rPr>
                      <w:rFonts w:hint="eastAsia" w:ascii="Times New Roman" w:hAnsi="Times New Roman" w:eastAsia="宋体" w:cs="Times New Roman"/>
                      <w:color w:val="auto"/>
                      <w:kern w:val="2"/>
                      <w:sz w:val="24"/>
                      <w:szCs w:val="24"/>
                      <w:lang w:val="en-US" w:eastAsia="zh-CN" w:bidi="ar-SA"/>
                    </w:rPr>
                  </w:pPr>
                </w:p>
                <w:p w14:paraId="2284753F">
                  <w:pPr>
                    <w:bidi w:val="0"/>
                    <w:rPr>
                      <w:rFonts w:hint="eastAsia"/>
                      <w:color w:val="auto"/>
                      <w:sz w:val="24"/>
                      <w:szCs w:val="24"/>
                      <w:lang w:val="en-US" w:eastAsia="zh-CN"/>
                    </w:rPr>
                  </w:pPr>
                </w:p>
                <w:p w14:paraId="586CDE46">
                  <w:pPr>
                    <w:bidi w:val="0"/>
                    <w:rPr>
                      <w:rFonts w:hint="eastAsia"/>
                      <w:color w:val="auto"/>
                      <w:sz w:val="24"/>
                      <w:szCs w:val="24"/>
                      <w:lang w:val="en-US" w:eastAsia="zh-CN"/>
                    </w:rPr>
                  </w:pPr>
                </w:p>
                <w:p w14:paraId="0785B627">
                  <w:pPr>
                    <w:bidi w:val="0"/>
                    <w:rPr>
                      <w:rFonts w:hint="eastAsia"/>
                      <w:color w:val="auto"/>
                      <w:sz w:val="24"/>
                      <w:szCs w:val="24"/>
                      <w:lang w:val="en-US" w:eastAsia="zh-CN"/>
                    </w:rPr>
                  </w:pPr>
                </w:p>
                <w:p w14:paraId="6481447E">
                  <w:pPr>
                    <w:bidi w:val="0"/>
                    <w:rPr>
                      <w:rFonts w:hint="eastAsia"/>
                      <w:color w:val="auto"/>
                      <w:sz w:val="24"/>
                      <w:szCs w:val="24"/>
                      <w:lang w:val="en-US" w:eastAsia="zh-CN"/>
                    </w:rPr>
                  </w:pPr>
                </w:p>
                <w:p w14:paraId="13F65697">
                  <w:pPr>
                    <w:bidi w:val="0"/>
                    <w:jc w:val="left"/>
                    <w:rPr>
                      <w:rFonts w:hint="default"/>
                      <w:color w:val="auto"/>
                      <w:sz w:val="24"/>
                      <w:szCs w:val="24"/>
                      <w:lang w:val="en-US" w:eastAsia="zh-CN"/>
                    </w:rPr>
                  </w:pPr>
                  <w:r>
                    <w:rPr>
                      <w:rFonts w:hint="eastAsia"/>
                      <w:color w:val="auto"/>
                      <w:sz w:val="24"/>
                      <w:szCs w:val="24"/>
                      <w:lang w:val="en-US" w:eastAsia="zh-CN"/>
                    </w:rPr>
                    <w:t>符合</w:t>
                  </w:r>
                </w:p>
              </w:tc>
            </w:tr>
            <w:tr w14:paraId="73F75F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top"/>
                </w:tcPr>
                <w:p w14:paraId="34202780">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firstLineChars="0"/>
                    <w:jc w:val="center"/>
                    <w:textAlignment w:val="auto"/>
                    <w:rPr>
                      <w:rFonts w:hint="eastAsia" w:ascii="宋体" w:hAnsi="宋体" w:eastAsia="宋体" w:cs="宋体"/>
                      <w:color w:val="auto"/>
                      <w:kern w:val="0"/>
                      <w:sz w:val="24"/>
                      <w:szCs w:val="24"/>
                      <w:vertAlign w:val="baseline"/>
                      <w:lang w:val="en-US" w:eastAsia="zh-CN" w:bidi="ar"/>
                    </w:rPr>
                  </w:pPr>
                </w:p>
                <w:p w14:paraId="29133D7A">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firstLineChars="0"/>
                    <w:jc w:val="center"/>
                    <w:textAlignment w:val="auto"/>
                    <w:rPr>
                      <w:rFonts w:hint="eastAsia" w:ascii="宋体" w:hAnsi="宋体" w:eastAsia="宋体" w:cs="宋体"/>
                      <w:color w:val="auto"/>
                      <w:kern w:val="0"/>
                      <w:sz w:val="24"/>
                      <w:szCs w:val="24"/>
                      <w:vertAlign w:val="baseline"/>
                      <w:lang w:val="en-US" w:eastAsia="zh-CN" w:bidi="ar"/>
                    </w:rPr>
                  </w:pPr>
                </w:p>
                <w:p w14:paraId="6E33D96E">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firstLineChars="0"/>
                    <w:jc w:val="center"/>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污染物</w:t>
                  </w:r>
                </w:p>
                <w:p w14:paraId="6C11F354">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firstLineChars="0"/>
                    <w:jc w:val="center"/>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排放管控</w:t>
                  </w:r>
                </w:p>
              </w:tc>
              <w:tc>
                <w:tcPr>
                  <w:tcW w:w="3090" w:type="dxa"/>
                  <w:tcBorders>
                    <w:tl2br w:val="nil"/>
                    <w:tr2bl w:val="nil"/>
                  </w:tcBorders>
                  <w:vAlign w:val="top"/>
                </w:tcPr>
                <w:p w14:paraId="6FC00FD0">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全面推行排污许可。全面完成重点污染源排污许可证的核发工作，加强日常监督检查，依法查处违反排污许可证管理规定的行为。以改善水质、防范环境风险为目标，将污染物排放种类、浓度、总量、排放去向等纳入许可证管理范围，实现对排污单位环境管理要求的全方位规范和全过程监管。 </w:t>
                  </w:r>
                </w:p>
                <w:p w14:paraId="3B767BAD">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2.加快产业结构转型升级，完善农副产品加工业等工业企业污染治理设施，推进工业污水达标排放。</w:t>
                  </w:r>
                </w:p>
              </w:tc>
              <w:tc>
                <w:tcPr>
                  <w:tcW w:w="2971" w:type="dxa"/>
                  <w:tcBorders>
                    <w:tl2br w:val="nil"/>
                    <w:tr2bl w:val="nil"/>
                  </w:tcBorders>
                  <w:vAlign w:val="top"/>
                </w:tcPr>
                <w:p w14:paraId="7C2F4F61">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61" w:firstLineChars="0"/>
                    <w:jc w:val="both"/>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本项目在报批环评报告表后、项目实际发生排污行为之前，</w:t>
                  </w:r>
                  <w:r>
                    <w:rPr>
                      <w:rFonts w:hint="eastAsia" w:ascii="宋体" w:hAnsi="宋体" w:cs="宋体"/>
                      <w:color w:val="auto"/>
                      <w:kern w:val="0"/>
                      <w:sz w:val="24"/>
                      <w:szCs w:val="24"/>
                      <w:vertAlign w:val="baseline"/>
                      <w:lang w:val="en-US" w:eastAsia="zh-CN" w:bidi="ar"/>
                    </w:rPr>
                    <w:t>将</w:t>
                  </w:r>
                  <w:r>
                    <w:rPr>
                      <w:rFonts w:hint="eastAsia" w:ascii="宋体" w:hAnsi="宋体" w:eastAsia="宋体" w:cs="宋体"/>
                      <w:color w:val="auto"/>
                      <w:kern w:val="0"/>
                      <w:sz w:val="24"/>
                      <w:szCs w:val="24"/>
                      <w:vertAlign w:val="baseline"/>
                      <w:lang w:val="en-US" w:eastAsia="zh-CN" w:bidi="ar"/>
                    </w:rPr>
                    <w:t>根据《固定污染源排污许可分类管理名录（2019年版</w:t>
                  </w:r>
                  <w:r>
                    <w:rPr>
                      <w:rFonts w:hint="eastAsia" w:ascii="宋体" w:hAnsi="宋体" w:cs="宋体"/>
                      <w:color w:val="auto"/>
                      <w:kern w:val="0"/>
                      <w:sz w:val="24"/>
                      <w:szCs w:val="24"/>
                      <w:vertAlign w:val="baseline"/>
                      <w:lang w:val="en-US" w:eastAsia="zh-CN" w:bidi="ar"/>
                    </w:rPr>
                    <w:t>）</w:t>
                  </w:r>
                  <w:r>
                    <w:rPr>
                      <w:rFonts w:hint="eastAsia" w:ascii="宋体" w:hAnsi="宋体" w:eastAsia="宋体" w:cs="宋体"/>
                      <w:color w:val="auto"/>
                      <w:kern w:val="0"/>
                      <w:sz w:val="24"/>
                      <w:szCs w:val="24"/>
                      <w:vertAlign w:val="baseline"/>
                      <w:lang w:val="en-US" w:eastAsia="zh-CN" w:bidi="ar"/>
                    </w:rPr>
                    <w:t>》（生态环境部令第11号，2019年12月20日</w:t>
                  </w:r>
                  <w:r>
                    <w:rPr>
                      <w:rFonts w:hint="eastAsia" w:ascii="宋体" w:hAnsi="宋体" w:cs="宋体"/>
                      <w:color w:val="auto"/>
                      <w:kern w:val="0"/>
                      <w:sz w:val="24"/>
                      <w:szCs w:val="24"/>
                      <w:vertAlign w:val="baseline"/>
                      <w:lang w:val="en-US" w:eastAsia="zh-CN" w:bidi="ar"/>
                    </w:rPr>
                    <w:t>）</w:t>
                  </w:r>
                  <w:r>
                    <w:rPr>
                      <w:rFonts w:hint="eastAsia" w:ascii="宋体" w:hAnsi="宋体" w:eastAsia="宋体" w:cs="宋体"/>
                      <w:color w:val="auto"/>
                      <w:kern w:val="0"/>
                      <w:sz w:val="24"/>
                      <w:szCs w:val="24"/>
                      <w:vertAlign w:val="baseline"/>
                      <w:lang w:val="en-US" w:eastAsia="zh-CN" w:bidi="ar"/>
                    </w:rPr>
                    <w:t>申请排污许可证，作为本项目合法运行的前提。</w:t>
                  </w:r>
                </w:p>
                <w:p w14:paraId="4E484749">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61" w:firstLineChars="0"/>
                    <w:jc w:val="both"/>
                    <w:textAlignment w:val="auto"/>
                    <w:rPr>
                      <w:rFonts w:hint="default" w:ascii="宋体" w:hAnsi="宋体" w:eastAsia="宋体" w:cs="宋体"/>
                      <w:color w:val="auto"/>
                      <w:kern w:val="0"/>
                      <w:sz w:val="24"/>
                      <w:szCs w:val="24"/>
                      <w:vertAlign w:val="baseline"/>
                      <w:lang w:val="en-US" w:eastAsia="zh-CN" w:bidi="ar"/>
                    </w:rPr>
                  </w:pPr>
                  <w:r>
                    <w:rPr>
                      <w:rFonts w:hint="eastAsia"/>
                      <w:b w:val="0"/>
                      <w:color w:val="auto"/>
                      <w:sz w:val="24"/>
                      <w:szCs w:val="24"/>
                      <w:lang w:val="en-US" w:eastAsia="zh-CN"/>
                    </w:rPr>
                    <w:t>本项目生产、生活废水和产业小镇内生产、生活废水经配套污水处理站处理后达到《肉类加工工业水污染物排放标准》（GB13457-92）中表3三级排放限值标准后排入市政污水管网，最终进入库尔勒金城洁净排水有限责任公司库尔勒市老城区污水处理厂深度处理。</w:t>
                  </w:r>
                </w:p>
              </w:tc>
              <w:tc>
                <w:tcPr>
                  <w:tcW w:w="737" w:type="dxa"/>
                  <w:tcBorders>
                    <w:tl2br w:val="nil"/>
                    <w:tr2bl w:val="nil"/>
                  </w:tcBorders>
                  <w:vAlign w:val="center"/>
                </w:tcPr>
                <w:p w14:paraId="394CFC19">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jc w:val="center"/>
                    <w:textAlignment w:val="auto"/>
                    <w:rPr>
                      <w:rFonts w:hint="eastAsia" w:ascii="宋体" w:hAnsi="宋体" w:eastAsia="宋体" w:cs="宋体"/>
                      <w:color w:val="auto"/>
                      <w:kern w:val="0"/>
                      <w:sz w:val="24"/>
                      <w:szCs w:val="24"/>
                      <w:vertAlign w:val="baseline"/>
                      <w:lang w:val="en-US" w:eastAsia="zh-CN" w:bidi="ar"/>
                    </w:rPr>
                  </w:pPr>
                </w:p>
                <w:p w14:paraId="12CE0EF3">
                  <w:pPr>
                    <w:keepNext w:val="0"/>
                    <w:keepLines w:val="0"/>
                    <w:pageBreakBefore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color w:val="auto"/>
                      <w:kern w:val="2"/>
                      <w:sz w:val="24"/>
                      <w:szCs w:val="24"/>
                      <w:lang w:val="en-US" w:eastAsia="zh-CN" w:bidi="ar-SA"/>
                    </w:rPr>
                  </w:pPr>
                </w:p>
                <w:p w14:paraId="145C22F6">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54F41B41">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705381D9">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5AF251C2">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17160C49">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140C332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color w:val="auto"/>
                      <w:sz w:val="24"/>
                      <w:szCs w:val="24"/>
                      <w:lang w:val="en-US" w:eastAsia="zh-CN"/>
                    </w:rPr>
                  </w:pPr>
                  <w:r>
                    <w:rPr>
                      <w:rFonts w:hint="eastAsia"/>
                      <w:color w:val="auto"/>
                      <w:sz w:val="24"/>
                      <w:szCs w:val="24"/>
                      <w:lang w:val="en-US" w:eastAsia="zh-CN"/>
                    </w:rPr>
                    <w:t>符合</w:t>
                  </w:r>
                </w:p>
              </w:tc>
            </w:tr>
            <w:tr w14:paraId="13A90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top"/>
                </w:tcPr>
                <w:p w14:paraId="3CEA1D13">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jc w:val="center"/>
                    <w:textAlignment w:val="auto"/>
                    <w:rPr>
                      <w:rFonts w:hint="eastAsia" w:ascii="宋体" w:hAnsi="宋体" w:eastAsia="宋体" w:cs="宋体"/>
                      <w:color w:val="auto"/>
                      <w:kern w:val="0"/>
                      <w:sz w:val="24"/>
                      <w:szCs w:val="24"/>
                      <w:vertAlign w:val="baseline"/>
                      <w:lang w:val="en-US" w:eastAsia="zh-CN" w:bidi="ar"/>
                    </w:rPr>
                  </w:pPr>
                </w:p>
                <w:p w14:paraId="097C124B">
                  <w:pPr>
                    <w:keepNext w:val="0"/>
                    <w:keepLines w:val="0"/>
                    <w:pageBreakBefore w:val="0"/>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环境风险防控</w:t>
                  </w:r>
                </w:p>
              </w:tc>
              <w:tc>
                <w:tcPr>
                  <w:tcW w:w="3090" w:type="dxa"/>
                  <w:tcBorders>
                    <w:tl2br w:val="nil"/>
                    <w:tr2bl w:val="nil"/>
                  </w:tcBorders>
                  <w:vAlign w:val="top"/>
                </w:tcPr>
                <w:p w14:paraId="03D5AB17">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1.严格环境风险控制。防范环境风险，定期评估工业集聚区环境和健康风险，加强预案管理， 落实防控措施，排除水污染隐患。 </w:t>
                  </w:r>
                </w:p>
                <w:p w14:paraId="5F7896AF">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2.加强对地下水、地表水污染的动态监测，禁止利用渗坑、渗井排放工业废水和生活污水，控制或杜绝污染。</w:t>
                  </w:r>
                </w:p>
              </w:tc>
              <w:tc>
                <w:tcPr>
                  <w:tcW w:w="2971" w:type="dxa"/>
                  <w:tcBorders>
                    <w:tl2br w:val="nil"/>
                    <w:tr2bl w:val="nil"/>
                  </w:tcBorders>
                  <w:vAlign w:val="top"/>
                </w:tcPr>
                <w:p w14:paraId="7F15A9C9">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206" w:firstLineChars="0"/>
                    <w:jc w:val="both"/>
                    <w:textAlignment w:val="auto"/>
                    <w:rPr>
                      <w:rFonts w:hint="eastAsia"/>
                      <w:b w:val="0"/>
                      <w:color w:val="auto"/>
                      <w:sz w:val="24"/>
                      <w:szCs w:val="24"/>
                      <w:lang w:val="en-US" w:eastAsia="zh-CN"/>
                    </w:rPr>
                  </w:pPr>
                  <w:r>
                    <w:rPr>
                      <w:rFonts w:hint="eastAsia" w:ascii="宋体" w:hAnsi="宋体" w:eastAsia="宋体" w:cs="宋体"/>
                      <w:color w:val="auto"/>
                      <w:kern w:val="0"/>
                      <w:sz w:val="24"/>
                      <w:szCs w:val="24"/>
                      <w:vertAlign w:val="baseline"/>
                      <w:lang w:val="en-US" w:eastAsia="zh-CN" w:bidi="ar"/>
                    </w:rPr>
                    <w:t>本项目位于库尔勒市</w:t>
                  </w:r>
                  <w:r>
                    <w:rPr>
                      <w:rFonts w:hint="eastAsia" w:ascii="Times New Roman" w:hAnsi="Times New Roman"/>
                      <w:b w:val="0"/>
                      <w:color w:val="auto"/>
                      <w:sz w:val="24"/>
                      <w:szCs w:val="24"/>
                      <w:lang w:val="en-US" w:eastAsia="zh-CN"/>
                    </w:rPr>
                    <w:t>兰干乡兰干村（库尔勒市食品加工产业小镇内</w:t>
                  </w:r>
                  <w:r>
                    <w:rPr>
                      <w:rFonts w:hint="eastAsia"/>
                      <w:b w:val="0"/>
                      <w:color w:val="auto"/>
                      <w:sz w:val="24"/>
                      <w:szCs w:val="24"/>
                      <w:lang w:val="en-US" w:eastAsia="zh-CN"/>
                    </w:rPr>
                    <w:t>），项目建成后企业会根据项目现状编制突发环境事件应急预案。</w:t>
                  </w:r>
                </w:p>
                <w:p w14:paraId="0E297FC5">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206" w:firstLineChars="0"/>
                    <w:jc w:val="both"/>
                    <w:textAlignment w:val="auto"/>
                    <w:rPr>
                      <w:rFonts w:hint="default" w:ascii="宋体" w:hAnsi="宋体" w:eastAsia="宋体" w:cs="宋体"/>
                      <w:color w:val="auto"/>
                      <w:kern w:val="0"/>
                      <w:sz w:val="24"/>
                      <w:szCs w:val="24"/>
                      <w:vertAlign w:val="baseline"/>
                      <w:lang w:val="en-US" w:eastAsia="zh-CN" w:bidi="ar"/>
                    </w:rPr>
                  </w:pPr>
                  <w:r>
                    <w:rPr>
                      <w:rFonts w:hint="eastAsia"/>
                      <w:b w:val="0"/>
                      <w:color w:val="auto"/>
                      <w:sz w:val="24"/>
                      <w:szCs w:val="24"/>
                      <w:lang w:val="en-US" w:eastAsia="zh-CN"/>
                    </w:rPr>
                    <w:t>本项目生产、生活废水和产业小镇内生产、生活废水经配套污水处理站处理后达到《肉类加工工业水污染物排放标准》（GB13457-92）中表3三级排放限值标准后排入市政污水管网，最终进入库尔勒金城洁净排水有限责任公司库尔勒市老城区污水处理厂深度处理。</w:t>
                  </w:r>
                </w:p>
              </w:tc>
              <w:tc>
                <w:tcPr>
                  <w:tcW w:w="737" w:type="dxa"/>
                  <w:tcBorders>
                    <w:tl2br w:val="nil"/>
                    <w:tr2bl w:val="nil"/>
                  </w:tcBorders>
                  <w:vAlign w:val="center"/>
                </w:tcPr>
                <w:p w14:paraId="7668E061">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jc w:val="center"/>
                    <w:textAlignment w:val="auto"/>
                    <w:rPr>
                      <w:rFonts w:hint="eastAsia" w:ascii="宋体" w:hAnsi="宋体" w:eastAsia="宋体" w:cs="宋体"/>
                      <w:color w:val="auto"/>
                      <w:kern w:val="0"/>
                      <w:sz w:val="24"/>
                      <w:szCs w:val="24"/>
                      <w:vertAlign w:val="baseline"/>
                      <w:lang w:val="en-US" w:eastAsia="zh-CN" w:bidi="ar"/>
                    </w:rPr>
                  </w:pPr>
                </w:p>
                <w:p w14:paraId="4F53D60F">
                  <w:pPr>
                    <w:keepNext w:val="0"/>
                    <w:keepLines w:val="0"/>
                    <w:pageBreakBefore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color w:val="auto"/>
                      <w:kern w:val="2"/>
                      <w:sz w:val="24"/>
                      <w:szCs w:val="24"/>
                      <w:lang w:val="en-US" w:eastAsia="zh-CN" w:bidi="ar-SA"/>
                    </w:rPr>
                  </w:pPr>
                </w:p>
                <w:p w14:paraId="164DB983">
                  <w:pPr>
                    <w:keepNext w:val="0"/>
                    <w:keepLines w:val="0"/>
                    <w:pageBreakBefore w:val="0"/>
                    <w:kinsoku/>
                    <w:wordWrap/>
                    <w:overflowPunct/>
                    <w:topLinePunct w:val="0"/>
                    <w:autoSpaceDE/>
                    <w:autoSpaceDN/>
                    <w:bidi w:val="0"/>
                    <w:adjustRightInd/>
                    <w:snapToGrid/>
                    <w:ind w:firstLine="0"/>
                    <w:jc w:val="center"/>
                    <w:textAlignment w:val="auto"/>
                    <w:rPr>
                      <w:rFonts w:hint="eastAsia"/>
                      <w:color w:val="auto"/>
                      <w:sz w:val="24"/>
                      <w:szCs w:val="24"/>
                      <w:lang w:val="en-US" w:eastAsia="zh-CN"/>
                    </w:rPr>
                  </w:pPr>
                </w:p>
                <w:p w14:paraId="212225F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color w:val="auto"/>
                      <w:sz w:val="24"/>
                      <w:szCs w:val="24"/>
                      <w:lang w:val="en-US" w:eastAsia="zh-CN"/>
                    </w:rPr>
                  </w:pPr>
                  <w:r>
                    <w:rPr>
                      <w:rFonts w:hint="eastAsia"/>
                      <w:color w:val="auto"/>
                      <w:sz w:val="24"/>
                      <w:szCs w:val="24"/>
                      <w:lang w:val="en-US" w:eastAsia="zh-CN"/>
                    </w:rPr>
                    <w:t>符合</w:t>
                  </w:r>
                </w:p>
              </w:tc>
            </w:tr>
            <w:tr w14:paraId="3EB1F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7" w:type="dxa"/>
                  <w:tcBorders>
                    <w:tl2br w:val="nil"/>
                    <w:tr2bl w:val="nil"/>
                  </w:tcBorders>
                  <w:vAlign w:val="top"/>
                </w:tcPr>
                <w:p w14:paraId="0DD16FA6">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0"/>
                    <w:jc w:val="both"/>
                    <w:textAlignment w:val="auto"/>
                    <w:rPr>
                      <w:rFonts w:hint="eastAsia" w:ascii="宋体" w:hAnsi="宋体" w:eastAsia="宋体" w:cs="宋体"/>
                      <w:color w:val="auto"/>
                      <w:kern w:val="0"/>
                      <w:sz w:val="24"/>
                      <w:szCs w:val="24"/>
                      <w:vertAlign w:val="baseline"/>
                      <w:lang w:val="en-US" w:eastAsia="zh-CN" w:bidi="ar"/>
                    </w:rPr>
                  </w:pPr>
                </w:p>
                <w:p w14:paraId="5998D593">
                  <w:pPr>
                    <w:keepNext w:val="0"/>
                    <w:keepLines w:val="0"/>
                    <w:pageBreakBefore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kern w:val="2"/>
                      <w:sz w:val="24"/>
                      <w:szCs w:val="24"/>
                      <w:lang w:val="en-US" w:eastAsia="zh-CN" w:bidi="ar-SA"/>
                    </w:rPr>
                  </w:pPr>
                </w:p>
                <w:p w14:paraId="240DA44C">
                  <w:pPr>
                    <w:keepNext w:val="0"/>
                    <w:keepLines w:val="0"/>
                    <w:pageBreakBefore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sz w:val="24"/>
                      <w:szCs w:val="24"/>
                      <w:lang w:val="en-US" w:eastAsia="zh-CN"/>
                    </w:rPr>
                  </w:pPr>
                </w:p>
                <w:p w14:paraId="29414667">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资源利用效率</w:t>
                  </w:r>
                </w:p>
              </w:tc>
              <w:tc>
                <w:tcPr>
                  <w:tcW w:w="3090" w:type="dxa"/>
                  <w:tcBorders>
                    <w:tl2br w:val="nil"/>
                    <w:tr2bl w:val="nil"/>
                  </w:tcBorders>
                  <w:vAlign w:val="top"/>
                </w:tcPr>
                <w:p w14:paraId="288E485D">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1.节约水资源。一是提高水资源利用效率（从农业方面、工业方面和生活用水方面进行</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；二是调整优化产业结构；三是调整生态环境用水；四是加强水资源综合利用。 </w:t>
                  </w:r>
                </w:p>
                <w:p w14:paraId="3A2FAC84">
                  <w:pPr>
                    <w:keepNext w:val="0"/>
                    <w:keepLines w:val="0"/>
                    <w:pageBreakBefore w:val="0"/>
                    <w:widowControl/>
                    <w:suppressLineNumbers w:val="0"/>
                    <w:kinsoku/>
                    <w:wordWrap/>
                    <w:overflowPunct/>
                    <w:topLinePunct w:val="0"/>
                    <w:autoSpaceDE/>
                    <w:autoSpaceDN/>
                    <w:bidi w:val="0"/>
                    <w:adjustRightInd/>
                    <w:snapToGrid/>
                    <w:spacing w:line="360" w:lineRule="auto"/>
                    <w:ind w:firstLine="0"/>
                    <w:jc w:val="both"/>
                    <w:textAlignment w:val="auto"/>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2.合理配水。保障生态用水的条件下，先生活，后生产，再农业。</w:t>
                  </w:r>
                </w:p>
              </w:tc>
              <w:tc>
                <w:tcPr>
                  <w:tcW w:w="2971" w:type="dxa"/>
                  <w:tcBorders>
                    <w:tl2br w:val="nil"/>
                    <w:tr2bl w:val="nil"/>
                  </w:tcBorders>
                  <w:vAlign w:val="top"/>
                </w:tcPr>
                <w:p w14:paraId="191DD592">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jc w:val="both"/>
                    <w:textAlignment w:val="auto"/>
                    <w:rPr>
                      <w:rFonts w:hint="eastAsia" w:ascii="宋体" w:hAnsi="宋体" w:eastAsia="宋体" w:cs="宋体"/>
                      <w:color w:val="auto"/>
                      <w:kern w:val="0"/>
                      <w:sz w:val="24"/>
                      <w:szCs w:val="24"/>
                      <w:vertAlign w:val="baseline"/>
                      <w:lang w:val="en-US" w:eastAsia="zh-CN" w:bidi="ar"/>
                    </w:rPr>
                  </w:pPr>
                  <w:r>
                    <w:rPr>
                      <w:rFonts w:hint="eastAsia"/>
                      <w:b w:val="0"/>
                      <w:color w:val="auto"/>
                      <w:sz w:val="24"/>
                      <w:szCs w:val="24"/>
                      <w:lang w:val="en-US" w:eastAsia="zh-CN"/>
                    </w:rPr>
                    <w:t>本项目生产、生活废水和产业小镇内生产、生活废水经配套污水处理站处理后达到《肉类加工工业水污染物排放标准》（GB13457-92）中表3三级排放限值标准后排入市政污水管网，最终进入库尔勒金城洁净排水有限责任公司库尔勒市老城区污水处理厂深度处理后综合利用。</w:t>
                  </w:r>
                </w:p>
              </w:tc>
              <w:tc>
                <w:tcPr>
                  <w:tcW w:w="737" w:type="dxa"/>
                  <w:tcBorders>
                    <w:tl2br w:val="nil"/>
                    <w:tr2bl w:val="nil"/>
                  </w:tcBorders>
                  <w:vAlign w:val="top"/>
                </w:tcPr>
                <w:p w14:paraId="008C6FA4">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91" w:firstLineChars="0"/>
                    <w:jc w:val="both"/>
                    <w:textAlignment w:val="auto"/>
                    <w:rPr>
                      <w:rFonts w:hint="eastAsia" w:ascii="宋体" w:hAnsi="宋体" w:eastAsia="宋体" w:cs="宋体"/>
                      <w:color w:val="auto"/>
                      <w:kern w:val="0"/>
                      <w:sz w:val="24"/>
                      <w:szCs w:val="24"/>
                      <w:vertAlign w:val="baseline"/>
                      <w:lang w:val="en-US" w:eastAsia="zh-CN" w:bidi="ar"/>
                    </w:rPr>
                  </w:pPr>
                </w:p>
                <w:p w14:paraId="1BABB8F0">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91" w:firstLineChars="0"/>
                    <w:jc w:val="both"/>
                    <w:textAlignment w:val="auto"/>
                    <w:rPr>
                      <w:rFonts w:hint="eastAsia" w:ascii="宋体" w:hAnsi="宋体" w:eastAsia="宋体" w:cs="宋体"/>
                      <w:color w:val="auto"/>
                      <w:kern w:val="0"/>
                      <w:sz w:val="24"/>
                      <w:szCs w:val="24"/>
                      <w:vertAlign w:val="baseline"/>
                      <w:lang w:val="en-US" w:eastAsia="zh-CN" w:bidi="ar"/>
                    </w:rPr>
                  </w:pPr>
                </w:p>
                <w:p w14:paraId="0E6D7240">
                  <w:pPr>
                    <w:keepNext w:val="0"/>
                    <w:keepLines w:val="0"/>
                    <w:pageBreakBefore w:val="0"/>
                    <w:widowControl/>
                    <w:suppressLineNumbers w:val="0"/>
                    <w:kinsoku/>
                    <w:wordWrap/>
                    <w:overflowPunct/>
                    <w:topLinePunct w:val="0"/>
                    <w:autoSpaceDE/>
                    <w:autoSpaceDN/>
                    <w:bidi w:val="0"/>
                    <w:adjustRightInd/>
                    <w:snapToGrid/>
                    <w:spacing w:line="360" w:lineRule="auto"/>
                    <w:ind w:left="-84" w:leftChars="-40" w:right="-84" w:rightChars="-40" w:firstLine="191" w:firstLineChars="0"/>
                    <w:jc w:val="both"/>
                    <w:textAlignment w:val="auto"/>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符合</w:t>
                  </w:r>
                </w:p>
              </w:tc>
            </w:tr>
          </w:tbl>
          <w:p w14:paraId="624BA565">
            <w:pPr>
              <w:pStyle w:val="5"/>
              <w:keepNext/>
              <w:keepLines/>
              <w:pageBreakBefore w:val="0"/>
              <w:widowControl w:val="0"/>
              <w:kinsoku/>
              <w:wordWrap/>
              <w:overflowPunct/>
              <w:topLinePunct w:val="0"/>
              <w:autoSpaceDE w:val="0"/>
              <w:autoSpaceDN w:val="0"/>
              <w:bidi w:val="0"/>
              <w:adjustRightInd w:val="0"/>
              <w:snapToGrid w:val="0"/>
              <w:spacing w:before="313" w:beforeLines="100"/>
              <w:ind w:firstLine="480"/>
              <w:textAlignment w:val="auto"/>
              <w:rPr>
                <w:color w:val="auto"/>
                <w:sz w:val="24"/>
                <w:szCs w:val="24"/>
              </w:rPr>
            </w:pPr>
            <w:r>
              <w:rPr>
                <w:rFonts w:hint="eastAsia"/>
                <w:color w:val="auto"/>
                <w:sz w:val="24"/>
                <w:szCs w:val="24"/>
                <w:lang w:val="en-US" w:eastAsia="zh-CN"/>
              </w:rPr>
              <w:t>6.</w:t>
            </w:r>
            <w:r>
              <w:rPr>
                <w:color w:val="auto"/>
                <w:sz w:val="24"/>
                <w:szCs w:val="24"/>
              </w:rPr>
              <w:t>与《食品生产通用卫生规范》（GB14881-20</w:t>
            </w:r>
            <w:r>
              <w:rPr>
                <w:rFonts w:hint="eastAsia"/>
                <w:color w:val="auto"/>
                <w:sz w:val="24"/>
                <w:szCs w:val="24"/>
                <w:lang w:val="en-US" w:eastAsia="zh-CN"/>
              </w:rPr>
              <w:t>13</w:t>
            </w:r>
            <w:r>
              <w:rPr>
                <w:rFonts w:hint="eastAsia"/>
                <w:color w:val="auto"/>
                <w:sz w:val="24"/>
                <w:szCs w:val="24"/>
                <w:lang w:eastAsia="zh-CN"/>
              </w:rPr>
              <w:t>）</w:t>
            </w:r>
            <w:r>
              <w:rPr>
                <w:color w:val="auto"/>
                <w:sz w:val="24"/>
                <w:szCs w:val="24"/>
              </w:rPr>
              <w:t>符合性</w:t>
            </w:r>
          </w:p>
          <w:p w14:paraId="7115E21C">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4"/>
                <w:szCs w:val="24"/>
              </w:rPr>
            </w:pPr>
            <w:r>
              <w:rPr>
                <w:color w:val="auto"/>
                <w:sz w:val="24"/>
                <w:szCs w:val="24"/>
              </w:rPr>
              <w:t>表1-</w:t>
            </w:r>
            <w:r>
              <w:rPr>
                <w:rFonts w:hint="eastAsia"/>
                <w:color w:val="auto"/>
                <w:sz w:val="24"/>
                <w:szCs w:val="24"/>
                <w:lang w:val="en-US" w:eastAsia="zh-CN"/>
              </w:rPr>
              <w:t xml:space="preserve">4  </w:t>
            </w:r>
            <w:r>
              <w:rPr>
                <w:color w:val="auto"/>
                <w:sz w:val="24"/>
                <w:szCs w:val="24"/>
              </w:rPr>
              <w:t>与食品生产通用卫生规范符合性分析</w:t>
            </w:r>
          </w:p>
          <w:tbl>
            <w:tblPr>
              <w:tblStyle w:val="30"/>
              <w:tblW w:w="0" w:type="auto"/>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378"/>
              <w:gridCol w:w="3780"/>
            </w:tblGrid>
            <w:tr w14:paraId="696C1F3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52" w:type="dxa"/>
                  <w:tcBorders>
                    <w:tl2br w:val="nil"/>
                    <w:tr2bl w:val="nil"/>
                  </w:tcBorders>
                  <w:vAlign w:val="center"/>
                </w:tcPr>
                <w:p w14:paraId="70D747E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类别</w:t>
                  </w:r>
                </w:p>
              </w:tc>
              <w:tc>
                <w:tcPr>
                  <w:tcW w:w="3378" w:type="dxa"/>
                  <w:tcBorders>
                    <w:tl2br w:val="nil"/>
                    <w:tr2bl w:val="nil"/>
                  </w:tcBorders>
                  <w:vAlign w:val="center"/>
                </w:tcPr>
                <w:p w14:paraId="33ACD7B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管控要求</w:t>
                  </w:r>
                </w:p>
              </w:tc>
              <w:tc>
                <w:tcPr>
                  <w:tcW w:w="3780" w:type="dxa"/>
                  <w:tcBorders>
                    <w:tl2br w:val="nil"/>
                    <w:tr2bl w:val="nil"/>
                  </w:tcBorders>
                  <w:vAlign w:val="center"/>
                </w:tcPr>
                <w:p w14:paraId="73F3F3C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符合性分析</w:t>
                  </w:r>
                </w:p>
              </w:tc>
            </w:tr>
            <w:tr w14:paraId="6560D2D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752" w:type="dxa"/>
                  <w:tcBorders>
                    <w:tl2br w:val="nil"/>
                    <w:tr2bl w:val="nil"/>
                  </w:tcBorders>
                  <w:vAlign w:val="center"/>
                </w:tcPr>
                <w:p w14:paraId="5D81C45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选址</w:t>
                  </w:r>
                </w:p>
              </w:tc>
              <w:tc>
                <w:tcPr>
                  <w:tcW w:w="3378" w:type="dxa"/>
                  <w:tcBorders>
                    <w:tl2br w:val="nil"/>
                    <w:tr2bl w:val="nil"/>
                  </w:tcBorders>
                  <w:vAlign w:val="center"/>
                </w:tcPr>
                <w:p w14:paraId="799DD4E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厂区不得选择对食品有显著污染的区域；不能选择在有害废弃物以及粉尘、有害气体、放射性物质和其他扩散性污染源不能有效清除的地址；不宜选择在易发生洪涝灾害的地区；不宜选择有虫害</w:t>
                  </w:r>
                  <w:r>
                    <w:rPr>
                      <w:rFonts w:hint="eastAsia"/>
                      <w:color w:val="auto"/>
                      <w:sz w:val="24"/>
                      <w:szCs w:val="24"/>
                      <w:lang w:val="en-US" w:eastAsia="zh-CN"/>
                    </w:rPr>
                    <w:t>滋生</w:t>
                  </w:r>
                  <w:r>
                    <w:rPr>
                      <w:color w:val="auto"/>
                      <w:sz w:val="24"/>
                      <w:szCs w:val="24"/>
                    </w:rPr>
                    <w:t>的潜在场所。</w:t>
                  </w:r>
                </w:p>
              </w:tc>
              <w:tc>
                <w:tcPr>
                  <w:tcW w:w="3780" w:type="dxa"/>
                  <w:tcBorders>
                    <w:tl2br w:val="nil"/>
                    <w:tr2bl w:val="nil"/>
                  </w:tcBorders>
                  <w:vAlign w:val="center"/>
                </w:tcPr>
                <w:p w14:paraId="61DD22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本项目选址位于新疆巴州</w:t>
                  </w:r>
                  <w:r>
                    <w:rPr>
                      <w:rFonts w:hint="eastAsia"/>
                      <w:color w:val="auto"/>
                      <w:sz w:val="24"/>
                      <w:szCs w:val="24"/>
                      <w:lang w:val="en-US" w:eastAsia="zh-CN"/>
                    </w:rPr>
                    <w:t>库尔勒市兰干乡兰干村（库尔勒市食品加工产业小镇内）</w:t>
                  </w:r>
                  <w:r>
                    <w:rPr>
                      <w:color w:val="auto"/>
                      <w:sz w:val="24"/>
                      <w:szCs w:val="24"/>
                    </w:rPr>
                    <w:t>，</w:t>
                  </w:r>
                  <w:r>
                    <w:rPr>
                      <w:rFonts w:hint="eastAsia"/>
                      <w:color w:val="auto"/>
                      <w:sz w:val="24"/>
                      <w:szCs w:val="24"/>
                      <w:lang w:val="en-US" w:eastAsia="zh-CN"/>
                    </w:rPr>
                    <w:t>重点以养殖业、农副食品加工业为主，</w:t>
                  </w:r>
                  <w:r>
                    <w:rPr>
                      <w:color w:val="auto"/>
                      <w:sz w:val="24"/>
                      <w:szCs w:val="24"/>
                    </w:rPr>
                    <w:t>项目周边不涉及高污染企业。</w:t>
                  </w:r>
                </w:p>
              </w:tc>
            </w:tr>
            <w:tr w14:paraId="2D097E8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2" w:type="dxa"/>
                  <w:tcBorders>
                    <w:tl2br w:val="nil"/>
                    <w:tr2bl w:val="nil"/>
                  </w:tcBorders>
                  <w:vAlign w:val="center"/>
                </w:tcPr>
                <w:p w14:paraId="08B774E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厂区环境</w:t>
                  </w:r>
                </w:p>
              </w:tc>
              <w:tc>
                <w:tcPr>
                  <w:tcW w:w="3378" w:type="dxa"/>
                  <w:tcBorders>
                    <w:tl2br w:val="nil"/>
                    <w:tr2bl w:val="nil"/>
                  </w:tcBorders>
                  <w:vAlign w:val="center"/>
                </w:tcPr>
                <w:p w14:paraId="07B57D5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厂区应合理布局，各功能区域划分清楚，并有适当的别离或分隔措施，</w:t>
                  </w:r>
                  <w:r>
                    <w:rPr>
                      <w:rFonts w:hint="eastAsia"/>
                      <w:color w:val="auto"/>
                      <w:sz w:val="24"/>
                      <w:szCs w:val="24"/>
                    </w:rPr>
                    <w:t>防止交叉</w:t>
                  </w:r>
                  <w:r>
                    <w:rPr>
                      <w:color w:val="auto"/>
                      <w:sz w:val="24"/>
                      <w:szCs w:val="24"/>
                    </w:rPr>
                    <w:t>污染；厂区内道路应铺设混凝土、沥青、或者其他硬质材料；厂区绿化应与生产车间保持适当间隔，植被应定期维护，以防止虫害孳生；厂区应有适当的排水系统。</w:t>
                  </w:r>
                </w:p>
              </w:tc>
              <w:tc>
                <w:tcPr>
                  <w:tcW w:w="3780" w:type="dxa"/>
                  <w:tcBorders>
                    <w:tl2br w:val="nil"/>
                    <w:tr2bl w:val="nil"/>
                  </w:tcBorders>
                  <w:vAlign w:val="center"/>
                </w:tcPr>
                <w:p w14:paraId="6F05184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本项目厂区设计合理布局，生产区、污水处理站、生活区均分隔建设，厂区道路均设计水泥硬化，并在厂区周边设置绿化带，由专人定期维护管理；</w:t>
                  </w:r>
                  <w:r>
                    <w:rPr>
                      <w:rFonts w:hint="eastAsia"/>
                      <w:color w:val="auto"/>
                      <w:sz w:val="24"/>
                      <w:szCs w:val="24"/>
                    </w:rPr>
                    <w:t>项目</w:t>
                  </w:r>
                  <w:r>
                    <w:rPr>
                      <w:color w:val="auto"/>
                      <w:sz w:val="24"/>
                      <w:szCs w:val="24"/>
                    </w:rPr>
                    <w:t>建设排水系统。</w:t>
                  </w:r>
                </w:p>
              </w:tc>
            </w:tr>
            <w:tr w14:paraId="7142A163">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752" w:type="dxa"/>
                  <w:tcBorders>
                    <w:tl2br w:val="nil"/>
                    <w:tr2bl w:val="nil"/>
                  </w:tcBorders>
                  <w:vAlign w:val="center"/>
                </w:tcPr>
                <w:p w14:paraId="3741C4E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内部构造</w:t>
                  </w:r>
                </w:p>
              </w:tc>
              <w:tc>
                <w:tcPr>
                  <w:tcW w:w="3378" w:type="dxa"/>
                  <w:tcBorders>
                    <w:tl2br w:val="nil"/>
                    <w:tr2bl w:val="nil"/>
                  </w:tcBorders>
                  <w:vAlign w:val="center"/>
                </w:tcPr>
                <w:p w14:paraId="37189FE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建筑内部结构应易于维护、清洁和消毒，应采用适当的耐用材料建造</w:t>
                  </w:r>
                </w:p>
              </w:tc>
              <w:tc>
                <w:tcPr>
                  <w:tcW w:w="3780" w:type="dxa"/>
                  <w:tcBorders>
                    <w:tl2br w:val="nil"/>
                    <w:tr2bl w:val="nil"/>
                  </w:tcBorders>
                  <w:vAlign w:val="center"/>
                </w:tcPr>
                <w:p w14:paraId="2B08BEA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项目生产车间内部构造采用符合国家标准的无毒、无味、防霉、不易脱落、易于清洁等钢材建造。</w:t>
                  </w:r>
                </w:p>
              </w:tc>
            </w:tr>
            <w:tr w14:paraId="69C618B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52" w:type="dxa"/>
                  <w:tcBorders>
                    <w:tl2br w:val="nil"/>
                    <w:tr2bl w:val="nil"/>
                  </w:tcBorders>
                  <w:vAlign w:val="center"/>
                </w:tcPr>
                <w:p w14:paraId="0B94CF1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供水设置</w:t>
                  </w:r>
                </w:p>
              </w:tc>
              <w:tc>
                <w:tcPr>
                  <w:tcW w:w="3378" w:type="dxa"/>
                  <w:tcBorders>
                    <w:tl2br w:val="nil"/>
                    <w:tr2bl w:val="nil"/>
                  </w:tcBorders>
                  <w:vAlign w:val="center"/>
                </w:tcPr>
                <w:p w14:paraId="6DAE3C6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供水设施应保证水质、水压、水量及其他需要符合生产需要</w:t>
                  </w:r>
                </w:p>
              </w:tc>
              <w:tc>
                <w:tcPr>
                  <w:tcW w:w="3780" w:type="dxa"/>
                  <w:tcBorders>
                    <w:tl2br w:val="nil"/>
                    <w:tr2bl w:val="nil"/>
                  </w:tcBorders>
                  <w:vAlign w:val="center"/>
                </w:tcPr>
                <w:p w14:paraId="758D77F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项目用水拟接入</w:t>
                  </w:r>
                  <w:r>
                    <w:rPr>
                      <w:rFonts w:hint="eastAsia"/>
                      <w:color w:val="auto"/>
                      <w:sz w:val="24"/>
                      <w:szCs w:val="24"/>
                      <w:lang w:val="en-US" w:eastAsia="zh-CN"/>
                    </w:rPr>
                    <w:t>兰干乡</w:t>
                  </w:r>
                  <w:r>
                    <w:rPr>
                      <w:color w:val="auto"/>
                      <w:sz w:val="24"/>
                      <w:szCs w:val="24"/>
                    </w:rPr>
                    <w:t>供水管网，用水有保障。</w:t>
                  </w:r>
                </w:p>
              </w:tc>
            </w:tr>
            <w:tr w14:paraId="581A97C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752" w:type="dxa"/>
                  <w:tcBorders>
                    <w:tl2br w:val="nil"/>
                    <w:tr2bl w:val="nil"/>
                  </w:tcBorders>
                  <w:vAlign w:val="center"/>
                </w:tcPr>
                <w:p w14:paraId="2932C2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排水设施</w:t>
                  </w:r>
                </w:p>
              </w:tc>
              <w:tc>
                <w:tcPr>
                  <w:tcW w:w="3378" w:type="dxa"/>
                  <w:tcBorders>
                    <w:tl2br w:val="nil"/>
                    <w:tr2bl w:val="nil"/>
                  </w:tcBorders>
                  <w:vAlign w:val="center"/>
                </w:tcPr>
                <w:p w14:paraId="2CF2DDA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排水系统的设计和建造应保证排水畅通、便于清洁维护；污水排放前应经适当方式处理，以符合国家污水排放的相关标准。</w:t>
                  </w:r>
                </w:p>
              </w:tc>
              <w:tc>
                <w:tcPr>
                  <w:tcW w:w="3780" w:type="dxa"/>
                  <w:tcBorders>
                    <w:tl2br w:val="nil"/>
                    <w:tr2bl w:val="nil"/>
                  </w:tcBorders>
                  <w:vAlign w:val="center"/>
                </w:tcPr>
                <w:p w14:paraId="081128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本项目拟建设1座污水处理能力</w:t>
                  </w:r>
                  <w:r>
                    <w:rPr>
                      <w:rFonts w:hint="eastAsia"/>
                      <w:color w:val="auto"/>
                      <w:sz w:val="24"/>
                      <w:szCs w:val="24"/>
                      <w:lang w:val="en-US" w:eastAsia="zh-CN"/>
                    </w:rPr>
                    <w:t>150</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lang w:val="en-US" w:eastAsia="zh-CN"/>
                    </w:rPr>
                    <w:t>d</w:t>
                  </w:r>
                  <w:r>
                    <w:rPr>
                      <w:color w:val="auto"/>
                      <w:sz w:val="24"/>
                      <w:szCs w:val="24"/>
                    </w:rPr>
                    <w:t>的污水处理站，与</w:t>
                  </w:r>
                  <w:r>
                    <w:rPr>
                      <w:rFonts w:hint="eastAsia"/>
                      <w:snapToGrid w:val="0"/>
                      <w:color w:val="auto"/>
                      <w:sz w:val="24"/>
                      <w:szCs w:val="24"/>
                      <w:lang w:eastAsia="zh-CN"/>
                    </w:rPr>
                    <w:t>库尔勒金城洁净排水有限责任公司库尔勒市老城区污水处理厂</w:t>
                  </w:r>
                  <w:r>
                    <w:rPr>
                      <w:color w:val="auto"/>
                      <w:sz w:val="24"/>
                      <w:szCs w:val="24"/>
                    </w:rPr>
                    <w:t>签订协议，处理污水</w:t>
                  </w:r>
                  <w:r>
                    <w:rPr>
                      <w:rFonts w:hint="eastAsia"/>
                      <w:color w:val="auto"/>
                      <w:sz w:val="24"/>
                      <w:szCs w:val="24"/>
                      <w:lang w:val="en-US" w:eastAsia="zh-CN"/>
                    </w:rPr>
                    <w:t>排放</w:t>
                  </w:r>
                  <w:r>
                    <w:rPr>
                      <w:color w:val="auto"/>
                      <w:sz w:val="24"/>
                      <w:szCs w:val="24"/>
                    </w:rPr>
                    <w:t>满足</w:t>
                  </w:r>
                  <w:r>
                    <w:rPr>
                      <w:rFonts w:hint="eastAsia"/>
                      <w:color w:val="auto"/>
                      <w:sz w:val="24"/>
                      <w:szCs w:val="24"/>
                      <w:lang w:eastAsia="zh-CN"/>
                    </w:rPr>
                    <w:t>《肉类加工工业水污染物排放标准》（GB13457-92）中表3三级排放限值标准</w:t>
                  </w:r>
                  <w:r>
                    <w:rPr>
                      <w:rFonts w:hint="eastAsia"/>
                      <w:color w:val="auto"/>
                      <w:sz w:val="24"/>
                      <w:szCs w:val="24"/>
                      <w:lang w:val="en-US" w:eastAsia="zh-CN"/>
                    </w:rPr>
                    <w:t>后</w:t>
                  </w:r>
                  <w:r>
                    <w:rPr>
                      <w:color w:val="auto"/>
                      <w:sz w:val="24"/>
                      <w:szCs w:val="24"/>
                    </w:rPr>
                    <w:t>排入污水管网，最终进入</w:t>
                  </w:r>
                  <w:r>
                    <w:rPr>
                      <w:rFonts w:hint="eastAsia"/>
                      <w:snapToGrid w:val="0"/>
                      <w:color w:val="auto"/>
                      <w:sz w:val="24"/>
                      <w:szCs w:val="24"/>
                      <w:lang w:eastAsia="zh-CN"/>
                    </w:rPr>
                    <w:t>库尔勒金城洁净排水有限责任公司库尔勒市老城区污水处理厂</w:t>
                  </w:r>
                  <w:r>
                    <w:rPr>
                      <w:color w:val="auto"/>
                      <w:sz w:val="24"/>
                      <w:szCs w:val="24"/>
                    </w:rPr>
                    <w:t>处理。</w:t>
                  </w:r>
                </w:p>
              </w:tc>
            </w:tr>
            <w:tr w14:paraId="4C7A97E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752" w:type="dxa"/>
                  <w:tcBorders>
                    <w:tl2br w:val="nil"/>
                    <w:tr2bl w:val="nil"/>
                  </w:tcBorders>
                  <w:vAlign w:val="center"/>
                </w:tcPr>
                <w:p w14:paraId="724E17D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废弃物存放设施</w:t>
                  </w:r>
                </w:p>
              </w:tc>
              <w:tc>
                <w:tcPr>
                  <w:tcW w:w="3378" w:type="dxa"/>
                  <w:tcBorders>
                    <w:tl2br w:val="nil"/>
                    <w:tr2bl w:val="nil"/>
                  </w:tcBorders>
                  <w:vAlign w:val="center"/>
                </w:tcPr>
                <w:p w14:paraId="5CD0514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应配备设计合理、防止渗漏、易于清洁的存放废弃物的专用设施；车间内存放废弃物的设施和容器应标识清晰。必要时应在适当地点设置废弃物临时存放设施，并依废弃物特性分类存放</w:t>
                  </w:r>
                </w:p>
              </w:tc>
              <w:tc>
                <w:tcPr>
                  <w:tcW w:w="3780" w:type="dxa"/>
                  <w:tcBorders>
                    <w:tl2br w:val="nil"/>
                    <w:tr2bl w:val="nil"/>
                  </w:tcBorders>
                  <w:vAlign w:val="center"/>
                </w:tcPr>
                <w:p w14:paraId="0BF3920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本项目运营期针对不同类型的固体废弃物，设置不同的暂存场所，并</w:t>
                  </w:r>
                  <w:r>
                    <w:rPr>
                      <w:rFonts w:hint="eastAsia"/>
                      <w:color w:val="auto"/>
                      <w:sz w:val="24"/>
                      <w:szCs w:val="24"/>
                    </w:rPr>
                    <w:t>设置标识标牌</w:t>
                  </w:r>
                  <w:r>
                    <w:rPr>
                      <w:color w:val="auto"/>
                      <w:sz w:val="24"/>
                      <w:szCs w:val="24"/>
                    </w:rPr>
                    <w:t>，合理分类处理。</w:t>
                  </w:r>
                </w:p>
              </w:tc>
            </w:tr>
            <w:tr w14:paraId="5FCF2A6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752" w:type="dxa"/>
                  <w:tcBorders>
                    <w:tl2br w:val="nil"/>
                    <w:tr2bl w:val="nil"/>
                  </w:tcBorders>
                  <w:vAlign w:val="center"/>
                </w:tcPr>
                <w:p w14:paraId="1A217AF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rPr>
                  </w:pPr>
                  <w:r>
                    <w:rPr>
                      <w:color w:val="auto"/>
                      <w:sz w:val="24"/>
                      <w:szCs w:val="24"/>
                    </w:rPr>
                    <w:t>通风设施</w:t>
                  </w:r>
                </w:p>
              </w:tc>
              <w:tc>
                <w:tcPr>
                  <w:tcW w:w="3378" w:type="dxa"/>
                  <w:tcBorders>
                    <w:tl2br w:val="nil"/>
                    <w:tr2bl w:val="nil"/>
                  </w:tcBorders>
                  <w:vAlign w:val="center"/>
                </w:tcPr>
                <w:p w14:paraId="0E06F81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应具有适宜的自然通风或人工通风措施；必要时应通过自然通风或机械设施有效控制生产环境的温度和湿度。通风设施应避免空气从清洁度要求低的作业区域流向清洁度要求高的作业区域</w:t>
                  </w:r>
                </w:p>
              </w:tc>
              <w:tc>
                <w:tcPr>
                  <w:tcW w:w="3780" w:type="dxa"/>
                  <w:tcBorders>
                    <w:tl2br w:val="nil"/>
                    <w:tr2bl w:val="nil"/>
                  </w:tcBorders>
                  <w:vAlign w:val="center"/>
                </w:tcPr>
                <w:p w14:paraId="0CBFAC8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 w:val="24"/>
                      <w:szCs w:val="24"/>
                    </w:rPr>
                  </w:pPr>
                  <w:r>
                    <w:rPr>
                      <w:color w:val="auto"/>
                      <w:sz w:val="24"/>
                      <w:szCs w:val="24"/>
                    </w:rPr>
                    <w:t>本项目生产车间设置换气扇进行室内外通风换气。</w:t>
                  </w:r>
                </w:p>
              </w:tc>
            </w:tr>
          </w:tbl>
          <w:p w14:paraId="12B83DCA">
            <w:pPr>
              <w:rPr>
                <w:color w:val="auto"/>
                <w:sz w:val="24"/>
                <w:szCs w:val="24"/>
              </w:rPr>
            </w:pPr>
          </w:p>
          <w:p w14:paraId="45388F9F">
            <w:pPr>
              <w:pStyle w:val="5"/>
              <w:ind w:firstLine="482"/>
              <w:rPr>
                <w:color w:val="auto"/>
                <w:sz w:val="24"/>
                <w:szCs w:val="24"/>
              </w:rPr>
            </w:pPr>
            <w:r>
              <w:rPr>
                <w:rFonts w:hint="eastAsia"/>
                <w:color w:val="auto"/>
                <w:sz w:val="24"/>
                <w:szCs w:val="24"/>
                <w:lang w:val="en-US" w:eastAsia="zh-CN"/>
              </w:rPr>
              <w:t>7.</w:t>
            </w:r>
            <w:r>
              <w:rPr>
                <w:color w:val="auto"/>
                <w:sz w:val="24"/>
                <w:szCs w:val="24"/>
              </w:rPr>
              <w:t>与其他相关政策符合性分析</w:t>
            </w:r>
          </w:p>
          <w:p w14:paraId="591909EB">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4"/>
                <w:szCs w:val="24"/>
              </w:rPr>
            </w:pPr>
            <w:r>
              <w:rPr>
                <w:color w:val="auto"/>
                <w:sz w:val="24"/>
                <w:szCs w:val="24"/>
              </w:rPr>
              <w:t>表1-</w:t>
            </w:r>
            <w:r>
              <w:rPr>
                <w:rFonts w:hint="eastAsia"/>
                <w:color w:val="auto"/>
                <w:sz w:val="24"/>
                <w:szCs w:val="24"/>
                <w:lang w:val="en-US" w:eastAsia="zh-CN"/>
              </w:rPr>
              <w:t xml:space="preserve">5 </w:t>
            </w:r>
            <w:r>
              <w:rPr>
                <w:color w:val="auto"/>
                <w:sz w:val="24"/>
                <w:szCs w:val="24"/>
              </w:rPr>
              <w:t>本项目与其他相关政策符合性分析一览表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2543"/>
              <w:gridCol w:w="2156"/>
              <w:gridCol w:w="955"/>
            </w:tblGrid>
            <w:tr w14:paraId="478D6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0F0AB4AD">
                  <w:pPr>
                    <w:pStyle w:val="42"/>
                    <w:keepNext w:val="0"/>
                    <w:keepLines w:val="0"/>
                    <w:pageBreakBefore w:val="0"/>
                    <w:widowControl w:val="0"/>
                    <w:kinsoku/>
                    <w:wordWrap/>
                    <w:overflowPunct/>
                    <w:topLinePunct w:val="0"/>
                    <w:autoSpaceDE/>
                    <w:autoSpaceDN/>
                    <w:bidi w:val="0"/>
                    <w:adjustRightInd w:val="0"/>
                    <w:snapToGrid w:val="0"/>
                    <w:spacing w:before="24" w:after="24" w:line="24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具体要求</w:t>
                  </w:r>
                </w:p>
              </w:tc>
              <w:tc>
                <w:tcPr>
                  <w:tcW w:w="1351" w:type="pct"/>
                  <w:vAlign w:val="center"/>
                </w:tcPr>
                <w:p w14:paraId="1D31E588">
                  <w:pPr>
                    <w:pStyle w:val="42"/>
                    <w:keepNext w:val="0"/>
                    <w:keepLines w:val="0"/>
                    <w:pageBreakBefore w:val="0"/>
                    <w:widowControl w:val="0"/>
                    <w:kinsoku/>
                    <w:wordWrap/>
                    <w:overflowPunct/>
                    <w:topLinePunct w:val="0"/>
                    <w:autoSpaceDE/>
                    <w:autoSpaceDN/>
                    <w:bidi w:val="0"/>
                    <w:adjustRightInd w:val="0"/>
                    <w:snapToGrid w:val="0"/>
                    <w:spacing w:before="24" w:after="24" w:line="24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本项目情况</w:t>
                  </w:r>
                </w:p>
              </w:tc>
              <w:tc>
                <w:tcPr>
                  <w:tcW w:w="599" w:type="pct"/>
                  <w:vAlign w:val="center"/>
                </w:tcPr>
                <w:p w14:paraId="0A1FA25C">
                  <w:pPr>
                    <w:pStyle w:val="42"/>
                    <w:keepNext w:val="0"/>
                    <w:keepLines w:val="0"/>
                    <w:pageBreakBefore w:val="0"/>
                    <w:widowControl w:val="0"/>
                    <w:kinsoku/>
                    <w:wordWrap/>
                    <w:overflowPunct/>
                    <w:topLinePunct w:val="0"/>
                    <w:autoSpaceDE/>
                    <w:autoSpaceDN/>
                    <w:bidi w:val="0"/>
                    <w:adjustRightInd w:val="0"/>
                    <w:snapToGrid w:val="0"/>
                    <w:spacing w:before="24" w:after="24" w:line="24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相符性</w:t>
                  </w:r>
                </w:p>
              </w:tc>
            </w:tr>
            <w:tr w14:paraId="35FF8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5000" w:type="pct"/>
                  <w:gridSpan w:val="4"/>
                  <w:vAlign w:val="center"/>
                </w:tcPr>
                <w:p w14:paraId="7C8CCB70">
                  <w:pPr>
                    <w:pStyle w:val="42"/>
                    <w:keepNext w:val="0"/>
                    <w:keepLines w:val="0"/>
                    <w:pageBreakBefore w:val="0"/>
                    <w:widowControl w:val="0"/>
                    <w:kinsoku/>
                    <w:wordWrap/>
                    <w:overflowPunct/>
                    <w:topLinePunct w:val="0"/>
                    <w:autoSpaceDE/>
                    <w:autoSpaceDN/>
                    <w:bidi w:val="0"/>
                    <w:adjustRightInd w:val="0"/>
                    <w:snapToGrid w:val="0"/>
                    <w:spacing w:before="24" w:after="24" w:line="24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与《关于印发大气污染防治行动计划的通知》（国发〔2013〕37号</w:t>
                  </w:r>
                  <w:r>
                    <w:rPr>
                      <w:rFonts w:hint="eastAsia" w:ascii="Times New Roman" w:hAnsi="Times New Roman" w:cs="Times New Roman"/>
                      <w:b/>
                      <w:color w:val="auto"/>
                      <w:sz w:val="24"/>
                      <w:szCs w:val="24"/>
                      <w:lang w:eastAsia="zh-CN"/>
                    </w:rPr>
                    <w:t>）</w:t>
                  </w:r>
                  <w:r>
                    <w:rPr>
                      <w:rFonts w:ascii="Times New Roman" w:hAnsi="Times New Roman" w:cs="Times New Roman"/>
                      <w:b/>
                      <w:color w:val="auto"/>
                      <w:sz w:val="24"/>
                      <w:szCs w:val="24"/>
                    </w:rPr>
                    <w:t>相符性分析</w:t>
                  </w:r>
                </w:p>
              </w:tc>
            </w:tr>
            <w:tr w14:paraId="07CF1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691BAC90">
                  <w:pPr>
                    <w:pStyle w:val="107"/>
                    <w:keepNext w:val="0"/>
                    <w:keepLines w:val="0"/>
                    <w:pageBreakBefore w:val="0"/>
                    <w:widowControl w:val="0"/>
                    <w:kinsoku/>
                    <w:wordWrap/>
                    <w:overflowPunct/>
                    <w:topLinePunct w:val="0"/>
                    <w:autoSpaceDE w:val="0"/>
                    <w:bidi w:val="0"/>
                    <w:spacing w:before="24" w:after="24" w:line="360" w:lineRule="auto"/>
                    <w:ind w:firstLine="480"/>
                    <w:jc w:val="left"/>
                    <w:textAlignment w:val="auto"/>
                    <w:rPr>
                      <w:color w:val="auto"/>
                      <w:sz w:val="24"/>
                      <w:szCs w:val="24"/>
                    </w:rPr>
                  </w:pPr>
                  <w:r>
                    <w:rPr>
                      <w:color w:val="auto"/>
                      <w:sz w:val="24"/>
                      <w:szCs w:val="24"/>
                      <w:shd w:val="clear" w:color="auto" w:fill="FFFFFF"/>
                    </w:rPr>
                    <w:t>加强工业企业大气污染综合治理。全面整治燃煤小锅炉。加快推进集中供热、</w:t>
                  </w:r>
                  <w:r>
                    <w:rPr>
                      <w:rFonts w:hint="eastAsia"/>
                      <w:color w:val="auto"/>
                      <w:sz w:val="24"/>
                      <w:szCs w:val="24"/>
                      <w:shd w:val="clear" w:color="auto" w:fill="FFFFFF"/>
                      <w:lang w:eastAsia="zh-CN"/>
                    </w:rPr>
                    <w:t>“</w:t>
                  </w:r>
                  <w:r>
                    <w:rPr>
                      <w:color w:val="auto"/>
                      <w:sz w:val="24"/>
                      <w:szCs w:val="24"/>
                      <w:shd w:val="clear" w:color="auto" w:fill="FFFFFF"/>
                    </w:rPr>
                    <w:t>煤改气</w:t>
                  </w:r>
                  <w:r>
                    <w:rPr>
                      <w:rFonts w:hint="eastAsia"/>
                      <w:color w:val="auto"/>
                      <w:sz w:val="24"/>
                      <w:szCs w:val="24"/>
                      <w:shd w:val="clear" w:color="auto" w:fill="FFFFFF"/>
                      <w:lang w:eastAsia="zh-CN"/>
                    </w:rPr>
                    <w:t>”</w:t>
                  </w:r>
                  <w:r>
                    <w:rPr>
                      <w:color w:val="auto"/>
                      <w:sz w:val="24"/>
                      <w:szCs w:val="24"/>
                      <w:shd w:val="clear" w:color="auto" w:fill="FFFFFF"/>
                    </w:rPr>
                    <w:t>、</w:t>
                  </w:r>
                  <w:r>
                    <w:rPr>
                      <w:rFonts w:hint="eastAsia"/>
                      <w:color w:val="auto"/>
                      <w:sz w:val="24"/>
                      <w:szCs w:val="24"/>
                      <w:shd w:val="clear" w:color="auto" w:fill="FFFFFF"/>
                      <w:lang w:eastAsia="zh-CN"/>
                    </w:rPr>
                    <w:t>“</w:t>
                  </w:r>
                  <w:r>
                    <w:rPr>
                      <w:color w:val="auto"/>
                      <w:sz w:val="24"/>
                      <w:szCs w:val="24"/>
                      <w:shd w:val="clear" w:color="auto" w:fill="FFFFFF"/>
                    </w:rPr>
                    <w:t>煤改电</w:t>
                  </w:r>
                  <w:r>
                    <w:rPr>
                      <w:rFonts w:hint="eastAsia"/>
                      <w:color w:val="auto"/>
                      <w:sz w:val="24"/>
                      <w:szCs w:val="24"/>
                      <w:shd w:val="clear" w:color="auto" w:fill="FFFFFF"/>
                      <w:lang w:eastAsia="zh-CN"/>
                    </w:rPr>
                    <w:t>”</w:t>
                  </w:r>
                  <w:r>
                    <w:rPr>
                      <w:color w:val="auto"/>
                      <w:sz w:val="24"/>
                      <w:szCs w:val="24"/>
                      <w:shd w:val="clear" w:color="auto" w:fill="FFFFFF"/>
                    </w:rPr>
                    <w:t>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w:t>
                  </w:r>
                </w:p>
              </w:tc>
              <w:tc>
                <w:tcPr>
                  <w:tcW w:w="1351" w:type="pct"/>
                  <w:vAlign w:val="center"/>
                </w:tcPr>
                <w:p w14:paraId="7C02EF4D">
                  <w:pPr>
                    <w:pStyle w:val="107"/>
                    <w:keepNext w:val="0"/>
                    <w:keepLines w:val="0"/>
                    <w:pageBreakBefore w:val="0"/>
                    <w:widowControl w:val="0"/>
                    <w:kinsoku/>
                    <w:wordWrap/>
                    <w:overflowPunct/>
                    <w:topLinePunct w:val="0"/>
                    <w:autoSpaceDE w:val="0"/>
                    <w:bidi w:val="0"/>
                    <w:spacing w:before="24" w:after="24" w:line="360" w:lineRule="auto"/>
                    <w:jc w:val="left"/>
                    <w:textAlignment w:val="auto"/>
                    <w:rPr>
                      <w:color w:val="auto"/>
                      <w:sz w:val="24"/>
                      <w:szCs w:val="24"/>
                    </w:rPr>
                  </w:pPr>
                  <w:r>
                    <w:rPr>
                      <w:color w:val="auto"/>
                      <w:sz w:val="24"/>
                      <w:szCs w:val="24"/>
                    </w:rPr>
                    <w:t>本次新建一台</w:t>
                  </w:r>
                  <w:r>
                    <w:rPr>
                      <w:rFonts w:hint="eastAsia"/>
                      <w:color w:val="auto"/>
                      <w:sz w:val="24"/>
                      <w:szCs w:val="24"/>
                      <w:lang w:val="en-US" w:eastAsia="zh-CN"/>
                    </w:rPr>
                    <w:t>330kw电热水</w:t>
                  </w:r>
                  <w:r>
                    <w:rPr>
                      <w:color w:val="auto"/>
                      <w:sz w:val="24"/>
                      <w:szCs w:val="24"/>
                    </w:rPr>
                    <w:t>锅炉。</w:t>
                  </w:r>
                </w:p>
              </w:tc>
              <w:tc>
                <w:tcPr>
                  <w:tcW w:w="599" w:type="pct"/>
                  <w:vAlign w:val="center"/>
                </w:tcPr>
                <w:p w14:paraId="5F8D8368">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64A94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3049" w:type="pct"/>
                  <w:gridSpan w:val="2"/>
                  <w:vAlign w:val="center"/>
                </w:tcPr>
                <w:p w14:paraId="610480B6">
                  <w:pPr>
                    <w:pStyle w:val="107"/>
                    <w:keepNext w:val="0"/>
                    <w:keepLines w:val="0"/>
                    <w:pageBreakBefore w:val="0"/>
                    <w:widowControl w:val="0"/>
                    <w:kinsoku/>
                    <w:wordWrap/>
                    <w:overflowPunct/>
                    <w:topLinePunct w:val="0"/>
                    <w:autoSpaceDE w:val="0"/>
                    <w:bidi w:val="0"/>
                    <w:spacing w:before="24" w:after="24" w:line="360" w:lineRule="auto"/>
                    <w:jc w:val="left"/>
                    <w:textAlignment w:val="auto"/>
                    <w:rPr>
                      <w:color w:val="auto"/>
                      <w:sz w:val="24"/>
                      <w:szCs w:val="24"/>
                    </w:rPr>
                  </w:pPr>
                  <w:r>
                    <w:rPr>
                      <w:color w:val="auto"/>
                      <w:sz w:val="24"/>
                      <w:szCs w:val="24"/>
                      <w:shd w:val="clear" w:color="auto" w:fill="FFFFFF"/>
                    </w:rPr>
                    <w:t>严控</w:t>
                  </w:r>
                  <w:r>
                    <w:rPr>
                      <w:rFonts w:hint="eastAsia"/>
                      <w:color w:val="auto"/>
                      <w:sz w:val="24"/>
                      <w:szCs w:val="24"/>
                      <w:shd w:val="clear" w:color="auto" w:fill="FFFFFF"/>
                      <w:lang w:eastAsia="zh-CN"/>
                    </w:rPr>
                    <w:t>“</w:t>
                  </w:r>
                  <w:r>
                    <w:rPr>
                      <w:color w:val="auto"/>
                      <w:sz w:val="24"/>
                      <w:szCs w:val="24"/>
                      <w:shd w:val="clear" w:color="auto" w:fill="FFFFFF"/>
                    </w:rPr>
                    <w:t>两高</w:t>
                  </w:r>
                  <w:r>
                    <w:rPr>
                      <w:rFonts w:hint="eastAsia"/>
                      <w:color w:val="auto"/>
                      <w:sz w:val="24"/>
                      <w:szCs w:val="24"/>
                      <w:shd w:val="clear" w:color="auto" w:fill="FFFFFF"/>
                      <w:lang w:eastAsia="zh-CN"/>
                    </w:rPr>
                    <w:t>”</w:t>
                  </w:r>
                  <w:r>
                    <w:rPr>
                      <w:color w:val="auto"/>
                      <w:sz w:val="24"/>
                      <w:szCs w:val="24"/>
                      <w:shd w:val="clear" w:color="auto" w:fill="FFFFFF"/>
                    </w:rPr>
                    <w:t>行业新增产能。修订高耗能、高污染和资源性行业准入条件，明确资源能源节约和污染物排放等指标。有条件的地区要制定符合当地功能定位、严于国家要求的产业准入目录。严格控制</w:t>
                  </w:r>
                  <w:r>
                    <w:rPr>
                      <w:rFonts w:hint="eastAsia"/>
                      <w:color w:val="auto"/>
                      <w:sz w:val="24"/>
                      <w:szCs w:val="24"/>
                      <w:shd w:val="clear" w:color="auto" w:fill="FFFFFF"/>
                      <w:lang w:eastAsia="zh-CN"/>
                    </w:rPr>
                    <w:t>“</w:t>
                  </w:r>
                  <w:r>
                    <w:rPr>
                      <w:color w:val="auto"/>
                      <w:sz w:val="24"/>
                      <w:szCs w:val="24"/>
                      <w:shd w:val="clear" w:color="auto" w:fill="FFFFFF"/>
                    </w:rPr>
                    <w:t>两高</w:t>
                  </w:r>
                  <w:r>
                    <w:rPr>
                      <w:rFonts w:hint="eastAsia"/>
                      <w:color w:val="auto"/>
                      <w:sz w:val="24"/>
                      <w:szCs w:val="24"/>
                      <w:shd w:val="clear" w:color="auto" w:fill="FFFFFF"/>
                      <w:lang w:eastAsia="zh-CN"/>
                    </w:rPr>
                    <w:t>”</w:t>
                  </w:r>
                  <w:r>
                    <w:rPr>
                      <w:color w:val="auto"/>
                      <w:sz w:val="24"/>
                      <w:szCs w:val="24"/>
                      <w:shd w:val="clear" w:color="auto" w:fill="FFFFFF"/>
                    </w:rPr>
                    <w:t>行业新增产能，新、改、扩建项目要实行产能等量或减量置换。</w:t>
                  </w:r>
                </w:p>
              </w:tc>
              <w:tc>
                <w:tcPr>
                  <w:tcW w:w="1351" w:type="pct"/>
                  <w:vAlign w:val="center"/>
                </w:tcPr>
                <w:p w14:paraId="2FC531B2">
                  <w:pPr>
                    <w:pStyle w:val="107"/>
                    <w:keepNext w:val="0"/>
                    <w:keepLines w:val="0"/>
                    <w:pageBreakBefore w:val="0"/>
                    <w:widowControl w:val="0"/>
                    <w:kinsoku/>
                    <w:wordWrap/>
                    <w:overflowPunct/>
                    <w:topLinePunct w:val="0"/>
                    <w:autoSpaceDE w:val="0"/>
                    <w:bidi w:val="0"/>
                    <w:spacing w:before="24" w:after="24" w:line="360" w:lineRule="auto"/>
                    <w:jc w:val="left"/>
                    <w:textAlignment w:val="auto"/>
                    <w:rPr>
                      <w:color w:val="auto"/>
                      <w:sz w:val="24"/>
                      <w:szCs w:val="24"/>
                    </w:rPr>
                  </w:pPr>
                  <w:r>
                    <w:rPr>
                      <w:color w:val="auto"/>
                      <w:sz w:val="24"/>
                      <w:szCs w:val="24"/>
                    </w:rPr>
                    <w:t>本项目不属于</w:t>
                  </w:r>
                  <w:r>
                    <w:rPr>
                      <w:rFonts w:hint="eastAsia"/>
                      <w:color w:val="auto"/>
                      <w:sz w:val="24"/>
                      <w:szCs w:val="24"/>
                      <w:shd w:val="clear" w:color="auto" w:fill="FFFFFF"/>
                      <w:lang w:eastAsia="zh-CN"/>
                    </w:rPr>
                    <w:t>“</w:t>
                  </w:r>
                  <w:r>
                    <w:rPr>
                      <w:color w:val="auto"/>
                      <w:sz w:val="24"/>
                      <w:szCs w:val="24"/>
                      <w:shd w:val="clear" w:color="auto" w:fill="FFFFFF"/>
                    </w:rPr>
                    <w:t>两高</w:t>
                  </w:r>
                  <w:r>
                    <w:rPr>
                      <w:rFonts w:hint="eastAsia"/>
                      <w:color w:val="auto"/>
                      <w:sz w:val="24"/>
                      <w:szCs w:val="24"/>
                      <w:shd w:val="clear" w:color="auto" w:fill="FFFFFF"/>
                      <w:lang w:eastAsia="zh-CN"/>
                    </w:rPr>
                    <w:t>”</w:t>
                  </w:r>
                  <w:r>
                    <w:rPr>
                      <w:color w:val="auto"/>
                      <w:sz w:val="24"/>
                      <w:szCs w:val="24"/>
                      <w:shd w:val="clear" w:color="auto" w:fill="FFFFFF"/>
                    </w:rPr>
                    <w:t>行业。</w:t>
                  </w:r>
                </w:p>
              </w:tc>
              <w:tc>
                <w:tcPr>
                  <w:tcW w:w="599" w:type="pct"/>
                  <w:vAlign w:val="center"/>
                </w:tcPr>
                <w:p w14:paraId="73DABE1D">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0D5AD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7E78DCD2">
                  <w:pPr>
                    <w:pStyle w:val="107"/>
                    <w:keepNext w:val="0"/>
                    <w:keepLines w:val="0"/>
                    <w:pageBreakBefore w:val="0"/>
                    <w:widowControl w:val="0"/>
                    <w:kinsoku/>
                    <w:wordWrap/>
                    <w:overflowPunct/>
                    <w:topLinePunct w:val="0"/>
                    <w:autoSpaceDE w:val="0"/>
                    <w:bidi w:val="0"/>
                    <w:spacing w:before="24" w:after="24" w:line="360" w:lineRule="auto"/>
                    <w:jc w:val="left"/>
                    <w:textAlignment w:val="auto"/>
                    <w:rPr>
                      <w:color w:val="auto"/>
                      <w:sz w:val="24"/>
                      <w:szCs w:val="24"/>
                    </w:rPr>
                  </w:pPr>
                  <w:r>
                    <w:rPr>
                      <w:color w:val="auto"/>
                      <w:sz w:val="24"/>
                      <w:szCs w:val="24"/>
                      <w:shd w:val="clear" w:color="auto" w:fill="FFFFFF"/>
                    </w:rPr>
                    <w:t>加快淘汰落后产能。结合产业发展实际和环境质量状况，进一步提高环保、能耗、安全、质量等标准，分区域明确落后产能淘汰任务，倒逼产业转型升级。</w:t>
                  </w:r>
                </w:p>
              </w:tc>
              <w:tc>
                <w:tcPr>
                  <w:tcW w:w="1351" w:type="pct"/>
                  <w:vAlign w:val="center"/>
                </w:tcPr>
                <w:p w14:paraId="541FBAAE">
                  <w:pPr>
                    <w:pStyle w:val="107"/>
                    <w:keepNext w:val="0"/>
                    <w:keepLines w:val="0"/>
                    <w:pageBreakBefore w:val="0"/>
                    <w:widowControl w:val="0"/>
                    <w:kinsoku/>
                    <w:wordWrap/>
                    <w:overflowPunct/>
                    <w:topLinePunct w:val="0"/>
                    <w:autoSpaceDE w:val="0"/>
                    <w:bidi w:val="0"/>
                    <w:spacing w:before="24" w:after="24" w:line="360" w:lineRule="auto"/>
                    <w:jc w:val="left"/>
                    <w:textAlignment w:val="auto"/>
                    <w:rPr>
                      <w:color w:val="auto"/>
                      <w:sz w:val="24"/>
                      <w:szCs w:val="24"/>
                    </w:rPr>
                  </w:pPr>
                  <w:r>
                    <w:rPr>
                      <w:color w:val="auto"/>
                      <w:sz w:val="24"/>
                      <w:szCs w:val="24"/>
                    </w:rPr>
                    <w:t>根据《产业结构调整指导目录（2024年本</w:t>
                  </w:r>
                  <w:r>
                    <w:rPr>
                      <w:rFonts w:hint="eastAsia"/>
                      <w:color w:val="auto"/>
                      <w:sz w:val="24"/>
                      <w:szCs w:val="24"/>
                      <w:lang w:eastAsia="zh-CN"/>
                    </w:rPr>
                    <w:t>）</w:t>
                  </w:r>
                  <w:r>
                    <w:rPr>
                      <w:color w:val="auto"/>
                      <w:sz w:val="24"/>
                      <w:szCs w:val="24"/>
                    </w:rPr>
                    <w:t>》，项目不属于鼓励类、限制类、淘汰类，本项目属于允许类。</w:t>
                  </w:r>
                </w:p>
              </w:tc>
              <w:tc>
                <w:tcPr>
                  <w:tcW w:w="599" w:type="pct"/>
                  <w:vAlign w:val="center"/>
                </w:tcPr>
                <w:p w14:paraId="452AC6D5">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1995E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78D29291">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与《新疆维吾尔自治区国民经济和社会发展第十四个五年规划和2035年远景目标纲要》相符性分析</w:t>
                  </w:r>
                </w:p>
              </w:tc>
            </w:tr>
            <w:tr w14:paraId="7A26B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1070ECDA">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加强能耗</w:t>
                  </w:r>
                  <w:r>
                    <w:rPr>
                      <w:rFonts w:hint="eastAsia" w:ascii="Times New Roman" w:hAnsi="Times New Roman" w:cs="Times New Roman"/>
                      <w:color w:val="auto"/>
                      <w:sz w:val="24"/>
                      <w:szCs w:val="24"/>
                      <w:shd w:val="clear" w:color="auto" w:fill="FFFFFF"/>
                      <w:lang w:eastAsia="zh-CN"/>
                    </w:rPr>
                    <w:t>“</w:t>
                  </w:r>
                  <w:r>
                    <w:rPr>
                      <w:rFonts w:ascii="Times New Roman" w:hAnsi="Times New Roman" w:cs="Times New Roman"/>
                      <w:color w:val="auto"/>
                      <w:sz w:val="24"/>
                      <w:szCs w:val="24"/>
                      <w:shd w:val="clear" w:color="auto" w:fill="FFFFFF"/>
                    </w:rPr>
                    <w:t>双控</w:t>
                  </w:r>
                  <w:r>
                    <w:rPr>
                      <w:rFonts w:hint="eastAsia" w:ascii="Times New Roman" w:hAnsi="Times New Roman" w:cs="Times New Roman"/>
                      <w:color w:val="auto"/>
                      <w:sz w:val="24"/>
                      <w:szCs w:val="24"/>
                      <w:shd w:val="clear" w:color="auto" w:fill="FFFFFF"/>
                      <w:lang w:eastAsia="zh-CN"/>
                    </w:rPr>
                    <w:t>”</w:t>
                  </w:r>
                  <w:r>
                    <w:rPr>
                      <w:rFonts w:ascii="Times New Roman" w:hAnsi="Times New Roman" w:cs="Times New Roman"/>
                      <w:color w:val="auto"/>
                      <w:sz w:val="24"/>
                      <w:szCs w:val="24"/>
                      <w:shd w:val="clear" w:color="auto" w:fill="FFFFFF"/>
                    </w:rPr>
                    <w:t>管理，严格控制能源消费增量和能耗强度。优化能源消费结构，对</w:t>
                  </w:r>
                  <w:r>
                    <w:rPr>
                      <w:rFonts w:hint="eastAsia" w:ascii="Times New Roman" w:hAnsi="Times New Roman" w:cs="Times New Roman"/>
                      <w:color w:val="auto"/>
                      <w:sz w:val="24"/>
                      <w:szCs w:val="24"/>
                      <w:shd w:val="clear" w:color="auto" w:fill="FFFFFF"/>
                      <w:lang w:eastAsia="zh-CN"/>
                    </w:rPr>
                    <w:t>“</w:t>
                  </w:r>
                  <w:r>
                    <w:rPr>
                      <w:rFonts w:ascii="Times New Roman" w:hAnsi="Times New Roman" w:cs="Times New Roman"/>
                      <w:color w:val="auto"/>
                      <w:sz w:val="24"/>
                      <w:szCs w:val="24"/>
                      <w:shd w:val="clear" w:color="auto" w:fill="FFFFFF"/>
                    </w:rPr>
                    <w:t>乌—昌—石</w:t>
                  </w:r>
                  <w:r>
                    <w:rPr>
                      <w:rFonts w:hint="eastAsia" w:ascii="Times New Roman" w:hAnsi="Times New Roman" w:cs="Times New Roman"/>
                      <w:color w:val="auto"/>
                      <w:sz w:val="24"/>
                      <w:szCs w:val="24"/>
                      <w:shd w:val="clear" w:color="auto" w:fill="FFFFFF"/>
                      <w:lang w:eastAsia="zh-CN"/>
                    </w:rPr>
                    <w:t>”“</w:t>
                  </w:r>
                  <w:r>
                    <w:rPr>
                      <w:rFonts w:ascii="Times New Roman" w:hAnsi="Times New Roman" w:cs="Times New Roman"/>
                      <w:color w:val="auto"/>
                      <w:sz w:val="24"/>
                      <w:szCs w:val="24"/>
                      <w:shd w:val="clear" w:color="auto" w:fill="FFFFFF"/>
                    </w:rPr>
                    <w:t>奎—独—乌</w:t>
                  </w:r>
                  <w:r>
                    <w:rPr>
                      <w:rFonts w:hint="eastAsia" w:ascii="Times New Roman" w:hAnsi="Times New Roman" w:cs="Times New Roman"/>
                      <w:color w:val="auto"/>
                      <w:sz w:val="24"/>
                      <w:szCs w:val="24"/>
                      <w:shd w:val="clear" w:color="auto" w:fill="FFFFFF"/>
                      <w:lang w:eastAsia="zh-CN"/>
                    </w:rPr>
                    <w:t>”</w:t>
                  </w:r>
                  <w:r>
                    <w:rPr>
                      <w:rFonts w:ascii="Times New Roman" w:hAnsi="Times New Roman" w:cs="Times New Roman"/>
                      <w:color w:val="auto"/>
                      <w:sz w:val="24"/>
                      <w:szCs w:val="24"/>
                      <w:shd w:val="clear" w:color="auto" w:fill="FFFFFF"/>
                    </w:rPr>
                    <w:t>等重点区域实施新建用煤项目煤炭等量或减量替代。</w:t>
                  </w:r>
                </w:p>
              </w:tc>
              <w:tc>
                <w:tcPr>
                  <w:tcW w:w="1351" w:type="pct"/>
                  <w:vAlign w:val="center"/>
                </w:tcPr>
                <w:p w14:paraId="05951FA9">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本项目区不属于重点区域。</w:t>
                  </w:r>
                </w:p>
              </w:tc>
              <w:tc>
                <w:tcPr>
                  <w:tcW w:w="599" w:type="pct"/>
                  <w:vAlign w:val="center"/>
                </w:tcPr>
                <w:p w14:paraId="24EF278E">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53C36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012B24E5">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持续开展大气污染防治。加强工业污染源整治，实行采暖季重点行业错峰生产，推动工业污染源全面达标排放。</w:t>
                  </w:r>
                </w:p>
              </w:tc>
              <w:tc>
                <w:tcPr>
                  <w:tcW w:w="1351" w:type="pct"/>
                  <w:vAlign w:val="center"/>
                </w:tcPr>
                <w:p w14:paraId="5249CFF7">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ascii="Times New Roman" w:hAnsi="Times New Roman" w:cs="Times New Roman"/>
                      <w:color w:val="auto"/>
                      <w:sz w:val="24"/>
                      <w:szCs w:val="24"/>
                      <w:shd w:val="clear" w:color="auto" w:fill="FFFFFF"/>
                    </w:rPr>
                    <w:t>新建一台</w:t>
                  </w:r>
                  <w:r>
                    <w:rPr>
                      <w:rFonts w:hint="eastAsia" w:ascii="Times New Roman" w:hAnsi="Times New Roman" w:cs="Times New Roman"/>
                      <w:color w:val="auto"/>
                      <w:sz w:val="24"/>
                      <w:szCs w:val="24"/>
                      <w:lang w:val="en-US" w:eastAsia="zh-CN"/>
                    </w:rPr>
                    <w:t>330kw电</w:t>
                  </w:r>
                  <w:r>
                    <w:rPr>
                      <w:rFonts w:ascii="Times New Roman" w:hAnsi="Times New Roman" w:cs="Times New Roman"/>
                      <w:color w:val="auto"/>
                      <w:sz w:val="24"/>
                      <w:szCs w:val="24"/>
                    </w:rPr>
                    <w:t>锅炉，废气经处理后可达标排放。</w:t>
                  </w:r>
                </w:p>
              </w:tc>
              <w:tc>
                <w:tcPr>
                  <w:tcW w:w="599" w:type="pct"/>
                  <w:vAlign w:val="center"/>
                </w:tcPr>
                <w:p w14:paraId="6E21F8B5">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209D7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D5E50C0">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与《关于开展自治区2022年度夏秋季大气污染防治</w:t>
                  </w:r>
                  <w:r>
                    <w:rPr>
                      <w:rFonts w:hint="eastAsia" w:ascii="Times New Roman" w:hAnsi="Times New Roman" w:cs="Times New Roman"/>
                      <w:b/>
                      <w:color w:val="auto"/>
                      <w:sz w:val="24"/>
                      <w:szCs w:val="24"/>
                      <w:lang w:eastAsia="zh-CN"/>
                    </w:rPr>
                    <w:t>“</w:t>
                  </w:r>
                  <w:r>
                    <w:rPr>
                      <w:rFonts w:ascii="Times New Roman" w:hAnsi="Times New Roman" w:cs="Times New Roman"/>
                      <w:b/>
                      <w:color w:val="auto"/>
                      <w:sz w:val="24"/>
                      <w:szCs w:val="24"/>
                    </w:rPr>
                    <w:t>冬病夏治</w:t>
                  </w:r>
                  <w:r>
                    <w:rPr>
                      <w:rFonts w:hint="eastAsia" w:ascii="Times New Roman" w:hAnsi="Times New Roman" w:cs="Times New Roman"/>
                      <w:b/>
                      <w:color w:val="auto"/>
                      <w:sz w:val="24"/>
                      <w:szCs w:val="24"/>
                      <w:lang w:eastAsia="zh-CN"/>
                    </w:rPr>
                    <w:t>”</w:t>
                  </w:r>
                  <w:r>
                    <w:rPr>
                      <w:rFonts w:ascii="Times New Roman" w:hAnsi="Times New Roman" w:cs="Times New Roman"/>
                      <w:b/>
                      <w:color w:val="auto"/>
                      <w:sz w:val="24"/>
                      <w:szCs w:val="24"/>
                    </w:rPr>
                    <w:t>工作的通知》相符性分析</w:t>
                  </w:r>
                </w:p>
              </w:tc>
            </w:tr>
            <w:tr w14:paraId="289D3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7A11BD55">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加快推进燃煤锅炉超低排放改造和燃气锅炉低氮燃烧改造。2022年10月底前，县级及以上城市建成区淘汰30%现有35蒸吨/小时及以下的燃煤锅炉。</w:t>
                  </w:r>
                </w:p>
              </w:tc>
              <w:tc>
                <w:tcPr>
                  <w:tcW w:w="1351" w:type="pct"/>
                  <w:vAlign w:val="center"/>
                </w:tcPr>
                <w:p w14:paraId="0CDA4299">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本次新建一台</w:t>
                  </w:r>
                  <w:r>
                    <w:rPr>
                      <w:rFonts w:hint="eastAsia" w:ascii="Times New Roman" w:hAnsi="Times New Roman" w:cs="Times New Roman"/>
                      <w:color w:val="auto"/>
                      <w:sz w:val="24"/>
                      <w:szCs w:val="24"/>
                      <w:lang w:val="en-US" w:eastAsia="zh-CN"/>
                    </w:rPr>
                    <w:t>330kw电</w:t>
                  </w:r>
                  <w:r>
                    <w:rPr>
                      <w:rFonts w:ascii="Times New Roman" w:hAnsi="Times New Roman" w:cs="Times New Roman"/>
                      <w:color w:val="auto"/>
                      <w:sz w:val="24"/>
                      <w:szCs w:val="24"/>
                    </w:rPr>
                    <w:t>锅炉，不属于</w:t>
                  </w:r>
                  <w:r>
                    <w:rPr>
                      <w:rFonts w:ascii="Times New Roman" w:hAnsi="Times New Roman" w:cs="Times New Roman"/>
                      <w:color w:val="auto"/>
                      <w:sz w:val="24"/>
                      <w:szCs w:val="24"/>
                      <w:shd w:val="clear" w:color="auto" w:fill="FFFFFF"/>
                    </w:rPr>
                    <w:t>35蒸吨以下的燃煤锅炉。</w:t>
                  </w:r>
                </w:p>
              </w:tc>
              <w:tc>
                <w:tcPr>
                  <w:tcW w:w="599" w:type="pct"/>
                  <w:vAlign w:val="center"/>
                </w:tcPr>
                <w:p w14:paraId="2F772448">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10568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64DE5A65">
                  <w:pPr>
                    <w:pStyle w:val="42"/>
                    <w:keepNext w:val="0"/>
                    <w:keepLines w:val="0"/>
                    <w:pageBreakBefore w:val="0"/>
                    <w:widowControl w:val="0"/>
                    <w:kinsoku/>
                    <w:wordWrap/>
                    <w:overflowPunct/>
                    <w:topLinePunct w:val="0"/>
                    <w:autoSpaceDE/>
                    <w:autoSpaceDN/>
                    <w:bidi w:val="0"/>
                    <w:adjustRightInd w:val="0"/>
                    <w:snapToGrid w:val="0"/>
                    <w:spacing w:before="24" w:after="24" w:line="240" w:lineRule="auto"/>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与《关于印发新疆维吾尔自治区大气污染防治行动计划实施方案的通知》（新政发〔2014〕35号</w:t>
                  </w:r>
                  <w:r>
                    <w:rPr>
                      <w:rFonts w:hint="eastAsia" w:ascii="Times New Roman" w:hAnsi="Times New Roman" w:cs="Times New Roman"/>
                      <w:b/>
                      <w:color w:val="auto"/>
                      <w:sz w:val="24"/>
                      <w:szCs w:val="24"/>
                      <w:lang w:eastAsia="zh-CN"/>
                    </w:rPr>
                    <w:t>）</w:t>
                  </w:r>
                  <w:r>
                    <w:rPr>
                      <w:rFonts w:ascii="Times New Roman" w:hAnsi="Times New Roman" w:cs="Times New Roman"/>
                      <w:b/>
                      <w:color w:val="auto"/>
                      <w:sz w:val="24"/>
                      <w:szCs w:val="24"/>
                    </w:rPr>
                    <w:t>相符性分析</w:t>
                  </w:r>
                </w:p>
              </w:tc>
            </w:tr>
            <w:tr w14:paraId="03858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32CBA192">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提高重点区域污染防治水平。国家和自治区大气污染联防联控区域内新建火电、钢铁、石化、水泥、有色金属冶炼、化工等企业以及燃煤锅炉要执行大气污染物特别排放限值，现有企业要按规定时限达到大气污染物特别排放限值要求，对达不到要求的，要采取限期治理、关停等措施。</w:t>
                  </w:r>
                </w:p>
              </w:tc>
              <w:tc>
                <w:tcPr>
                  <w:tcW w:w="1351" w:type="pct"/>
                  <w:vAlign w:val="center"/>
                </w:tcPr>
                <w:p w14:paraId="3DE8358E">
                  <w:pPr>
                    <w:pStyle w:val="42"/>
                    <w:keepNext w:val="0"/>
                    <w:keepLines w:val="0"/>
                    <w:pageBreakBefore w:val="0"/>
                    <w:widowControl w:val="0"/>
                    <w:kinsoku/>
                    <w:wordWrap/>
                    <w:overflowPunct/>
                    <w:topLinePunct w:val="0"/>
                    <w:bidi w:val="0"/>
                    <w:spacing w:before="24" w:after="24" w:line="360" w:lineRule="auto"/>
                    <w:jc w:val="both"/>
                    <w:textAlignment w:val="auto"/>
                    <w:rPr>
                      <w:rFonts w:hint="eastAsia" w:ascii="Times New Roman" w:hAnsi="Times New Roman" w:eastAsia="宋体" w:cs="Times New Roman"/>
                      <w:color w:val="auto"/>
                      <w:sz w:val="24"/>
                      <w:szCs w:val="24"/>
                      <w:lang w:eastAsia="zh-CN"/>
                    </w:rPr>
                  </w:pPr>
                  <w:r>
                    <w:rPr>
                      <w:rFonts w:ascii="Times New Roman" w:hAnsi="Times New Roman" w:cs="Times New Roman"/>
                      <w:color w:val="auto"/>
                      <w:sz w:val="24"/>
                      <w:szCs w:val="24"/>
                    </w:rPr>
                    <w:t>本次新建一台</w:t>
                  </w:r>
                  <w:r>
                    <w:rPr>
                      <w:rFonts w:hint="eastAsia" w:ascii="Times New Roman" w:hAnsi="Times New Roman" w:cs="Times New Roman"/>
                      <w:color w:val="auto"/>
                      <w:sz w:val="24"/>
                      <w:szCs w:val="24"/>
                      <w:lang w:val="en-US" w:eastAsia="zh-CN"/>
                    </w:rPr>
                    <w:t>330kw电热水</w:t>
                  </w:r>
                  <w:r>
                    <w:rPr>
                      <w:rFonts w:ascii="Times New Roman" w:hAnsi="Times New Roman" w:cs="Times New Roman"/>
                      <w:color w:val="auto"/>
                      <w:sz w:val="24"/>
                      <w:szCs w:val="24"/>
                    </w:rPr>
                    <w:t>锅炉</w:t>
                  </w:r>
                  <w:r>
                    <w:rPr>
                      <w:rFonts w:hint="eastAsia" w:ascii="Times New Roman" w:hAnsi="Times New Roman" w:cs="Times New Roman"/>
                      <w:color w:val="auto"/>
                      <w:sz w:val="24"/>
                      <w:szCs w:val="24"/>
                      <w:lang w:eastAsia="zh-CN"/>
                    </w:rPr>
                    <w:t>。</w:t>
                  </w:r>
                </w:p>
              </w:tc>
              <w:tc>
                <w:tcPr>
                  <w:tcW w:w="599" w:type="pct"/>
                  <w:vAlign w:val="center"/>
                </w:tcPr>
                <w:p w14:paraId="30C412B2">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4C0CC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60F485D5">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实施燃煤锅炉整治。加快热力和燃气管网建设，通过热电联产、集中供热等工程建设，到2017年底，除必要保留的以外，全区城市建成区基本淘汰每小时10蒸吨及以下燃煤锅炉，禁止新建每小时20蒸吨以下燃煤锅炉。</w:t>
                  </w:r>
                </w:p>
              </w:tc>
              <w:tc>
                <w:tcPr>
                  <w:tcW w:w="1351" w:type="pct"/>
                  <w:vAlign w:val="center"/>
                </w:tcPr>
                <w:p w14:paraId="164783B0">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本次新建一台</w:t>
                  </w:r>
                  <w:r>
                    <w:rPr>
                      <w:rFonts w:hint="eastAsia" w:ascii="Times New Roman" w:hAnsi="Times New Roman" w:cs="Times New Roman"/>
                      <w:color w:val="auto"/>
                      <w:sz w:val="24"/>
                      <w:szCs w:val="24"/>
                      <w:lang w:val="en-US" w:eastAsia="zh-CN"/>
                    </w:rPr>
                    <w:t>330kw电热水</w:t>
                  </w:r>
                  <w:r>
                    <w:rPr>
                      <w:rFonts w:ascii="Times New Roman" w:hAnsi="Times New Roman" w:cs="Times New Roman"/>
                      <w:color w:val="auto"/>
                      <w:sz w:val="24"/>
                      <w:szCs w:val="24"/>
                    </w:rPr>
                    <w:t>锅炉</w:t>
                  </w:r>
                </w:p>
              </w:tc>
              <w:tc>
                <w:tcPr>
                  <w:tcW w:w="599" w:type="pct"/>
                  <w:vAlign w:val="center"/>
                </w:tcPr>
                <w:p w14:paraId="342F3749">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375E2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15CBFC1F">
                  <w:pPr>
                    <w:keepNext w:val="0"/>
                    <w:keepLines w:val="0"/>
                    <w:pageBreakBefore w:val="0"/>
                    <w:widowControl w:val="0"/>
                    <w:kinsoku/>
                    <w:wordWrap/>
                    <w:overflowPunct/>
                    <w:topLinePunct w:val="0"/>
                    <w:autoSpaceDE w:val="0"/>
                    <w:autoSpaceDN w:val="0"/>
                    <w:bidi w:val="0"/>
                    <w:adjustRightInd w:val="0"/>
                    <w:spacing w:line="360" w:lineRule="auto"/>
                    <w:jc w:val="center"/>
                    <w:textAlignment w:val="auto"/>
                    <w:rPr>
                      <w:color w:val="auto"/>
                      <w:sz w:val="24"/>
                      <w:szCs w:val="24"/>
                    </w:rPr>
                  </w:pPr>
                  <w:r>
                    <w:rPr>
                      <w:b/>
                      <w:bCs/>
                      <w:color w:val="auto"/>
                      <w:kern w:val="0"/>
                      <w:sz w:val="24"/>
                      <w:szCs w:val="24"/>
                    </w:rPr>
                    <w:t>《新疆维吾尔自治区环境保护条例》</w:t>
                  </w:r>
                </w:p>
              </w:tc>
            </w:tr>
            <w:tr w14:paraId="7DBB7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vAlign w:val="center"/>
                </w:tcPr>
                <w:p w14:paraId="513891A8">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建</w:t>
                  </w:r>
                  <w:r>
                    <w:rPr>
                      <w:rFonts w:ascii="Times New Roman" w:hAnsi="Times New Roman" w:cs="Times New Roman"/>
                      <w:color w:val="auto"/>
                      <w:sz w:val="24"/>
                      <w:szCs w:val="24"/>
                    </w:rPr>
                    <w:t>设项目环境影响评价文件中规定建设的环境保护设施，应当与主体工程同时设计、同时施工、同时投入使用。</w:t>
                  </w:r>
                </w:p>
                <w:p w14:paraId="51201382">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建设单位在改建、扩建建设项目时，应当同时治理与建设项目有关的原有污染源。</w:t>
                  </w:r>
                </w:p>
              </w:tc>
              <w:tc>
                <w:tcPr>
                  <w:tcW w:w="1351" w:type="pct"/>
                  <w:vAlign w:val="center"/>
                </w:tcPr>
                <w:p w14:paraId="1BB19E04">
                  <w:pPr>
                    <w:pStyle w:val="42"/>
                    <w:keepNext w:val="0"/>
                    <w:keepLines w:val="0"/>
                    <w:pageBreakBefore w:val="0"/>
                    <w:widowControl w:val="0"/>
                    <w:kinsoku/>
                    <w:wordWrap/>
                    <w:overflowPunct/>
                    <w:topLinePunct w:val="0"/>
                    <w:bidi w:val="0"/>
                    <w:spacing w:before="24" w:after="24" w:line="360" w:lineRule="auto"/>
                    <w:jc w:val="both"/>
                    <w:textAlignment w:val="auto"/>
                    <w:rPr>
                      <w:rFonts w:hint="eastAsia" w:ascii="Times New Roman" w:hAnsi="Times New Roman" w:eastAsia="宋体" w:cs="Times New Roman"/>
                      <w:color w:val="auto"/>
                      <w:sz w:val="24"/>
                      <w:szCs w:val="24"/>
                      <w:lang w:val="en-US" w:eastAsia="zh-CN"/>
                    </w:rPr>
                  </w:pPr>
                  <w:r>
                    <w:rPr>
                      <w:rFonts w:ascii="Times New Roman" w:hAnsi="Times New Roman" w:cs="Times New Roman"/>
                      <w:color w:val="auto"/>
                      <w:sz w:val="24"/>
                      <w:szCs w:val="24"/>
                    </w:rPr>
                    <w:t>本项目采用的环保设施已与主体工程同时设计。</w:t>
                  </w:r>
                </w:p>
              </w:tc>
              <w:tc>
                <w:tcPr>
                  <w:tcW w:w="599" w:type="pct"/>
                  <w:vAlign w:val="center"/>
                </w:tcPr>
                <w:p w14:paraId="115EE47E">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5682C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bottom w:val="single" w:color="auto" w:sz="4" w:space="0"/>
                  </w:tcBorders>
                  <w:vAlign w:val="center"/>
                </w:tcPr>
                <w:p w14:paraId="34E4DB0C">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b/>
                      <w:color w:val="auto"/>
                      <w:sz w:val="24"/>
                      <w:szCs w:val="24"/>
                    </w:rPr>
                  </w:pPr>
                  <w:r>
                    <w:rPr>
                      <w:rStyle w:val="37"/>
                      <w:rFonts w:ascii="Times New Roman" w:hAnsi="Times New Roman" w:cs="Times New Roman"/>
                      <w:b/>
                      <w:color w:val="auto"/>
                      <w:sz w:val="24"/>
                      <w:szCs w:val="24"/>
                    </w:rPr>
                    <w:t>《巴音郭楞蒙古自治州生态环境</w:t>
                  </w:r>
                  <w:r>
                    <w:rPr>
                      <w:rStyle w:val="37"/>
                      <w:rFonts w:hint="eastAsia" w:ascii="Times New Roman" w:hAnsi="Times New Roman" w:cs="Times New Roman"/>
                      <w:b/>
                      <w:color w:val="auto"/>
                      <w:sz w:val="24"/>
                      <w:szCs w:val="24"/>
                      <w:lang w:eastAsia="zh-CN"/>
                    </w:rPr>
                    <w:t>“</w:t>
                  </w:r>
                  <w:r>
                    <w:rPr>
                      <w:rStyle w:val="37"/>
                      <w:rFonts w:ascii="Times New Roman" w:hAnsi="Times New Roman" w:cs="Times New Roman"/>
                      <w:b/>
                      <w:color w:val="auto"/>
                      <w:sz w:val="24"/>
                      <w:szCs w:val="24"/>
                    </w:rPr>
                    <w:t>十四五</w:t>
                  </w:r>
                  <w:r>
                    <w:rPr>
                      <w:rStyle w:val="37"/>
                      <w:rFonts w:hint="eastAsia" w:ascii="Times New Roman" w:hAnsi="Times New Roman" w:cs="Times New Roman"/>
                      <w:b/>
                      <w:color w:val="auto"/>
                      <w:sz w:val="24"/>
                      <w:szCs w:val="24"/>
                      <w:lang w:eastAsia="zh-CN"/>
                    </w:rPr>
                    <w:t>”</w:t>
                  </w:r>
                  <w:r>
                    <w:rPr>
                      <w:rStyle w:val="37"/>
                      <w:rFonts w:ascii="Times New Roman" w:hAnsi="Times New Roman" w:cs="Times New Roman"/>
                      <w:b/>
                      <w:color w:val="auto"/>
                      <w:sz w:val="24"/>
                      <w:szCs w:val="24"/>
                    </w:rPr>
                    <w:t>规划》</w:t>
                  </w:r>
                </w:p>
              </w:tc>
            </w:tr>
            <w:tr w14:paraId="27AEA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9" w:type="pct"/>
                  <w:gridSpan w:val="2"/>
                  <w:tcBorders>
                    <w:top w:val="single" w:color="auto" w:sz="4" w:space="0"/>
                    <w:bottom w:val="single" w:color="auto" w:sz="4" w:space="0"/>
                  </w:tcBorders>
                  <w:vAlign w:val="center"/>
                </w:tcPr>
                <w:p w14:paraId="05FACF2F">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深入实施燃煤锅炉、工业炉窑综合治理。城市建成区35蒸吨/小时及以下的燃煤锅炉全部淘汰或实施清洁能源替代；</w:t>
                  </w:r>
                </w:p>
              </w:tc>
              <w:tc>
                <w:tcPr>
                  <w:tcW w:w="1351" w:type="pct"/>
                  <w:tcBorders>
                    <w:top w:val="single" w:color="auto" w:sz="4" w:space="0"/>
                    <w:bottom w:val="single" w:color="auto" w:sz="4" w:space="0"/>
                  </w:tcBorders>
                  <w:vAlign w:val="center"/>
                </w:tcPr>
                <w:p w14:paraId="6E199A7E">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本次新建本次新建一台</w:t>
                  </w:r>
                  <w:r>
                    <w:rPr>
                      <w:rFonts w:hint="eastAsia" w:ascii="Times New Roman" w:hAnsi="Times New Roman" w:cs="Times New Roman"/>
                      <w:color w:val="auto"/>
                      <w:sz w:val="24"/>
                      <w:szCs w:val="24"/>
                      <w:lang w:val="en-US" w:eastAsia="zh-CN"/>
                    </w:rPr>
                    <w:t>330kw电热水</w:t>
                  </w:r>
                  <w:r>
                    <w:rPr>
                      <w:rFonts w:ascii="Times New Roman" w:hAnsi="Times New Roman" w:cs="Times New Roman"/>
                      <w:color w:val="auto"/>
                      <w:sz w:val="24"/>
                      <w:szCs w:val="24"/>
                    </w:rPr>
                    <w:t>锅炉</w:t>
                  </w:r>
                </w:p>
              </w:tc>
              <w:tc>
                <w:tcPr>
                  <w:tcW w:w="599" w:type="pct"/>
                  <w:tcBorders>
                    <w:top w:val="single" w:color="auto" w:sz="4" w:space="0"/>
                    <w:bottom w:val="single" w:color="auto" w:sz="4" w:space="0"/>
                  </w:tcBorders>
                  <w:vAlign w:val="center"/>
                </w:tcPr>
                <w:p w14:paraId="7F1C6D60">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07C48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bottom w:val="single" w:color="auto" w:sz="4" w:space="0"/>
                  </w:tcBorders>
                  <w:vAlign w:val="center"/>
                </w:tcPr>
                <w:p w14:paraId="03ABCF9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bCs/>
                      <w:color w:val="auto"/>
                      <w:kern w:val="0"/>
                      <w:sz w:val="24"/>
                      <w:szCs w:val="24"/>
                    </w:rPr>
                  </w:pPr>
                  <w:r>
                    <w:rPr>
                      <w:b/>
                      <w:bCs/>
                      <w:color w:val="auto"/>
                      <w:kern w:val="0"/>
                      <w:sz w:val="24"/>
                      <w:szCs w:val="24"/>
                    </w:rPr>
                    <w:t>与国务院关于印发《空气质量持续改善</w:t>
                  </w:r>
                  <w:r>
                    <w:rPr>
                      <w:b/>
                      <w:color w:val="auto"/>
                      <w:kern w:val="0"/>
                      <w:sz w:val="24"/>
                      <w:szCs w:val="24"/>
                    </w:rPr>
                    <w:t>行动计划》的通知（国发〔2023〕24号</w:t>
                  </w:r>
                  <w:r>
                    <w:rPr>
                      <w:rFonts w:hint="eastAsia"/>
                      <w:b/>
                      <w:color w:val="auto"/>
                      <w:kern w:val="0"/>
                      <w:sz w:val="24"/>
                      <w:szCs w:val="24"/>
                      <w:lang w:eastAsia="zh-CN"/>
                    </w:rPr>
                    <w:t>）</w:t>
                  </w:r>
                  <w:r>
                    <w:rPr>
                      <w:b/>
                      <w:color w:val="auto"/>
                      <w:kern w:val="0"/>
                      <w:sz w:val="24"/>
                      <w:szCs w:val="24"/>
                    </w:rPr>
                    <w:t>符合性分析</w:t>
                  </w:r>
                </w:p>
              </w:tc>
            </w:tr>
            <w:tr w14:paraId="4102C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049" w:type="pct"/>
                  <w:gridSpan w:val="2"/>
                  <w:tcBorders>
                    <w:top w:val="single" w:color="auto" w:sz="4" w:space="0"/>
                    <w:bottom w:val="single" w:color="auto" w:sz="4" w:space="0"/>
                  </w:tcBorders>
                  <w:vAlign w:val="center"/>
                </w:tcPr>
                <w:p w14:paraId="11E3F3EB">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各地要将燃煤供热锅炉替代项目纳入城镇供热规划。县级及以上城市建成区原则上不再新建35蒸吨/小时及以下燃煤锅炉，重点区域原则上不再新建除集中供暖外的燃煤锅炉。</w:t>
                  </w:r>
                </w:p>
              </w:tc>
              <w:tc>
                <w:tcPr>
                  <w:tcW w:w="1351" w:type="pct"/>
                  <w:tcBorders>
                    <w:top w:val="single" w:color="auto" w:sz="4" w:space="0"/>
                    <w:bottom w:val="single" w:color="auto" w:sz="4" w:space="0"/>
                  </w:tcBorders>
                  <w:vAlign w:val="center"/>
                </w:tcPr>
                <w:p w14:paraId="0E1EF44A">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本次新建一台</w:t>
                  </w:r>
                  <w:r>
                    <w:rPr>
                      <w:rFonts w:hint="eastAsia" w:ascii="Times New Roman" w:hAnsi="Times New Roman" w:cs="Times New Roman"/>
                      <w:color w:val="auto"/>
                      <w:sz w:val="24"/>
                      <w:szCs w:val="24"/>
                      <w:lang w:val="en-US" w:eastAsia="zh-CN"/>
                    </w:rPr>
                    <w:t>330kw电热水</w:t>
                  </w:r>
                  <w:r>
                    <w:rPr>
                      <w:rFonts w:ascii="Times New Roman" w:hAnsi="Times New Roman" w:cs="Times New Roman"/>
                      <w:color w:val="auto"/>
                      <w:sz w:val="24"/>
                      <w:szCs w:val="24"/>
                    </w:rPr>
                    <w:t>锅炉</w:t>
                  </w:r>
                </w:p>
              </w:tc>
              <w:tc>
                <w:tcPr>
                  <w:tcW w:w="599" w:type="pct"/>
                  <w:tcBorders>
                    <w:top w:val="single" w:color="auto" w:sz="4" w:space="0"/>
                    <w:bottom w:val="single" w:color="auto" w:sz="4" w:space="0"/>
                  </w:tcBorders>
                  <w:vAlign w:val="center"/>
                </w:tcPr>
                <w:p w14:paraId="57C92ED7">
                  <w:pPr>
                    <w:pStyle w:val="42"/>
                    <w:keepNext w:val="0"/>
                    <w:keepLines w:val="0"/>
                    <w:pageBreakBefore w:val="0"/>
                    <w:widowControl w:val="0"/>
                    <w:kinsoku/>
                    <w:wordWrap/>
                    <w:overflowPunct/>
                    <w:topLinePunct w:val="0"/>
                    <w:bidi w:val="0"/>
                    <w:spacing w:before="24" w:after="24"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r w14:paraId="325BD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000" w:type="pct"/>
                  <w:gridSpan w:val="4"/>
                  <w:tcBorders>
                    <w:top w:val="single" w:color="auto" w:sz="4" w:space="0"/>
                    <w:bottom w:val="single" w:color="auto" w:sz="4" w:space="0"/>
                  </w:tcBorders>
                  <w:vAlign w:val="center"/>
                </w:tcPr>
                <w:p w14:paraId="3BA6FF8F">
                  <w:pPr>
                    <w:pStyle w:val="42"/>
                    <w:keepNext w:val="0"/>
                    <w:keepLines w:val="0"/>
                    <w:pageBreakBefore w:val="0"/>
                    <w:widowControl w:val="0"/>
                    <w:kinsoku/>
                    <w:wordWrap/>
                    <w:overflowPunct/>
                    <w:topLinePunct w:val="0"/>
                    <w:bidi w:val="0"/>
                    <w:spacing w:before="24" w:after="24" w:line="360" w:lineRule="auto"/>
                    <w:jc w:val="both"/>
                    <w:textAlignment w:val="auto"/>
                    <w:rPr>
                      <w:rFonts w:hint="eastAsia" w:ascii="Times New Roman" w:hAnsi="Times New Roman" w:eastAsia="宋体" w:cs="Times New Roman"/>
                      <w:b/>
                      <w:color w:val="auto"/>
                      <w:sz w:val="24"/>
                      <w:szCs w:val="24"/>
                      <w:lang w:eastAsia="zh-CN"/>
                    </w:rPr>
                  </w:pPr>
                  <w:r>
                    <w:rPr>
                      <w:rFonts w:ascii="Times New Roman" w:hAnsi="Times New Roman" w:cs="Times New Roman"/>
                      <w:b/>
                      <w:color w:val="auto"/>
                      <w:sz w:val="24"/>
                      <w:szCs w:val="24"/>
                    </w:rPr>
                    <w:t>《关于自治州固体废物污染防治实施方案的通知》（巴政办发〔2018〕79号</w:t>
                  </w:r>
                  <w:r>
                    <w:rPr>
                      <w:rFonts w:hint="eastAsia" w:ascii="Times New Roman" w:hAnsi="Times New Roman" w:cs="Times New Roman"/>
                      <w:b/>
                      <w:color w:val="auto"/>
                      <w:sz w:val="24"/>
                      <w:szCs w:val="24"/>
                      <w:lang w:eastAsia="zh-CN"/>
                    </w:rPr>
                    <w:t>）</w:t>
                  </w:r>
                </w:p>
              </w:tc>
            </w:tr>
            <w:tr w14:paraId="40EF1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460" w:type="pct"/>
                  <w:tcBorders>
                    <w:top w:val="single" w:color="auto" w:sz="4" w:space="0"/>
                    <w:bottom w:val="single" w:color="auto" w:sz="4" w:space="0"/>
                  </w:tcBorders>
                  <w:vAlign w:val="center"/>
                </w:tcPr>
                <w:p w14:paraId="65A10878">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经信部门组织开展全州冶炼废渣、粉煤灰、煤矸石、脱硫石膏等大宗固体废物综合利用的排查工作，加强对大宗工业固体废物综合利用的行业管理。</w:t>
                  </w:r>
                </w:p>
              </w:tc>
              <w:tc>
                <w:tcPr>
                  <w:tcW w:w="2940" w:type="pct"/>
                  <w:gridSpan w:val="2"/>
                  <w:tcBorders>
                    <w:top w:val="single" w:color="auto" w:sz="4" w:space="0"/>
                    <w:bottom w:val="single" w:color="auto" w:sz="4" w:space="0"/>
                  </w:tcBorders>
                  <w:vAlign w:val="center"/>
                </w:tcPr>
                <w:p w14:paraId="095BC0B9">
                  <w:pPr>
                    <w:pStyle w:val="99"/>
                    <w:keepNext w:val="0"/>
                    <w:keepLines w:val="0"/>
                    <w:pageBreakBefore w:val="0"/>
                    <w:widowControl w:val="0"/>
                    <w:kinsoku/>
                    <w:wordWrap/>
                    <w:overflowPunct/>
                    <w:topLinePunct w:val="0"/>
                    <w:bidi w:val="0"/>
                    <w:spacing w:line="360" w:lineRule="auto"/>
                    <w:jc w:val="both"/>
                    <w:textAlignment w:val="auto"/>
                    <w:rPr>
                      <w:color w:val="auto"/>
                      <w:sz w:val="24"/>
                      <w:szCs w:val="24"/>
                    </w:rPr>
                  </w:pPr>
                  <w:r>
                    <w:rPr>
                      <w:color w:val="auto"/>
                      <w:sz w:val="24"/>
                      <w:szCs w:val="24"/>
                    </w:rPr>
                    <w:t>本项目一般工业固体废物均合理处置，</w:t>
                  </w:r>
                  <w:r>
                    <w:rPr>
                      <w:rFonts w:hint="eastAsia"/>
                      <w:color w:val="auto"/>
                      <w:sz w:val="24"/>
                      <w:szCs w:val="24"/>
                      <w:lang w:val="en-US" w:eastAsia="zh-CN"/>
                    </w:rPr>
                    <w:t>不合格产品、过期产品、隔油池油污、豆渣、生牛乳废渣分别收集后外售给肥料厂制造肥料；职工生活垃圾和废卤渣收集后交由环卫部门处置；废包装材料收集后外售给废品回收站；软水制备的废RO膜更换时由厂家回收；废活性炭集中收集后交由有危废处置资质的单位处置；污水处理站污泥一部分用作活性污泥参与好氧系统培养活性菌，剩余部分脱水后拉运至垃圾填埋场填埋，均能够妥善处理。</w:t>
                  </w:r>
                </w:p>
              </w:tc>
              <w:tc>
                <w:tcPr>
                  <w:tcW w:w="599" w:type="pct"/>
                  <w:tcBorders>
                    <w:top w:val="single" w:color="auto" w:sz="4" w:space="0"/>
                    <w:bottom w:val="single" w:color="auto" w:sz="4" w:space="0"/>
                  </w:tcBorders>
                  <w:vAlign w:val="center"/>
                </w:tcPr>
                <w:p w14:paraId="039FA1B6">
                  <w:pPr>
                    <w:pStyle w:val="42"/>
                    <w:keepNext w:val="0"/>
                    <w:keepLines w:val="0"/>
                    <w:pageBreakBefore w:val="0"/>
                    <w:widowControl w:val="0"/>
                    <w:kinsoku/>
                    <w:wordWrap/>
                    <w:overflowPunct/>
                    <w:topLinePunct w:val="0"/>
                    <w:bidi w:val="0"/>
                    <w:spacing w:before="24" w:after="24"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符合</w:t>
                  </w:r>
                </w:p>
              </w:tc>
            </w:tr>
          </w:tbl>
          <w:p w14:paraId="629B7DD7">
            <w:pPr>
              <w:pStyle w:val="94"/>
              <w:rPr>
                <w:color w:val="auto"/>
                <w:sz w:val="24"/>
                <w:szCs w:val="24"/>
              </w:rPr>
            </w:pPr>
          </w:p>
          <w:p w14:paraId="249916AC">
            <w:pPr>
              <w:pStyle w:val="78"/>
              <w:spacing w:line="440" w:lineRule="exact"/>
              <w:ind w:firstLine="0"/>
              <w:rPr>
                <w:color w:val="auto"/>
                <w:kern w:val="0"/>
                <w:sz w:val="24"/>
                <w:szCs w:val="24"/>
              </w:rPr>
            </w:pPr>
          </w:p>
        </w:tc>
      </w:tr>
    </w:tbl>
    <w:p w14:paraId="338FEF10">
      <w:pPr>
        <w:spacing w:line="360" w:lineRule="auto"/>
        <w:outlineLvl w:val="0"/>
        <w:rPr>
          <w:rFonts w:eastAsia="黑体"/>
          <w:sz w:val="30"/>
        </w:rPr>
        <w:sectPr>
          <w:footerReference r:id="rId5" w:type="default"/>
          <w:pgSz w:w="11906" w:h="16838"/>
          <w:pgMar w:top="1304" w:right="1361" w:bottom="1304" w:left="1361" w:header="851" w:footer="1077" w:gutter="0"/>
          <w:pgBorders>
            <w:top w:val="none" w:sz="0" w:space="0"/>
            <w:left w:val="none" w:sz="0" w:space="0"/>
            <w:bottom w:val="none" w:sz="0" w:space="0"/>
            <w:right w:val="none" w:sz="0" w:space="0"/>
          </w:pgBorders>
          <w:pgNumType w:start="1"/>
          <w:cols w:space="720" w:num="1"/>
          <w:docGrid w:linePitch="312" w:charSpace="0"/>
        </w:sectPr>
      </w:pPr>
    </w:p>
    <w:p w14:paraId="17D89255">
      <w:pPr>
        <w:pStyle w:val="26"/>
        <w:rPr>
          <w:rFonts w:ascii="Times New Roman" w:hAnsi="Times New Roman" w:cs="Times New Roman"/>
          <w:snapToGrid w:val="0"/>
        </w:rPr>
      </w:pPr>
      <w:r>
        <w:rPr>
          <w:rFonts w:ascii="Times New Roman" w:hAnsi="Times New Roman" w:cs="Times New Roman"/>
          <w:snapToGrid w:val="0"/>
        </w:rPr>
        <w:t>二、建设项目工程分析</w:t>
      </w:r>
    </w:p>
    <w:tbl>
      <w:tblPr>
        <w:tblStyle w:val="29"/>
        <w:tblW w:w="48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195"/>
      </w:tblGrid>
      <w:tr w14:paraId="0846C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7" w:hRule="atLeast"/>
        </w:trPr>
        <w:tc>
          <w:tcPr>
            <w:tcW w:w="305" w:type="pct"/>
            <w:tcBorders>
              <w:tl2br w:val="nil"/>
              <w:tr2bl w:val="nil"/>
            </w:tcBorders>
            <w:vAlign w:val="center"/>
          </w:tcPr>
          <w:p w14:paraId="38FD3B41">
            <w:pPr>
              <w:pStyle w:val="25"/>
              <w:rPr>
                <w:rFonts w:ascii="Times New Roman" w:hAnsi="Times New Roman"/>
                <w:sz w:val="21"/>
                <w:szCs w:val="21"/>
              </w:rPr>
            </w:pPr>
            <w:r>
              <w:rPr>
                <w:rFonts w:ascii="Times New Roman" w:hAnsi="Times New Roman"/>
              </w:rPr>
              <w:t>建设内容</w:t>
            </w:r>
          </w:p>
        </w:tc>
        <w:tc>
          <w:tcPr>
            <w:tcW w:w="4695" w:type="pct"/>
            <w:tcBorders>
              <w:tl2br w:val="nil"/>
              <w:tr2bl w:val="nil"/>
            </w:tcBorders>
          </w:tcPr>
          <w:p w14:paraId="672B762E">
            <w:pPr>
              <w:pStyle w:val="5"/>
              <w:ind w:firstLine="482"/>
              <w:rPr>
                <w:rFonts w:hint="eastAsia"/>
                <w:lang w:val="en-US" w:eastAsia="zh-CN"/>
              </w:rPr>
            </w:pPr>
            <w:r>
              <w:rPr>
                <w:rFonts w:hint="eastAsia"/>
                <w:lang w:val="en-US" w:eastAsia="zh-CN"/>
              </w:rPr>
              <w:t>1、项目背景</w:t>
            </w:r>
          </w:p>
          <w:p w14:paraId="3D39F1A8">
            <w:pPr>
              <w:pStyle w:val="8"/>
              <w:bidi w:val="0"/>
              <w:rPr>
                <w:rFonts w:hint="default"/>
                <w:color w:val="auto"/>
                <w:lang w:val="en-US" w:eastAsia="zh-CN"/>
              </w:rPr>
            </w:pPr>
            <w:r>
              <w:rPr>
                <w:rFonts w:hint="eastAsia"/>
                <w:color w:val="auto"/>
                <w:sz w:val="24"/>
                <w:lang w:val="en-US" w:eastAsia="zh-CN"/>
              </w:rPr>
              <w:t>库尔勒市食品加工产业小镇总体定位为库尔勒市重要的农副产品加工基地，</w:t>
            </w:r>
            <w:r>
              <w:rPr>
                <w:rFonts w:hint="default"/>
                <w:color w:val="auto"/>
                <w:lang w:val="en-US" w:eastAsia="zh-CN"/>
              </w:rPr>
              <w:t>为加速园区农副产品加工产业发展，库尔勒市兰干乡兰干村村民委员会拟引进</w:t>
            </w:r>
            <w:r>
              <w:rPr>
                <w:rFonts w:hint="eastAsia"/>
                <w:color w:val="auto"/>
                <w:lang w:val="en-US" w:eastAsia="zh-CN"/>
              </w:rPr>
              <w:t>凉皮、牛筋面、豆制品、卤制品、牛杂和羊杂、酸奶和乳制品等农副食品加工</w:t>
            </w:r>
            <w:r>
              <w:rPr>
                <w:rFonts w:hint="default"/>
                <w:color w:val="auto"/>
                <w:lang w:val="en-US" w:eastAsia="zh-CN"/>
              </w:rPr>
              <w:t>入驻</w:t>
            </w:r>
            <w:r>
              <w:rPr>
                <w:rFonts w:hint="eastAsia"/>
                <w:color w:val="auto"/>
                <w:lang w:val="en-US" w:eastAsia="zh-CN"/>
              </w:rPr>
              <w:t>食品加工产业小镇</w:t>
            </w:r>
            <w:r>
              <w:rPr>
                <w:rFonts w:hint="default"/>
                <w:color w:val="auto"/>
                <w:lang w:val="en-US" w:eastAsia="zh-CN"/>
              </w:rPr>
              <w:t>。为加速引进企业，村民委员会提出建设本项目，本</w:t>
            </w:r>
            <w:r>
              <w:rPr>
                <w:rFonts w:hint="eastAsia"/>
                <w:color w:val="auto"/>
                <w:lang w:val="en-US" w:eastAsia="zh-CN"/>
              </w:rPr>
              <w:t>项目配套的</w:t>
            </w:r>
            <w:r>
              <w:rPr>
                <w:rFonts w:hint="default"/>
                <w:color w:val="auto"/>
                <w:lang w:val="en-US" w:eastAsia="zh-CN"/>
              </w:rPr>
              <w:t>污水处理</w:t>
            </w:r>
            <w:r>
              <w:rPr>
                <w:rFonts w:hint="eastAsia"/>
                <w:color w:val="auto"/>
                <w:lang w:val="en-US" w:eastAsia="zh-CN"/>
              </w:rPr>
              <w:t>站收集处理本项目运营期产生的生产废水和食品加工产业小镇内生产废水。</w:t>
            </w:r>
          </w:p>
          <w:p w14:paraId="6DD9C751">
            <w:pPr>
              <w:pStyle w:val="5"/>
              <w:ind w:firstLine="482"/>
              <w:rPr>
                <w:color w:val="auto"/>
              </w:rPr>
            </w:pPr>
            <w:r>
              <w:rPr>
                <w:rFonts w:hint="eastAsia"/>
                <w:color w:val="auto"/>
                <w:lang w:val="en-US" w:eastAsia="zh-CN"/>
              </w:rPr>
              <w:t>2</w:t>
            </w:r>
            <w:r>
              <w:rPr>
                <w:color w:val="auto"/>
              </w:rPr>
              <w:t>、主要建设内容</w:t>
            </w:r>
          </w:p>
          <w:p w14:paraId="0A0BC8A2">
            <w:pPr>
              <w:adjustRightInd w:val="0"/>
              <w:snapToGrid w:val="0"/>
              <w:spacing w:line="360" w:lineRule="auto"/>
              <w:ind w:firstLine="480" w:firstLineChars="200"/>
              <w:rPr>
                <w:color w:val="auto"/>
                <w:sz w:val="24"/>
              </w:rPr>
            </w:pPr>
            <w:r>
              <w:rPr>
                <w:rFonts w:hint="eastAsia"/>
                <w:color w:val="auto"/>
                <w:sz w:val="24"/>
                <w:lang w:eastAsia="zh-CN"/>
              </w:rPr>
              <w:t>库尔勒市兰干乡速冻食品加工项目</w:t>
            </w:r>
            <w:r>
              <w:rPr>
                <w:color w:val="auto"/>
                <w:sz w:val="24"/>
              </w:rPr>
              <w:t>位于新疆巴州</w:t>
            </w:r>
            <w:r>
              <w:rPr>
                <w:rFonts w:hint="eastAsia"/>
                <w:color w:val="auto"/>
                <w:sz w:val="24"/>
                <w:lang w:val="en-US" w:eastAsia="zh-CN"/>
              </w:rPr>
              <w:t>库尔勒市兰干乡兰干村（库尔勒市食品加工产业小镇内）</w:t>
            </w:r>
            <w:r>
              <w:rPr>
                <w:rFonts w:hint="eastAsia"/>
                <w:color w:val="auto"/>
                <w:sz w:val="24"/>
                <w:lang w:eastAsia="zh-CN"/>
              </w:rPr>
              <w:t>，项目中心坐标为东经</w:t>
            </w:r>
            <w:r>
              <w:rPr>
                <w:rFonts w:hint="default" w:ascii="Times New Roman" w:hAnsi="Times New Roman" w:eastAsia="宋体" w:cs="Times New Roman"/>
                <w:color w:val="auto"/>
                <w:sz w:val="24"/>
                <w:lang w:eastAsia="zh-CN"/>
              </w:rPr>
              <w:t>：86°02'52.108"北纬</w:t>
            </w:r>
            <w:r>
              <w:rPr>
                <w:rFonts w:hint="default" w:ascii="Times New Roman" w:hAnsi="Times New Roman" w:eastAsia="宋体" w:cs="Times New Roman"/>
                <w:color w:val="auto"/>
                <w:sz w:val="24"/>
                <w:lang w:val="en-US" w:eastAsia="zh-CN"/>
              </w:rPr>
              <w:t>41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36.894</w:t>
            </w:r>
            <w:r>
              <w:rPr>
                <w:rFonts w:hint="default" w:ascii="Times New Roman" w:hAnsi="Times New Roman" w:eastAsia="宋体" w:cs="Times New Roman"/>
                <w:color w:val="auto"/>
                <w:sz w:val="24"/>
                <w:lang w:eastAsia="zh-CN"/>
              </w:rPr>
              <w:t>″。</w:t>
            </w:r>
            <w:r>
              <w:rPr>
                <w:rFonts w:hint="eastAsia"/>
                <w:color w:val="auto"/>
                <w:sz w:val="24"/>
                <w:lang w:eastAsia="zh-CN"/>
              </w:rPr>
              <w:t>项目区东侧</w:t>
            </w:r>
            <w:r>
              <w:rPr>
                <w:rFonts w:hint="eastAsia"/>
                <w:color w:val="auto"/>
                <w:sz w:val="24"/>
                <w:lang w:val="en-US" w:eastAsia="zh-CN"/>
              </w:rPr>
              <w:t>为香梨园</w:t>
            </w:r>
            <w:r>
              <w:rPr>
                <w:rFonts w:hint="eastAsia"/>
                <w:color w:val="auto"/>
                <w:sz w:val="24"/>
                <w:lang w:eastAsia="zh-CN"/>
              </w:rPr>
              <w:t>、南侧</w:t>
            </w:r>
            <w:r>
              <w:rPr>
                <w:rFonts w:hint="eastAsia"/>
                <w:color w:val="auto"/>
                <w:sz w:val="24"/>
                <w:lang w:val="en-US" w:eastAsia="zh-CN"/>
              </w:rPr>
              <w:t>为香梨园</w:t>
            </w:r>
            <w:r>
              <w:rPr>
                <w:rFonts w:hint="eastAsia"/>
                <w:color w:val="auto"/>
                <w:sz w:val="24"/>
                <w:lang w:eastAsia="zh-CN"/>
              </w:rPr>
              <w:t>、西侧</w:t>
            </w:r>
            <w:r>
              <w:rPr>
                <w:rFonts w:hint="eastAsia"/>
                <w:color w:val="auto"/>
                <w:sz w:val="24"/>
                <w:lang w:val="en-US" w:eastAsia="zh-CN"/>
              </w:rPr>
              <w:t>闲置板房</w:t>
            </w:r>
            <w:r>
              <w:rPr>
                <w:rFonts w:hint="eastAsia"/>
                <w:color w:val="auto"/>
                <w:sz w:val="24"/>
                <w:lang w:eastAsia="zh-CN"/>
              </w:rPr>
              <w:t>，北侧</w:t>
            </w:r>
            <w:r>
              <w:rPr>
                <w:rFonts w:hint="eastAsia"/>
                <w:color w:val="auto"/>
                <w:sz w:val="24"/>
                <w:lang w:val="en-US" w:eastAsia="zh-CN"/>
              </w:rPr>
              <w:t>为库尔勒市兰干乡精酿啤酒厂</w:t>
            </w:r>
            <w:r>
              <w:rPr>
                <w:rFonts w:hint="eastAsia"/>
                <w:color w:val="auto"/>
                <w:sz w:val="24"/>
                <w:lang w:eastAsia="zh-CN"/>
              </w:rPr>
              <w:t>。项目总投资</w:t>
            </w:r>
            <w:r>
              <w:rPr>
                <w:rFonts w:hint="eastAsia"/>
                <w:color w:val="auto"/>
                <w:sz w:val="24"/>
                <w:lang w:val="en-US" w:eastAsia="zh-CN"/>
              </w:rPr>
              <w:t>850</w:t>
            </w:r>
            <w:r>
              <w:rPr>
                <w:rFonts w:hint="eastAsia"/>
                <w:color w:val="auto"/>
                <w:sz w:val="24"/>
                <w:lang w:eastAsia="zh-CN"/>
              </w:rPr>
              <w:t>万元，建设性质为新建。项目地理位置详见附图1，周边</w:t>
            </w:r>
            <w:r>
              <w:rPr>
                <w:rFonts w:hint="eastAsia"/>
                <w:color w:val="auto"/>
                <w:sz w:val="24"/>
                <w:lang w:val="en-US" w:eastAsia="zh-CN"/>
              </w:rPr>
              <w:t>位置</w:t>
            </w:r>
            <w:r>
              <w:rPr>
                <w:rFonts w:hint="eastAsia"/>
                <w:color w:val="auto"/>
                <w:sz w:val="24"/>
                <w:lang w:eastAsia="zh-CN"/>
              </w:rPr>
              <w:t>关系详见附图2。</w:t>
            </w:r>
          </w:p>
          <w:p w14:paraId="5724C901">
            <w:pPr>
              <w:adjustRightInd w:val="0"/>
              <w:snapToGrid w:val="0"/>
              <w:spacing w:line="360" w:lineRule="auto"/>
              <w:ind w:firstLine="480" w:firstLineChars="200"/>
              <w:rPr>
                <w:rFonts w:hint="eastAsia"/>
                <w:color w:val="auto"/>
                <w:sz w:val="24"/>
                <w:lang w:val="en-US" w:eastAsia="zh-CN"/>
              </w:rPr>
            </w:pPr>
            <w:r>
              <w:rPr>
                <w:color w:val="auto"/>
                <w:sz w:val="24"/>
              </w:rPr>
              <w:t>本项目总占地面积</w:t>
            </w:r>
            <w:r>
              <w:rPr>
                <w:rFonts w:hint="eastAsia"/>
                <w:color w:val="auto"/>
                <w:sz w:val="24"/>
                <w:lang w:val="en-US" w:eastAsia="zh-CN"/>
              </w:rPr>
              <w:t>2479.20</w:t>
            </w:r>
            <w:r>
              <w:rPr>
                <w:color w:val="auto"/>
                <w:sz w:val="24"/>
              </w:rPr>
              <w:t>m</w:t>
            </w:r>
            <w:r>
              <w:rPr>
                <w:color w:val="auto"/>
                <w:sz w:val="24"/>
                <w:vertAlign w:val="superscript"/>
              </w:rPr>
              <w:t>2</w:t>
            </w:r>
            <w:r>
              <w:rPr>
                <w:color w:val="auto"/>
                <w:sz w:val="24"/>
              </w:rPr>
              <w:t>，总建筑面积</w:t>
            </w:r>
            <w:r>
              <w:rPr>
                <w:rFonts w:hint="eastAsia"/>
                <w:color w:val="auto"/>
                <w:sz w:val="24"/>
                <w:lang w:val="en-US" w:eastAsia="zh-CN"/>
              </w:rPr>
              <w:t>2540.69</w:t>
            </w:r>
            <w:r>
              <w:rPr>
                <w:color w:val="auto"/>
                <w:sz w:val="24"/>
              </w:rPr>
              <w:t>m</w:t>
            </w:r>
            <w:r>
              <w:rPr>
                <w:color w:val="auto"/>
                <w:sz w:val="24"/>
                <w:vertAlign w:val="superscript"/>
              </w:rPr>
              <w:t>2</w:t>
            </w:r>
            <w:r>
              <w:rPr>
                <w:color w:val="auto"/>
                <w:sz w:val="24"/>
              </w:rPr>
              <w:t>。主要建设内容包括</w:t>
            </w:r>
            <w:r>
              <w:rPr>
                <w:rFonts w:hint="eastAsia"/>
                <w:color w:val="auto"/>
                <w:sz w:val="24"/>
                <w:lang w:val="en-US" w:eastAsia="zh-CN"/>
              </w:rPr>
              <w:t>建设1栋生产车间1148.73m</w:t>
            </w:r>
            <w:r>
              <w:rPr>
                <w:rFonts w:hint="eastAsia"/>
                <w:color w:val="auto"/>
                <w:sz w:val="24"/>
                <w:vertAlign w:val="superscript"/>
                <w:lang w:val="en-US" w:eastAsia="zh-CN"/>
              </w:rPr>
              <w:t>2</w:t>
            </w:r>
            <w:r>
              <w:rPr>
                <w:rFonts w:hint="eastAsia"/>
                <w:color w:val="auto"/>
                <w:sz w:val="24"/>
                <w:lang w:val="en-US" w:eastAsia="zh-CN"/>
              </w:rPr>
              <w:t>，1栋办公室90.00m</w:t>
            </w:r>
            <w:r>
              <w:rPr>
                <w:rFonts w:hint="eastAsia"/>
                <w:color w:val="auto"/>
                <w:sz w:val="24"/>
                <w:vertAlign w:val="superscript"/>
                <w:lang w:val="en-US" w:eastAsia="zh-CN"/>
              </w:rPr>
              <w:t>2</w:t>
            </w:r>
            <w:r>
              <w:rPr>
                <w:rFonts w:hint="eastAsia"/>
                <w:color w:val="auto"/>
                <w:sz w:val="24"/>
                <w:lang w:val="en-US" w:eastAsia="zh-CN"/>
              </w:rPr>
              <w:t>，配套污水处理站房50m</w:t>
            </w:r>
            <w:r>
              <w:rPr>
                <w:rFonts w:hint="eastAsia"/>
                <w:color w:val="auto"/>
                <w:sz w:val="24"/>
                <w:vertAlign w:val="superscript"/>
                <w:lang w:val="en-US" w:eastAsia="zh-CN"/>
              </w:rPr>
              <w:t>2</w:t>
            </w:r>
            <w:r>
              <w:rPr>
                <w:rFonts w:hint="eastAsia"/>
                <w:color w:val="auto"/>
                <w:sz w:val="24"/>
                <w:lang w:val="en-US" w:eastAsia="zh-CN"/>
              </w:rPr>
              <w:t>，危废暂存间6m</w:t>
            </w:r>
            <w:r>
              <w:rPr>
                <w:rFonts w:hint="eastAsia"/>
                <w:color w:val="auto"/>
                <w:sz w:val="24"/>
                <w:vertAlign w:val="superscript"/>
                <w:lang w:val="en-US" w:eastAsia="zh-CN"/>
              </w:rPr>
              <w:t>2</w:t>
            </w:r>
            <w:r>
              <w:rPr>
                <w:rFonts w:hint="eastAsia"/>
                <w:color w:val="auto"/>
                <w:sz w:val="24"/>
                <w:lang w:val="en-US" w:eastAsia="zh-CN"/>
              </w:rPr>
              <w:t>，并对项目区域内给排水管网进行改造。根据建筑面积判断为小型工程。</w:t>
            </w:r>
          </w:p>
          <w:p w14:paraId="28C8258C">
            <w:pPr>
              <w:pStyle w:val="114"/>
              <w:spacing w:before="37" w:line="352" w:lineRule="auto"/>
              <w:ind w:left="119" w:right="40" w:firstLine="480"/>
              <w:jc w:val="both"/>
              <w:rPr>
                <w:rFonts w:hint="default"/>
                <w:color w:val="auto"/>
                <w:lang w:val="en-US"/>
              </w:rPr>
            </w:pPr>
            <w:r>
              <w:rPr>
                <w:rFonts w:hint="eastAsia"/>
                <w:color w:val="auto"/>
                <w:sz w:val="24"/>
                <w:lang w:val="en-US" w:eastAsia="zh-CN"/>
              </w:rPr>
              <w:t>建设内容及规模：</w:t>
            </w:r>
            <w:r>
              <w:rPr>
                <w:color w:val="auto"/>
                <w:spacing w:val="-3"/>
              </w:rPr>
              <w:t>购置凉皮一体化生产设</w:t>
            </w:r>
            <w:r>
              <w:rPr>
                <w:color w:val="auto"/>
                <w:spacing w:val="-4"/>
              </w:rPr>
              <w:t>备</w:t>
            </w:r>
            <w:r>
              <w:rPr>
                <w:rFonts w:hint="eastAsia"/>
                <w:color w:val="auto"/>
                <w:spacing w:val="-4"/>
                <w:lang w:val="en-US" w:eastAsia="zh-CN"/>
              </w:rPr>
              <w:t>和牛筋面生产设备各3套，年产凉皮240t，牛筋面180t</w:t>
            </w:r>
            <w:r>
              <w:rPr>
                <w:rFonts w:hint="eastAsia"/>
                <w:color w:val="auto"/>
                <w:spacing w:val="-3"/>
                <w:lang w:eastAsia="zh-CN"/>
              </w:rPr>
              <w:t>；</w:t>
            </w:r>
            <w:r>
              <w:rPr>
                <w:rFonts w:hint="eastAsia"/>
                <w:color w:val="auto"/>
                <w:spacing w:val="-3"/>
                <w:lang w:val="en-US" w:eastAsia="zh-CN"/>
              </w:rPr>
              <w:t>购置卤制品</w:t>
            </w:r>
            <w:r>
              <w:rPr>
                <w:color w:val="auto"/>
                <w:spacing w:val="-3"/>
              </w:rPr>
              <w:t>一体化生产设</w:t>
            </w:r>
            <w:r>
              <w:rPr>
                <w:color w:val="auto"/>
                <w:spacing w:val="-4"/>
              </w:rPr>
              <w:t>备</w:t>
            </w:r>
            <w:r>
              <w:rPr>
                <w:rFonts w:hint="eastAsia"/>
                <w:color w:val="auto"/>
                <w:spacing w:val="-4"/>
                <w:lang w:val="en-US" w:eastAsia="zh-CN"/>
              </w:rPr>
              <w:t>3套，年产卤制品450t</w:t>
            </w:r>
            <w:r>
              <w:rPr>
                <w:rFonts w:hint="eastAsia"/>
                <w:color w:val="auto"/>
                <w:spacing w:val="-3"/>
                <w:lang w:eastAsia="zh-CN"/>
              </w:rPr>
              <w:t>；</w:t>
            </w:r>
            <w:r>
              <w:rPr>
                <w:rFonts w:hint="eastAsia"/>
                <w:color w:val="auto"/>
                <w:spacing w:val="-3"/>
                <w:lang w:val="en-US" w:eastAsia="zh-CN"/>
              </w:rPr>
              <w:t>购置豆制品</w:t>
            </w:r>
            <w:r>
              <w:rPr>
                <w:color w:val="auto"/>
                <w:spacing w:val="-3"/>
              </w:rPr>
              <w:t>一体化生产设</w:t>
            </w:r>
            <w:r>
              <w:rPr>
                <w:color w:val="auto"/>
                <w:spacing w:val="-4"/>
              </w:rPr>
              <w:t>备</w:t>
            </w:r>
            <w:r>
              <w:rPr>
                <w:rFonts w:hint="eastAsia"/>
                <w:color w:val="auto"/>
                <w:spacing w:val="-4"/>
                <w:lang w:val="en-US" w:eastAsia="zh-CN"/>
              </w:rPr>
              <w:t>3套，年产豆制品300t</w:t>
            </w:r>
            <w:r>
              <w:rPr>
                <w:rFonts w:hint="eastAsia"/>
                <w:color w:val="auto"/>
                <w:spacing w:val="-3"/>
                <w:lang w:val="en-US" w:eastAsia="zh-CN"/>
              </w:rPr>
              <w:t>；酸奶、乳制品</w:t>
            </w:r>
            <w:r>
              <w:rPr>
                <w:color w:val="auto"/>
                <w:spacing w:val="-3"/>
              </w:rPr>
              <w:t>一体化生产设</w:t>
            </w:r>
            <w:r>
              <w:rPr>
                <w:color w:val="auto"/>
                <w:spacing w:val="-4"/>
              </w:rPr>
              <w:t>备</w:t>
            </w:r>
            <w:r>
              <w:rPr>
                <w:rFonts w:hint="eastAsia"/>
                <w:color w:val="auto"/>
                <w:spacing w:val="-4"/>
                <w:lang w:val="en-US" w:eastAsia="zh-CN"/>
              </w:rPr>
              <w:t>3套，年产600t</w:t>
            </w:r>
            <w:r>
              <w:rPr>
                <w:rFonts w:hint="eastAsia"/>
                <w:color w:val="auto"/>
                <w:spacing w:val="-3"/>
                <w:lang w:val="en-US" w:eastAsia="zh-CN"/>
              </w:rPr>
              <w:t>；配套安装一套污水处理设施及管网，用于本项目及本食品加工园内生产废水的处理。</w:t>
            </w:r>
          </w:p>
          <w:p w14:paraId="3186757C">
            <w:pPr>
              <w:adjustRightInd w:val="0"/>
              <w:snapToGrid w:val="0"/>
              <w:spacing w:line="360" w:lineRule="auto"/>
              <w:ind w:firstLine="480" w:firstLineChars="200"/>
              <w:rPr>
                <w:color w:val="auto"/>
                <w:sz w:val="24"/>
              </w:rPr>
            </w:pPr>
            <w:r>
              <w:rPr>
                <w:color w:val="auto"/>
                <w:sz w:val="24"/>
              </w:rPr>
              <w:t>项目主要建设内容详见表</w:t>
            </w:r>
            <w:r>
              <w:rPr>
                <w:rFonts w:hint="eastAsia"/>
                <w:color w:val="auto"/>
                <w:sz w:val="24"/>
              </w:rPr>
              <w:t>2-1</w:t>
            </w:r>
            <w:r>
              <w:rPr>
                <w:color w:val="auto"/>
                <w:sz w:val="24"/>
              </w:rPr>
              <w:t>，主要生产设备见表</w:t>
            </w:r>
            <w:r>
              <w:rPr>
                <w:rFonts w:hint="eastAsia"/>
                <w:color w:val="auto"/>
                <w:sz w:val="24"/>
              </w:rPr>
              <w:t>2-2</w:t>
            </w:r>
            <w:r>
              <w:rPr>
                <w:color w:val="auto"/>
                <w:sz w:val="24"/>
              </w:rPr>
              <w:t>。</w:t>
            </w:r>
          </w:p>
          <w:p w14:paraId="63003817">
            <w:pPr>
              <w:pStyle w:val="91"/>
              <w:rPr>
                <w:color w:val="auto"/>
              </w:rPr>
            </w:pPr>
            <w:r>
              <w:rPr>
                <w:color w:val="auto"/>
              </w:rPr>
              <w:t>表2-1主要工程建设内容</w:t>
            </w:r>
          </w:p>
          <w:tbl>
            <w:tblPr>
              <w:tblStyle w:val="29"/>
              <w:tblW w:w="7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
              <w:gridCol w:w="633"/>
              <w:gridCol w:w="811"/>
              <w:gridCol w:w="1"/>
              <w:gridCol w:w="5360"/>
            </w:tblGrid>
            <w:tr w14:paraId="7C649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23" w:type="pct"/>
                  <w:tcBorders>
                    <w:tl2br w:val="nil"/>
                    <w:tr2bl w:val="nil"/>
                  </w:tcBorders>
                  <w:vAlign w:val="center"/>
                </w:tcPr>
                <w:p w14:paraId="580DEA7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类别</w:t>
                  </w:r>
                </w:p>
              </w:tc>
              <w:tc>
                <w:tcPr>
                  <w:tcW w:w="907" w:type="pct"/>
                  <w:gridSpan w:val="3"/>
                  <w:tcBorders>
                    <w:tl2br w:val="nil"/>
                    <w:tr2bl w:val="nil"/>
                  </w:tcBorders>
                  <w:vAlign w:val="center"/>
                </w:tcPr>
                <w:p w14:paraId="640CF7B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项目名称</w:t>
                  </w:r>
                </w:p>
              </w:tc>
              <w:tc>
                <w:tcPr>
                  <w:tcW w:w="3368" w:type="pct"/>
                  <w:gridSpan w:val="2"/>
                  <w:tcBorders>
                    <w:tl2br w:val="nil"/>
                    <w:tr2bl w:val="nil"/>
                  </w:tcBorders>
                  <w:vAlign w:val="center"/>
                </w:tcPr>
                <w:p w14:paraId="10853EB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szCs w:val="21"/>
                    </w:rPr>
                  </w:pPr>
                  <w:r>
                    <w:rPr>
                      <w:szCs w:val="21"/>
                    </w:rPr>
                    <w:t>工程内容</w:t>
                  </w:r>
                </w:p>
              </w:tc>
            </w:tr>
            <w:tr w14:paraId="4AE5F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23" w:type="pct"/>
                  <w:tcBorders>
                    <w:tl2br w:val="nil"/>
                    <w:tr2bl w:val="nil"/>
                  </w:tcBorders>
                  <w:vAlign w:val="center"/>
                </w:tcPr>
                <w:p w14:paraId="0B9AB83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主体工程</w:t>
                  </w:r>
                </w:p>
              </w:tc>
              <w:tc>
                <w:tcPr>
                  <w:tcW w:w="907" w:type="pct"/>
                  <w:gridSpan w:val="3"/>
                  <w:tcBorders>
                    <w:tl2br w:val="nil"/>
                    <w:tr2bl w:val="nil"/>
                  </w:tcBorders>
                  <w:vAlign w:val="center"/>
                </w:tcPr>
                <w:p w14:paraId="0FAABB9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rFonts w:hint="eastAsia"/>
                      <w:szCs w:val="21"/>
                      <w:lang w:val="en-US" w:eastAsia="zh-CN"/>
                    </w:rPr>
                    <w:t>速冻食品加工</w:t>
                  </w:r>
                  <w:r>
                    <w:rPr>
                      <w:szCs w:val="21"/>
                    </w:rPr>
                    <w:t>车间</w:t>
                  </w:r>
                </w:p>
              </w:tc>
              <w:tc>
                <w:tcPr>
                  <w:tcW w:w="3368" w:type="pct"/>
                  <w:gridSpan w:val="2"/>
                  <w:tcBorders>
                    <w:tl2br w:val="nil"/>
                    <w:tr2bl w:val="nil"/>
                  </w:tcBorders>
                  <w:vAlign w:val="center"/>
                </w:tcPr>
                <w:p w14:paraId="620F1D7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szCs w:val="21"/>
                      <w:lang w:val="en-US" w:eastAsia="zh-CN"/>
                    </w:rPr>
                  </w:pPr>
                  <w:r>
                    <w:rPr>
                      <w:rFonts w:hint="eastAsia"/>
                      <w:szCs w:val="21"/>
                      <w:lang w:val="en-US" w:eastAsia="zh-CN"/>
                    </w:rPr>
                    <w:t>框</w:t>
                  </w:r>
                  <w:r>
                    <w:rPr>
                      <w:rFonts w:hint="default" w:ascii="Times New Roman" w:hAnsi="Times New Roman" w:cs="Times New Roman"/>
                      <w:szCs w:val="21"/>
                      <w:lang w:val="en-US" w:eastAsia="zh-CN"/>
                    </w:rPr>
                    <w:t>架</w:t>
                  </w:r>
                  <w:r>
                    <w:rPr>
                      <w:rFonts w:hint="default" w:ascii="Times New Roman" w:hAnsi="Times New Roman" w:cs="Times New Roman"/>
                      <w:szCs w:val="21"/>
                    </w:rPr>
                    <w:t>结构</w:t>
                  </w:r>
                  <w:r>
                    <w:rPr>
                      <w:rFonts w:hint="default" w:ascii="Times New Roman" w:hAnsi="Times New Roman" w:cs="Times New Roman"/>
                      <w:szCs w:val="21"/>
                      <w:lang w:val="en-US" w:eastAsia="zh-CN"/>
                    </w:rPr>
                    <w:t>2</w:t>
                  </w:r>
                  <w:r>
                    <w:rPr>
                      <w:rFonts w:hint="default" w:ascii="Times New Roman" w:hAnsi="Times New Roman" w:cs="Times New Roman"/>
                      <w:szCs w:val="21"/>
                    </w:rPr>
                    <w:t>层建筑，建筑面积为</w:t>
                  </w:r>
                  <w:r>
                    <w:rPr>
                      <w:rFonts w:hint="default" w:ascii="Times New Roman" w:hAnsi="Times New Roman" w:cs="Times New Roman"/>
                      <w:szCs w:val="21"/>
                      <w:lang w:val="en-US" w:eastAsia="zh-CN"/>
                    </w:rPr>
                    <w:t>2479.2</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vertAlign w:val="baseline"/>
                      <w:lang w:eastAsia="zh-CN"/>
                    </w:rPr>
                    <w:t>；</w:t>
                  </w:r>
                  <w:r>
                    <w:rPr>
                      <w:rFonts w:hint="default" w:ascii="Times New Roman" w:hAnsi="Times New Roman" w:cs="Times New Roman"/>
                      <w:color w:val="auto"/>
                      <w:spacing w:val="-3"/>
                    </w:rPr>
                    <w:t>购置</w:t>
                  </w:r>
                  <w:r>
                    <w:rPr>
                      <w:rFonts w:hint="default" w:ascii="Times New Roman" w:hAnsi="Times New Roman" w:cs="Times New Roman"/>
                      <w:color w:val="auto"/>
                      <w:spacing w:val="-3"/>
                      <w:lang w:val="en-US" w:eastAsia="zh-CN"/>
                    </w:rPr>
                    <w:t>安装</w:t>
                  </w:r>
                  <w:r>
                    <w:rPr>
                      <w:rFonts w:hint="default" w:ascii="Times New Roman" w:hAnsi="Times New Roman" w:cs="Times New Roman"/>
                      <w:color w:val="auto"/>
                      <w:spacing w:val="-3"/>
                    </w:rPr>
                    <w:t>凉皮一体化生产设</w:t>
                  </w:r>
                  <w:r>
                    <w:rPr>
                      <w:rFonts w:hint="default" w:ascii="Times New Roman" w:hAnsi="Times New Roman" w:cs="Times New Roman"/>
                      <w:color w:val="auto"/>
                      <w:spacing w:val="-4"/>
                    </w:rPr>
                    <w:t>备</w:t>
                  </w:r>
                  <w:r>
                    <w:rPr>
                      <w:rFonts w:hint="default" w:ascii="Times New Roman" w:hAnsi="Times New Roman" w:cs="Times New Roman"/>
                      <w:color w:val="auto"/>
                      <w:sz w:val="24"/>
                      <w:lang w:val="en-US" w:eastAsia="zh-CN"/>
                    </w:rPr>
                    <w:t>、</w:t>
                  </w:r>
                  <w:r>
                    <w:rPr>
                      <w:rFonts w:hint="default" w:ascii="Times New Roman" w:hAnsi="Times New Roman" w:cs="Times New Roman"/>
                      <w:color w:val="auto"/>
                      <w:spacing w:val="-3"/>
                      <w:lang w:val="en-US" w:eastAsia="zh-CN"/>
                    </w:rPr>
                    <w:t>卤制品</w:t>
                  </w:r>
                  <w:r>
                    <w:rPr>
                      <w:rFonts w:hint="default" w:ascii="Times New Roman" w:hAnsi="Times New Roman" w:cs="Times New Roman"/>
                      <w:color w:val="auto"/>
                      <w:spacing w:val="-3"/>
                    </w:rPr>
                    <w:t>一体化生产设</w:t>
                  </w:r>
                  <w:r>
                    <w:rPr>
                      <w:rFonts w:hint="default" w:ascii="Times New Roman" w:hAnsi="Times New Roman" w:cs="Times New Roman"/>
                      <w:color w:val="auto"/>
                      <w:spacing w:val="-4"/>
                    </w:rPr>
                    <w:t>备</w:t>
                  </w:r>
                  <w:r>
                    <w:rPr>
                      <w:rFonts w:hint="default" w:ascii="Times New Roman" w:hAnsi="Times New Roman" w:cs="Times New Roman"/>
                      <w:color w:val="auto"/>
                      <w:spacing w:val="-4"/>
                      <w:lang w:eastAsia="zh-CN"/>
                    </w:rPr>
                    <w:t>、</w:t>
                  </w:r>
                  <w:r>
                    <w:rPr>
                      <w:rFonts w:hint="default" w:ascii="Times New Roman" w:hAnsi="Times New Roman" w:cs="Times New Roman"/>
                      <w:color w:val="auto"/>
                      <w:spacing w:val="-3"/>
                      <w:lang w:val="en-US" w:eastAsia="zh-CN"/>
                    </w:rPr>
                    <w:t>豆制品</w:t>
                  </w:r>
                  <w:r>
                    <w:rPr>
                      <w:rFonts w:hint="default" w:ascii="Times New Roman" w:hAnsi="Times New Roman" w:cs="Times New Roman"/>
                      <w:color w:val="auto"/>
                      <w:spacing w:val="-3"/>
                    </w:rPr>
                    <w:t>一体化生产设</w:t>
                  </w:r>
                  <w:r>
                    <w:rPr>
                      <w:rFonts w:hint="default" w:ascii="Times New Roman" w:hAnsi="Times New Roman" w:cs="Times New Roman"/>
                      <w:color w:val="auto"/>
                      <w:spacing w:val="-4"/>
                    </w:rPr>
                    <w:t>备</w:t>
                  </w:r>
                  <w:r>
                    <w:rPr>
                      <w:rFonts w:hint="default" w:ascii="Times New Roman" w:hAnsi="Times New Roman" w:cs="Times New Roman"/>
                      <w:color w:val="auto"/>
                      <w:spacing w:val="-3"/>
                      <w:lang w:val="en-US" w:eastAsia="zh-CN"/>
                    </w:rPr>
                    <w:t>、酸奶、乳制品</w:t>
                  </w:r>
                  <w:r>
                    <w:rPr>
                      <w:rFonts w:hint="default" w:ascii="Times New Roman" w:hAnsi="Times New Roman" w:cs="Times New Roman"/>
                      <w:color w:val="auto"/>
                      <w:spacing w:val="-3"/>
                    </w:rPr>
                    <w:t>一体化生产设</w:t>
                  </w:r>
                  <w:r>
                    <w:rPr>
                      <w:rFonts w:hint="default" w:ascii="Times New Roman" w:hAnsi="Times New Roman" w:cs="Times New Roman"/>
                      <w:color w:val="auto"/>
                      <w:spacing w:val="-4"/>
                    </w:rPr>
                    <w:t>备</w:t>
                  </w:r>
                  <w:r>
                    <w:rPr>
                      <w:rFonts w:hint="default" w:ascii="Times New Roman" w:hAnsi="Times New Roman" w:cs="Times New Roman"/>
                      <w:color w:val="auto"/>
                      <w:spacing w:val="-3"/>
                      <w:lang w:val="en-US" w:eastAsia="zh-CN"/>
                    </w:rPr>
                    <w:t>；仓库区、成品库区；具体分区待商户入驻时分区划定</w:t>
                  </w:r>
                </w:p>
              </w:tc>
            </w:tr>
            <w:tr w14:paraId="534D0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23" w:type="pct"/>
                  <w:vMerge w:val="restart"/>
                  <w:tcBorders>
                    <w:tl2br w:val="nil"/>
                    <w:tr2bl w:val="nil"/>
                  </w:tcBorders>
                  <w:vAlign w:val="center"/>
                </w:tcPr>
                <w:p w14:paraId="0C6CF8B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辅助工程</w:t>
                  </w:r>
                </w:p>
              </w:tc>
              <w:tc>
                <w:tcPr>
                  <w:tcW w:w="907" w:type="pct"/>
                  <w:gridSpan w:val="3"/>
                  <w:tcBorders>
                    <w:tl2br w:val="nil"/>
                    <w:tr2bl w:val="nil"/>
                  </w:tcBorders>
                  <w:shd w:val="clear" w:color="auto" w:fill="auto"/>
                  <w:vAlign w:val="center"/>
                </w:tcPr>
                <w:p w14:paraId="595597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kern w:val="2"/>
                      <w:sz w:val="21"/>
                      <w:szCs w:val="21"/>
                      <w:lang w:val="en-US" w:eastAsia="zh-CN" w:bidi="ar-SA"/>
                    </w:rPr>
                  </w:pPr>
                  <w:r>
                    <w:rPr>
                      <w:rFonts w:hint="eastAsia"/>
                      <w:szCs w:val="21"/>
                      <w:lang w:val="en-US" w:eastAsia="zh-CN"/>
                    </w:rPr>
                    <w:t>办公室</w:t>
                  </w:r>
                </w:p>
              </w:tc>
              <w:tc>
                <w:tcPr>
                  <w:tcW w:w="3368" w:type="pct"/>
                  <w:gridSpan w:val="2"/>
                  <w:tcBorders>
                    <w:tl2br w:val="nil"/>
                    <w:tr2bl w:val="nil"/>
                  </w:tcBorders>
                  <w:shd w:val="clear" w:color="auto" w:fill="auto"/>
                  <w:vAlign w:val="center"/>
                </w:tcPr>
                <w:p w14:paraId="75A5344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hAnsi="Times New Roman" w:eastAsia="宋体" w:cs="Times New Roman"/>
                      <w:kern w:val="2"/>
                      <w:sz w:val="21"/>
                      <w:szCs w:val="21"/>
                      <w:lang w:val="en-US" w:eastAsia="zh-CN" w:bidi="ar-SA"/>
                    </w:rPr>
                  </w:pPr>
                  <w:r>
                    <w:rPr>
                      <w:rFonts w:hint="eastAsia"/>
                      <w:szCs w:val="21"/>
                      <w:lang w:val="en-US" w:eastAsia="zh-CN"/>
                    </w:rPr>
                    <w:t>框架</w:t>
                  </w:r>
                  <w:r>
                    <w:rPr>
                      <w:szCs w:val="21"/>
                    </w:rPr>
                    <w:t>结构</w:t>
                  </w:r>
                  <w:r>
                    <w:rPr>
                      <w:rFonts w:hint="eastAsia"/>
                      <w:szCs w:val="21"/>
                      <w:lang w:eastAsia="zh-CN"/>
                    </w:rPr>
                    <w:t>，</w:t>
                  </w:r>
                  <w:r>
                    <w:rPr>
                      <w:rFonts w:hint="eastAsia"/>
                      <w:szCs w:val="21"/>
                      <w:lang w:val="en-US" w:eastAsia="zh-CN"/>
                    </w:rPr>
                    <w:t>地上一层</w:t>
                  </w:r>
                  <w:r>
                    <w:rPr>
                      <w:szCs w:val="21"/>
                    </w:rPr>
                    <w:t>建筑，建筑面积</w:t>
                  </w:r>
                  <w:r>
                    <w:rPr>
                      <w:rFonts w:hint="eastAsia"/>
                      <w:szCs w:val="21"/>
                      <w:lang w:val="en-US" w:eastAsia="zh-CN"/>
                    </w:rPr>
                    <w:t>90.00</w:t>
                  </w:r>
                  <w:r>
                    <w:rPr>
                      <w:szCs w:val="21"/>
                    </w:rPr>
                    <w:t>m</w:t>
                  </w:r>
                  <w:r>
                    <w:rPr>
                      <w:szCs w:val="21"/>
                      <w:vertAlign w:val="superscript"/>
                    </w:rPr>
                    <w:t>2</w:t>
                  </w:r>
                </w:p>
              </w:tc>
            </w:tr>
            <w:tr w14:paraId="5377D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23" w:type="pct"/>
                  <w:vMerge w:val="continue"/>
                  <w:tcBorders>
                    <w:tl2br w:val="nil"/>
                    <w:tr2bl w:val="nil"/>
                  </w:tcBorders>
                  <w:vAlign w:val="center"/>
                </w:tcPr>
                <w:p w14:paraId="43D0FE5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shd w:val="clear" w:color="auto" w:fill="auto"/>
                  <w:vAlign w:val="center"/>
                </w:tcPr>
                <w:p w14:paraId="00DE9473">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jc w:val="center"/>
                    <w:textAlignment w:val="auto"/>
                    <w:rPr>
                      <w:rFonts w:ascii="Times New Roman" w:hAnsi="Times New Roman" w:eastAsia="宋体" w:cs="Times New Roman"/>
                      <w:color w:val="auto"/>
                      <w:kern w:val="2"/>
                      <w:sz w:val="21"/>
                      <w:szCs w:val="21"/>
                      <w:lang w:val="en-US" w:eastAsia="zh-CN" w:bidi="ar-SA"/>
                    </w:rPr>
                  </w:pPr>
                  <w:r>
                    <w:rPr>
                      <w:color w:val="auto"/>
                      <w:szCs w:val="21"/>
                    </w:rPr>
                    <w:t>污水处理用房</w:t>
                  </w:r>
                </w:p>
              </w:tc>
              <w:tc>
                <w:tcPr>
                  <w:tcW w:w="3368" w:type="pct"/>
                  <w:gridSpan w:val="2"/>
                  <w:tcBorders>
                    <w:tl2br w:val="nil"/>
                    <w:tr2bl w:val="nil"/>
                  </w:tcBorders>
                  <w:shd w:val="clear" w:color="auto" w:fill="auto"/>
                  <w:vAlign w:val="center"/>
                </w:tcPr>
                <w:p w14:paraId="0713BFD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2"/>
                      <w:sz w:val="21"/>
                      <w:szCs w:val="21"/>
                      <w:lang w:val="en-US" w:eastAsia="zh-CN" w:bidi="ar-SA"/>
                    </w:rPr>
                  </w:pPr>
                  <w:r>
                    <w:rPr>
                      <w:color w:val="auto"/>
                      <w:szCs w:val="21"/>
                    </w:rPr>
                    <w:t>钢架结构1F建筑，建筑面积</w:t>
                  </w:r>
                  <w:r>
                    <w:rPr>
                      <w:rFonts w:hint="eastAsia"/>
                      <w:color w:val="auto"/>
                      <w:szCs w:val="21"/>
                      <w:lang w:val="en-US" w:eastAsia="zh-CN"/>
                    </w:rPr>
                    <w:t>120</w:t>
                  </w:r>
                  <w:r>
                    <w:rPr>
                      <w:color w:val="auto"/>
                      <w:szCs w:val="21"/>
                    </w:rPr>
                    <w:t>m</w:t>
                  </w:r>
                  <w:r>
                    <w:rPr>
                      <w:color w:val="auto"/>
                      <w:szCs w:val="21"/>
                      <w:vertAlign w:val="superscript"/>
                    </w:rPr>
                    <w:t>2</w:t>
                  </w:r>
                </w:p>
              </w:tc>
            </w:tr>
            <w:tr w14:paraId="38C24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pct"/>
                  <w:vMerge w:val="continue"/>
                  <w:tcBorders>
                    <w:tl2br w:val="nil"/>
                    <w:tr2bl w:val="nil"/>
                  </w:tcBorders>
                  <w:vAlign w:val="center"/>
                </w:tcPr>
                <w:p w14:paraId="7FA707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shd w:val="clear" w:color="auto" w:fill="auto"/>
                  <w:vAlign w:val="center"/>
                </w:tcPr>
                <w:p w14:paraId="56CE9B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Cs w:val="21"/>
                      <w:lang w:val="en-US" w:eastAsia="zh-CN"/>
                    </w:rPr>
                  </w:pPr>
                  <w:r>
                    <w:rPr>
                      <w:rFonts w:hint="eastAsia"/>
                      <w:color w:val="auto"/>
                      <w:szCs w:val="21"/>
                      <w:lang w:val="en-US" w:eastAsia="zh-CN"/>
                    </w:rPr>
                    <w:t>危废贮存间</w:t>
                  </w:r>
                </w:p>
              </w:tc>
              <w:tc>
                <w:tcPr>
                  <w:tcW w:w="3368" w:type="pct"/>
                  <w:gridSpan w:val="2"/>
                  <w:tcBorders>
                    <w:tl2br w:val="nil"/>
                    <w:tr2bl w:val="nil"/>
                  </w:tcBorders>
                  <w:shd w:val="clear" w:color="auto" w:fill="auto"/>
                  <w:vAlign w:val="center"/>
                </w:tcPr>
                <w:p w14:paraId="1DB378F4">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color w:val="auto"/>
                      <w:szCs w:val="21"/>
                      <w:lang w:val="en-US" w:eastAsia="zh-CN"/>
                    </w:rPr>
                  </w:pPr>
                  <w:r>
                    <w:rPr>
                      <w:rFonts w:hint="eastAsia"/>
                      <w:color w:val="auto"/>
                      <w:szCs w:val="21"/>
                      <w:lang w:val="en-US" w:eastAsia="zh-CN"/>
                    </w:rPr>
                    <w:t>1间，6m</w:t>
                  </w:r>
                  <w:r>
                    <w:rPr>
                      <w:rFonts w:hint="eastAsia"/>
                      <w:color w:val="auto"/>
                      <w:szCs w:val="21"/>
                      <w:vertAlign w:val="superscript"/>
                      <w:lang w:val="en-US" w:eastAsia="zh-CN"/>
                    </w:rPr>
                    <w:t>2</w:t>
                  </w:r>
                </w:p>
              </w:tc>
            </w:tr>
            <w:tr w14:paraId="69F21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23" w:type="pct"/>
                  <w:tcBorders>
                    <w:tl2br w:val="nil"/>
                    <w:tr2bl w:val="nil"/>
                  </w:tcBorders>
                  <w:vAlign w:val="center"/>
                </w:tcPr>
                <w:p w14:paraId="4F1749F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储运工程</w:t>
                  </w:r>
                </w:p>
              </w:tc>
              <w:tc>
                <w:tcPr>
                  <w:tcW w:w="907" w:type="pct"/>
                  <w:gridSpan w:val="3"/>
                  <w:tcBorders>
                    <w:tl2br w:val="nil"/>
                    <w:tr2bl w:val="nil"/>
                  </w:tcBorders>
                  <w:shd w:val="clear" w:color="auto" w:fill="auto"/>
                  <w:vAlign w:val="center"/>
                </w:tcPr>
                <w:p w14:paraId="1F123B5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冷库</w:t>
                  </w:r>
                </w:p>
              </w:tc>
              <w:tc>
                <w:tcPr>
                  <w:tcW w:w="3368" w:type="pct"/>
                  <w:gridSpan w:val="2"/>
                  <w:tcBorders>
                    <w:tl2br w:val="nil"/>
                    <w:tr2bl w:val="nil"/>
                  </w:tcBorders>
                  <w:shd w:val="clear" w:color="auto" w:fill="auto"/>
                  <w:vAlign w:val="center"/>
                </w:tcPr>
                <w:p w14:paraId="4FFDB32F">
                  <w:pPr>
                    <w:pStyle w:val="114"/>
                    <w:keepNext w:val="0"/>
                    <w:keepLines w:val="0"/>
                    <w:pageBreakBefore w:val="0"/>
                    <w:widowControl w:val="0"/>
                    <w:kinsoku/>
                    <w:wordWrap/>
                    <w:overflowPunct/>
                    <w:topLinePunct w:val="0"/>
                    <w:autoSpaceDE/>
                    <w:autoSpaceDN/>
                    <w:bidi w:val="0"/>
                    <w:spacing w:before="50" w:line="360" w:lineRule="auto"/>
                    <w:ind w:left="139"/>
                    <w:jc w:val="both"/>
                    <w:textAlignment w:val="auto"/>
                    <w:rPr>
                      <w:rFonts w:ascii="宋体" w:hAnsi="宋体" w:eastAsia="宋体" w:cs="宋体"/>
                      <w:color w:val="auto"/>
                      <w:kern w:val="2"/>
                      <w:sz w:val="21"/>
                      <w:szCs w:val="21"/>
                      <w:lang w:val="en-US" w:eastAsia="en-US" w:bidi="ar-SA"/>
                    </w:rPr>
                  </w:pPr>
                  <w:r>
                    <w:rPr>
                      <w:rFonts w:hint="eastAsia"/>
                      <w:color w:val="auto"/>
                      <w:sz w:val="21"/>
                      <w:szCs w:val="21"/>
                      <w:lang w:val="en-US" w:eastAsia="zh-CN"/>
                    </w:rPr>
                    <w:t>用于原料和成品的冷藏和速冻（制冷剂是：</w:t>
                  </w:r>
                  <w:r>
                    <w:rPr>
                      <w:rFonts w:hint="eastAsia"/>
                      <w:color w:val="auto"/>
                      <w:sz w:val="21"/>
                      <w:szCs w:val="21"/>
                      <w:lang w:val="en-US" w:eastAsia="zh-CN"/>
                    </w:rPr>
                    <w:fldChar w:fldCharType="begin"/>
                  </w:r>
                  <w:r>
                    <w:rPr>
                      <w:rFonts w:hint="eastAsia"/>
                      <w:color w:val="auto"/>
                      <w:sz w:val="21"/>
                      <w:szCs w:val="21"/>
                      <w:lang w:val="en-US" w:eastAsia="zh-CN"/>
                    </w:rPr>
                    <w:instrText xml:space="preserve"> HYPERLINK "https://baike.baidu.com/item/%E5%85%B1%E6%B2%B8%E5%89%82/9307840?fromModule=lemma_inlink" \t "https://baike.baidu.com/item/R507/_blank" </w:instrText>
                  </w:r>
                  <w:r>
                    <w:rPr>
                      <w:rFonts w:hint="eastAsia"/>
                      <w:color w:val="auto"/>
                      <w:sz w:val="21"/>
                      <w:szCs w:val="21"/>
                      <w:lang w:val="en-US" w:eastAsia="zh-CN"/>
                    </w:rPr>
                    <w:fldChar w:fldCharType="separate"/>
                  </w:r>
                  <w:r>
                    <w:rPr>
                      <w:rFonts w:hint="default"/>
                      <w:color w:val="auto"/>
                      <w:sz w:val="21"/>
                      <w:szCs w:val="21"/>
                      <w:lang w:val="en-US" w:eastAsia="zh-CN"/>
                    </w:rPr>
                    <w:t>共沸剂</w:t>
                  </w:r>
                  <w:r>
                    <w:rPr>
                      <w:rFonts w:hint="default"/>
                      <w:color w:val="auto"/>
                      <w:sz w:val="21"/>
                      <w:szCs w:val="21"/>
                      <w:lang w:val="en-US" w:eastAsia="zh-CN"/>
                    </w:rPr>
                    <w:fldChar w:fldCharType="end"/>
                  </w:r>
                  <w:r>
                    <w:rPr>
                      <w:rFonts w:hint="default"/>
                      <w:color w:val="auto"/>
                      <w:sz w:val="21"/>
                      <w:szCs w:val="21"/>
                      <w:lang w:val="en-US" w:eastAsia="zh-CN"/>
                    </w:rPr>
                    <w:t>R507</w:t>
                  </w:r>
                  <w:r>
                    <w:rPr>
                      <w:rFonts w:hint="eastAsia"/>
                      <w:color w:val="auto"/>
                      <w:sz w:val="21"/>
                      <w:szCs w:val="21"/>
                      <w:lang w:val="en-US" w:eastAsia="zh-CN"/>
                    </w:rPr>
                    <w:t>），占地面积400m</w:t>
                  </w:r>
                  <w:r>
                    <w:rPr>
                      <w:rFonts w:hint="eastAsia"/>
                      <w:color w:val="auto"/>
                      <w:sz w:val="21"/>
                      <w:szCs w:val="21"/>
                      <w:vertAlign w:val="superscript"/>
                      <w:lang w:val="en-US" w:eastAsia="zh-CN"/>
                    </w:rPr>
                    <w:t>2</w:t>
                  </w:r>
                  <w:r>
                    <w:rPr>
                      <w:rFonts w:hint="eastAsia"/>
                      <w:color w:val="auto"/>
                      <w:sz w:val="21"/>
                      <w:szCs w:val="21"/>
                      <w:lang w:val="en-US" w:eastAsia="zh-CN"/>
                    </w:rPr>
                    <w:t>，位于厂房西侧，库容1800m</w:t>
                  </w:r>
                  <w:r>
                    <w:rPr>
                      <w:rFonts w:hint="eastAsia"/>
                      <w:color w:val="auto"/>
                      <w:sz w:val="21"/>
                      <w:szCs w:val="21"/>
                      <w:vertAlign w:val="superscript"/>
                      <w:lang w:val="en-US" w:eastAsia="zh-CN"/>
                    </w:rPr>
                    <w:t>3</w:t>
                  </w:r>
                  <w:r>
                    <w:rPr>
                      <w:rFonts w:hint="eastAsia"/>
                      <w:color w:val="auto"/>
                      <w:sz w:val="21"/>
                      <w:szCs w:val="21"/>
                      <w:lang w:val="en-US" w:eastAsia="zh-CN"/>
                    </w:rPr>
                    <w:t>，原料和成品的冷藏控制温度为-18℃，速冻温度控制为-35℃。</w:t>
                  </w:r>
                </w:p>
              </w:tc>
            </w:tr>
            <w:tr w14:paraId="77296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3" w:type="pct"/>
                  <w:vMerge w:val="restart"/>
                  <w:tcBorders>
                    <w:tl2br w:val="nil"/>
                    <w:tr2bl w:val="nil"/>
                  </w:tcBorders>
                  <w:vAlign w:val="center"/>
                </w:tcPr>
                <w:p w14:paraId="1B127C9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r>
                    <w:rPr>
                      <w:szCs w:val="21"/>
                    </w:rPr>
                    <w:t>公用工程</w:t>
                  </w:r>
                </w:p>
              </w:tc>
              <w:tc>
                <w:tcPr>
                  <w:tcW w:w="907" w:type="pct"/>
                  <w:gridSpan w:val="3"/>
                  <w:tcBorders>
                    <w:tl2br w:val="nil"/>
                    <w:tr2bl w:val="nil"/>
                  </w:tcBorders>
                  <w:vAlign w:val="center"/>
                </w:tcPr>
                <w:p w14:paraId="53C1427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给水</w:t>
                  </w:r>
                </w:p>
              </w:tc>
              <w:tc>
                <w:tcPr>
                  <w:tcW w:w="3368" w:type="pct"/>
                  <w:gridSpan w:val="2"/>
                  <w:tcBorders>
                    <w:tl2br w:val="nil"/>
                    <w:tr2bl w:val="nil"/>
                  </w:tcBorders>
                  <w:vAlign w:val="center"/>
                </w:tcPr>
                <w:p w14:paraId="0AC1C8A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Cs w:val="21"/>
                    </w:rPr>
                  </w:pPr>
                  <w:r>
                    <w:rPr>
                      <w:rFonts w:hint="eastAsia"/>
                      <w:color w:val="auto"/>
                      <w:szCs w:val="21"/>
                      <w:lang w:val="en-US" w:eastAsia="zh-CN"/>
                    </w:rPr>
                    <w:t>兰干乡</w:t>
                  </w:r>
                  <w:r>
                    <w:rPr>
                      <w:color w:val="auto"/>
                      <w:szCs w:val="21"/>
                    </w:rPr>
                    <w:t>供水管网</w:t>
                  </w:r>
                </w:p>
              </w:tc>
            </w:tr>
            <w:tr w14:paraId="30A3F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3" w:type="pct"/>
                  <w:vMerge w:val="continue"/>
                  <w:tcBorders>
                    <w:tl2br w:val="nil"/>
                    <w:tr2bl w:val="nil"/>
                  </w:tcBorders>
                  <w:vAlign w:val="center"/>
                </w:tcPr>
                <w:p w14:paraId="2E14405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vAlign w:val="center"/>
                </w:tcPr>
                <w:p w14:paraId="173A35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供电</w:t>
                  </w:r>
                </w:p>
              </w:tc>
              <w:tc>
                <w:tcPr>
                  <w:tcW w:w="3368" w:type="pct"/>
                  <w:gridSpan w:val="2"/>
                  <w:tcBorders>
                    <w:tl2br w:val="nil"/>
                    <w:tr2bl w:val="nil"/>
                  </w:tcBorders>
                  <w:vAlign w:val="center"/>
                </w:tcPr>
                <w:p w14:paraId="2BF6982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Cs w:val="21"/>
                    </w:rPr>
                  </w:pPr>
                  <w:r>
                    <w:rPr>
                      <w:color w:val="auto"/>
                    </w:rPr>
                    <w:t>国家电网</w:t>
                  </w:r>
                </w:p>
              </w:tc>
            </w:tr>
            <w:tr w14:paraId="4C156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pct"/>
                  <w:vMerge w:val="continue"/>
                  <w:tcBorders>
                    <w:tl2br w:val="nil"/>
                    <w:tr2bl w:val="nil"/>
                  </w:tcBorders>
                  <w:vAlign w:val="center"/>
                </w:tcPr>
                <w:p w14:paraId="7C7B2E7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vAlign w:val="center"/>
                </w:tcPr>
                <w:p w14:paraId="3FF24BE2">
                  <w:pPr>
                    <w:keepNext w:val="0"/>
                    <w:keepLines w:val="0"/>
                    <w:pageBreakBefore w:val="0"/>
                    <w:widowControl w:val="0"/>
                    <w:tabs>
                      <w:tab w:val="center" w:pos="886"/>
                      <w:tab w:val="right" w:pos="1653"/>
                    </w:tabs>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供热</w:t>
                  </w:r>
                </w:p>
              </w:tc>
              <w:tc>
                <w:tcPr>
                  <w:tcW w:w="3368" w:type="pct"/>
                  <w:gridSpan w:val="2"/>
                  <w:tcBorders>
                    <w:tl2br w:val="nil"/>
                    <w:tr2bl w:val="nil"/>
                  </w:tcBorders>
                  <w:vAlign w:val="center"/>
                </w:tcPr>
                <w:p w14:paraId="25C61F9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color w:val="auto"/>
                      <w:szCs w:val="21"/>
                      <w:lang w:val="en-US" w:eastAsia="zh-CN"/>
                    </w:rPr>
                  </w:pPr>
                  <w:r>
                    <w:rPr>
                      <w:color w:val="auto"/>
                      <w:szCs w:val="21"/>
                    </w:rPr>
                    <w:t>本项目生产</w:t>
                  </w:r>
                  <w:r>
                    <w:rPr>
                      <w:rFonts w:hint="eastAsia"/>
                      <w:color w:val="auto"/>
                      <w:szCs w:val="21"/>
                      <w:lang w:eastAsia="zh-CN"/>
                    </w:rPr>
                    <w:t>、</w:t>
                  </w:r>
                  <w:r>
                    <w:rPr>
                      <w:rFonts w:hint="eastAsia"/>
                      <w:color w:val="auto"/>
                      <w:szCs w:val="21"/>
                      <w:lang w:val="en-US" w:eastAsia="zh-CN"/>
                    </w:rPr>
                    <w:t>生活</w:t>
                  </w:r>
                  <w:r>
                    <w:rPr>
                      <w:color w:val="auto"/>
                      <w:szCs w:val="21"/>
                    </w:rPr>
                    <w:t>供热</w:t>
                  </w:r>
                  <w:r>
                    <w:rPr>
                      <w:rFonts w:hint="eastAsia"/>
                      <w:color w:val="auto"/>
                      <w:szCs w:val="21"/>
                      <w:lang w:val="en-US" w:eastAsia="zh-CN"/>
                    </w:rPr>
                    <w:t>水</w:t>
                  </w:r>
                  <w:r>
                    <w:rPr>
                      <w:color w:val="auto"/>
                      <w:szCs w:val="21"/>
                    </w:rPr>
                    <w:t>由新增</w:t>
                  </w:r>
                  <w:r>
                    <w:rPr>
                      <w:rFonts w:hint="eastAsia"/>
                      <w:color w:val="auto"/>
                      <w:szCs w:val="21"/>
                      <w:lang w:val="en-US" w:eastAsia="zh-CN"/>
                    </w:rPr>
                    <w:t>300KW电热水</w:t>
                  </w:r>
                  <w:r>
                    <w:rPr>
                      <w:color w:val="auto"/>
                      <w:szCs w:val="21"/>
                    </w:rPr>
                    <w:t>锅炉提供</w:t>
                  </w:r>
                  <w:r>
                    <w:rPr>
                      <w:rFonts w:hint="eastAsia"/>
                      <w:color w:val="auto"/>
                      <w:szCs w:val="21"/>
                      <w:lang w:eastAsia="zh-CN"/>
                    </w:rPr>
                    <w:t>，</w:t>
                  </w:r>
                  <w:r>
                    <w:rPr>
                      <w:rFonts w:hint="eastAsia"/>
                      <w:color w:val="auto"/>
                      <w:sz w:val="21"/>
                      <w:szCs w:val="21"/>
                    </w:rPr>
                    <w:t>冬季生活供热采用电采暖</w:t>
                  </w:r>
                </w:p>
              </w:tc>
            </w:tr>
            <w:tr w14:paraId="64C89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23" w:type="pct"/>
                  <w:vMerge w:val="continue"/>
                  <w:tcBorders>
                    <w:tl2br w:val="nil"/>
                    <w:tr2bl w:val="nil"/>
                  </w:tcBorders>
                  <w:vAlign w:val="center"/>
                </w:tcPr>
                <w:p w14:paraId="34B7894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vAlign w:val="center"/>
                </w:tcPr>
                <w:p w14:paraId="60AC55B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排水</w:t>
                  </w:r>
                </w:p>
              </w:tc>
              <w:tc>
                <w:tcPr>
                  <w:tcW w:w="3368" w:type="pct"/>
                  <w:gridSpan w:val="2"/>
                  <w:tcBorders>
                    <w:tl2br w:val="nil"/>
                    <w:tr2bl w:val="nil"/>
                  </w:tcBorders>
                  <w:vAlign w:val="center"/>
                </w:tcPr>
                <w:p w14:paraId="7E98885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Cs w:val="21"/>
                    </w:rPr>
                  </w:pPr>
                  <w:r>
                    <w:rPr>
                      <w:rFonts w:hint="eastAsia"/>
                      <w:color w:val="auto"/>
                      <w:szCs w:val="21"/>
                    </w:rPr>
                    <w:t>本项目生产、生活废水和产业园内生产、生活废水经配套污水处理站</w:t>
                  </w:r>
                  <w:r>
                    <w:rPr>
                      <w:color w:val="auto"/>
                      <w:szCs w:val="21"/>
                    </w:rPr>
                    <w:t>（处理能力</w:t>
                  </w:r>
                  <w:r>
                    <w:rPr>
                      <w:rFonts w:hint="eastAsia"/>
                      <w:color w:val="auto"/>
                      <w:szCs w:val="21"/>
                      <w:lang w:val="en-US" w:eastAsia="zh-CN"/>
                    </w:rPr>
                    <w:t>150</w:t>
                  </w:r>
                  <w:r>
                    <w:rPr>
                      <w:color w:val="auto"/>
                      <w:szCs w:val="21"/>
                    </w:rPr>
                    <w:t>m</w:t>
                  </w:r>
                  <w:r>
                    <w:rPr>
                      <w:color w:val="auto"/>
                      <w:szCs w:val="21"/>
                      <w:vertAlign w:val="superscript"/>
                    </w:rPr>
                    <w:t>3</w:t>
                  </w:r>
                  <w:r>
                    <w:rPr>
                      <w:color w:val="auto"/>
                      <w:szCs w:val="21"/>
                    </w:rPr>
                    <w:t>/</w:t>
                  </w:r>
                  <w:r>
                    <w:rPr>
                      <w:rFonts w:hint="eastAsia"/>
                      <w:color w:val="auto"/>
                      <w:szCs w:val="21"/>
                      <w:lang w:val="en-US" w:eastAsia="zh-CN"/>
                    </w:rPr>
                    <w:t>d</w:t>
                  </w:r>
                  <w:r>
                    <w:rPr>
                      <w:rFonts w:hint="eastAsia"/>
                      <w:color w:val="auto"/>
                      <w:szCs w:val="21"/>
                      <w:lang w:eastAsia="zh-CN"/>
                    </w:rPr>
                    <w:t>）</w:t>
                  </w:r>
                  <w:r>
                    <w:rPr>
                      <w:rFonts w:hint="eastAsia"/>
                      <w:color w:val="auto"/>
                      <w:szCs w:val="21"/>
                    </w:rPr>
                    <w:t>处理达到《肉类加工工业水污染物排放标准》</w:t>
                  </w:r>
                  <w:r>
                    <w:rPr>
                      <w:rFonts w:hint="eastAsia"/>
                      <w:color w:val="auto"/>
                      <w:szCs w:val="21"/>
                      <w:lang w:eastAsia="zh-CN"/>
                    </w:rPr>
                    <w:t>（</w:t>
                  </w:r>
                  <w:r>
                    <w:rPr>
                      <w:rFonts w:hint="eastAsia"/>
                      <w:color w:val="auto"/>
                      <w:szCs w:val="21"/>
                    </w:rPr>
                    <w:t>GB13457-92</w:t>
                  </w:r>
                  <w:r>
                    <w:rPr>
                      <w:rFonts w:hint="eastAsia"/>
                      <w:color w:val="auto"/>
                      <w:szCs w:val="21"/>
                      <w:lang w:eastAsia="zh-CN"/>
                    </w:rPr>
                    <w:t>）</w:t>
                  </w:r>
                  <w:r>
                    <w:rPr>
                      <w:rFonts w:hint="eastAsia"/>
                      <w:color w:val="auto"/>
                      <w:szCs w:val="21"/>
                    </w:rPr>
                    <w:t>中表3三级排放限值标准后排入市政污水管网，最终进入库尔勒金城洁净排水有限责任公司库尔勒市老城区污水处理厂深度处理。</w:t>
                  </w:r>
                </w:p>
              </w:tc>
            </w:tr>
            <w:tr w14:paraId="4FAB4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23" w:type="pct"/>
                  <w:vMerge w:val="restart"/>
                  <w:tcBorders>
                    <w:tl2br w:val="nil"/>
                    <w:tr2bl w:val="nil"/>
                  </w:tcBorders>
                  <w:vAlign w:val="center"/>
                </w:tcPr>
                <w:p w14:paraId="57D9BEA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szCs w:val="21"/>
                      <w:lang w:val="en-US" w:eastAsia="zh-CN"/>
                    </w:rPr>
                  </w:pPr>
                  <w:r>
                    <w:rPr>
                      <w:rFonts w:hint="eastAsia"/>
                      <w:szCs w:val="21"/>
                      <w:lang w:val="en-US" w:eastAsia="zh-CN"/>
                    </w:rPr>
                    <w:t>环保工程</w:t>
                  </w:r>
                </w:p>
              </w:tc>
              <w:tc>
                <w:tcPr>
                  <w:tcW w:w="907" w:type="pct"/>
                  <w:gridSpan w:val="3"/>
                  <w:tcBorders>
                    <w:tl2br w:val="nil"/>
                    <w:tr2bl w:val="nil"/>
                  </w:tcBorders>
                  <w:vAlign w:val="center"/>
                </w:tcPr>
                <w:p w14:paraId="0452A7C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Cs w:val="21"/>
                      <w:lang w:val="en-US" w:eastAsia="zh-CN"/>
                    </w:rPr>
                  </w:pPr>
                  <w:r>
                    <w:rPr>
                      <w:rFonts w:hint="eastAsia"/>
                      <w:color w:val="auto"/>
                      <w:szCs w:val="21"/>
                      <w:lang w:val="en-US" w:eastAsia="zh-CN"/>
                    </w:rPr>
                    <w:t>废水</w:t>
                  </w:r>
                </w:p>
              </w:tc>
              <w:tc>
                <w:tcPr>
                  <w:tcW w:w="3368" w:type="pct"/>
                  <w:gridSpan w:val="2"/>
                  <w:tcBorders>
                    <w:tl2br w:val="nil"/>
                    <w:tr2bl w:val="nil"/>
                  </w:tcBorders>
                  <w:vAlign w:val="center"/>
                </w:tcPr>
                <w:p w14:paraId="6F6024D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color w:val="auto"/>
                      <w:szCs w:val="21"/>
                      <w:lang w:val="en-US" w:eastAsia="zh-CN"/>
                    </w:rPr>
                  </w:pPr>
                  <w:r>
                    <w:rPr>
                      <w:rFonts w:hint="eastAsia"/>
                      <w:color w:val="auto"/>
                      <w:szCs w:val="21"/>
                      <w:lang w:val="en-US" w:eastAsia="zh-CN"/>
                    </w:rPr>
                    <w:t>项目区员工生活污水经化粪池（80m</w:t>
                  </w:r>
                  <w:r>
                    <w:rPr>
                      <w:rFonts w:hint="eastAsia"/>
                      <w:color w:val="auto"/>
                      <w:szCs w:val="21"/>
                      <w:vertAlign w:val="superscript"/>
                      <w:lang w:val="en-US" w:eastAsia="zh-CN"/>
                    </w:rPr>
                    <w:t>3</w:t>
                  </w:r>
                  <w:r>
                    <w:rPr>
                      <w:rFonts w:hint="eastAsia"/>
                      <w:color w:val="auto"/>
                      <w:szCs w:val="21"/>
                      <w:lang w:val="en-US" w:eastAsia="zh-CN"/>
                    </w:rPr>
                    <w:t>）同生产废水经配套污水处理站处理后排入兰干乡污水管网最终进入</w:t>
                  </w:r>
                  <w:r>
                    <w:rPr>
                      <w:rFonts w:hint="eastAsia"/>
                      <w:color w:val="auto"/>
                      <w:szCs w:val="21"/>
                      <w:lang w:eastAsia="zh-CN"/>
                    </w:rPr>
                    <w:t>库尔勒金城洁净排水有限责任公司库尔勒市老城区污水处理厂</w:t>
                  </w:r>
                  <w:r>
                    <w:rPr>
                      <w:color w:val="auto"/>
                      <w:szCs w:val="21"/>
                    </w:rPr>
                    <w:t>处理</w:t>
                  </w:r>
                </w:p>
              </w:tc>
            </w:tr>
            <w:tr w14:paraId="2E0B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723" w:type="pct"/>
                  <w:vMerge w:val="continue"/>
                  <w:tcBorders>
                    <w:tl2br w:val="nil"/>
                    <w:tr2bl w:val="nil"/>
                  </w:tcBorders>
                  <w:vAlign w:val="center"/>
                </w:tcPr>
                <w:p w14:paraId="55EB3B0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vAlign w:val="center"/>
                </w:tcPr>
                <w:p w14:paraId="4F511AF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olor w:val="auto"/>
                      <w:szCs w:val="21"/>
                      <w:lang w:val="en-US" w:eastAsia="zh-CN"/>
                    </w:rPr>
                  </w:pPr>
                  <w:r>
                    <w:rPr>
                      <w:rFonts w:hint="eastAsia"/>
                      <w:color w:val="auto"/>
                      <w:szCs w:val="21"/>
                      <w:lang w:val="en-US" w:eastAsia="zh-CN"/>
                    </w:rPr>
                    <w:t>废气</w:t>
                  </w:r>
                </w:p>
              </w:tc>
              <w:tc>
                <w:tcPr>
                  <w:tcW w:w="3368" w:type="pct"/>
                  <w:gridSpan w:val="2"/>
                  <w:tcBorders>
                    <w:tl2br w:val="nil"/>
                    <w:tr2bl w:val="nil"/>
                  </w:tcBorders>
                  <w:vAlign w:val="center"/>
                </w:tcPr>
                <w:p w14:paraId="4E6DF60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eastAsia="宋体"/>
                      <w:color w:val="auto"/>
                      <w:spacing w:val="-1"/>
                      <w:sz w:val="21"/>
                      <w:szCs w:val="21"/>
                      <w:lang w:val="en-US" w:eastAsia="zh-CN"/>
                    </w:rPr>
                  </w:pPr>
                  <w:r>
                    <w:rPr>
                      <w:color w:val="auto"/>
                      <w:spacing w:val="-2"/>
                      <w:sz w:val="21"/>
                      <w:szCs w:val="21"/>
                    </w:rPr>
                    <w:t>淀粉装卸、投料产生的粉尘采取在封闭式厂房</w:t>
                  </w:r>
                  <w:r>
                    <w:rPr>
                      <w:color w:val="auto"/>
                      <w:spacing w:val="-5"/>
                      <w:sz w:val="21"/>
                      <w:szCs w:val="21"/>
                    </w:rPr>
                    <w:t>内进行各项操作；</w:t>
                  </w:r>
                  <w:r>
                    <w:rPr>
                      <w:color w:val="auto"/>
                      <w:spacing w:val="-1"/>
                      <w:sz w:val="21"/>
                      <w:szCs w:val="21"/>
                    </w:rPr>
                    <w:t>炒制</w:t>
                  </w:r>
                  <w:r>
                    <w:rPr>
                      <w:rFonts w:hint="eastAsia"/>
                      <w:color w:val="auto"/>
                      <w:spacing w:val="-1"/>
                      <w:sz w:val="21"/>
                      <w:szCs w:val="21"/>
                      <w:lang w:val="en-US" w:eastAsia="zh-CN"/>
                    </w:rPr>
                    <w:t>和煎炸等产生的</w:t>
                  </w:r>
                  <w:r>
                    <w:rPr>
                      <w:color w:val="auto"/>
                      <w:spacing w:val="-1"/>
                      <w:sz w:val="21"/>
                      <w:szCs w:val="21"/>
                    </w:rPr>
                    <w:t>油烟废气</w:t>
                  </w:r>
                  <w:r>
                    <w:rPr>
                      <w:rFonts w:hint="eastAsia"/>
                      <w:color w:val="auto"/>
                      <w:spacing w:val="-1"/>
                      <w:sz w:val="21"/>
                      <w:szCs w:val="21"/>
                      <w:lang w:val="en-US" w:eastAsia="zh-CN"/>
                    </w:rPr>
                    <w:t>经高效油烟净化设施收集处理后经专用烟道引至屋顶排放</w:t>
                  </w:r>
                  <w:r>
                    <w:rPr>
                      <w:color w:val="auto"/>
                      <w:spacing w:val="-1"/>
                      <w:sz w:val="21"/>
                      <w:szCs w:val="21"/>
                    </w:rPr>
                    <w:t>；</w:t>
                  </w:r>
                  <w:r>
                    <w:rPr>
                      <w:rFonts w:hint="eastAsia"/>
                      <w:color w:val="auto"/>
                      <w:spacing w:val="-1"/>
                      <w:sz w:val="21"/>
                      <w:szCs w:val="21"/>
                      <w:lang w:val="en-US" w:eastAsia="zh-CN"/>
                    </w:rPr>
                    <w:t>配套污水处理设施产生的恶臭通过增大周边绿化面积等措施；</w:t>
                  </w:r>
                  <w:r>
                    <w:rPr>
                      <w:color w:val="auto"/>
                      <w:spacing w:val="-1"/>
                      <w:sz w:val="21"/>
                      <w:szCs w:val="21"/>
                    </w:rPr>
                    <w:t>生产过程中产生的异味采取加强</w:t>
                  </w:r>
                  <w:r>
                    <w:rPr>
                      <w:rFonts w:hint="eastAsia"/>
                      <w:color w:val="auto"/>
                      <w:spacing w:val="-1"/>
                      <w:sz w:val="21"/>
                      <w:szCs w:val="21"/>
                      <w:lang w:val="en-US" w:eastAsia="zh-CN"/>
                    </w:rPr>
                    <w:t>加工区</w:t>
                  </w:r>
                  <w:r>
                    <w:rPr>
                      <w:color w:val="auto"/>
                      <w:spacing w:val="-1"/>
                      <w:sz w:val="21"/>
                      <w:szCs w:val="21"/>
                    </w:rPr>
                    <w:t>通风以及通过对不合格产品日产日清可以有效消除异味</w:t>
                  </w:r>
                  <w:r>
                    <w:rPr>
                      <w:rFonts w:hint="eastAsia"/>
                      <w:color w:val="auto"/>
                      <w:spacing w:val="-1"/>
                      <w:sz w:val="21"/>
                      <w:szCs w:val="21"/>
                      <w:lang w:eastAsia="zh-CN"/>
                    </w:rPr>
                    <w:t>；</w:t>
                  </w:r>
                  <w:r>
                    <w:rPr>
                      <w:color w:val="auto"/>
                      <w:szCs w:val="21"/>
                    </w:rPr>
                    <w:t>污水处理站恶臭</w:t>
                  </w:r>
                  <w:r>
                    <w:rPr>
                      <w:rFonts w:hint="eastAsia"/>
                      <w:color w:val="auto"/>
                      <w:szCs w:val="21"/>
                      <w:lang w:val="en-US" w:eastAsia="zh-CN"/>
                    </w:rPr>
                    <w:t>采</w:t>
                  </w:r>
                  <w:r>
                    <w:rPr>
                      <w:color w:val="auto"/>
                      <w:szCs w:val="21"/>
                    </w:rPr>
                    <w:t>用活性炭吸附后，通过15m高排气筒排放</w:t>
                  </w:r>
                  <w:r>
                    <w:rPr>
                      <w:rFonts w:hint="eastAsia"/>
                      <w:color w:val="auto"/>
                      <w:szCs w:val="21"/>
                      <w:lang w:eastAsia="zh-CN"/>
                    </w:rPr>
                    <w:t>。</w:t>
                  </w:r>
                </w:p>
              </w:tc>
            </w:tr>
            <w:tr w14:paraId="27930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pct"/>
                  <w:vMerge w:val="continue"/>
                  <w:tcBorders>
                    <w:tl2br w:val="nil"/>
                    <w:tr2bl w:val="nil"/>
                  </w:tcBorders>
                  <w:vAlign w:val="center"/>
                </w:tcPr>
                <w:p w14:paraId="312F54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907" w:type="pct"/>
                  <w:gridSpan w:val="3"/>
                  <w:tcBorders>
                    <w:tl2br w:val="nil"/>
                    <w:tr2bl w:val="nil"/>
                  </w:tcBorders>
                  <w:vAlign w:val="center"/>
                </w:tcPr>
                <w:p w14:paraId="247C3E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Cs w:val="21"/>
                      <w:lang w:val="en-US" w:eastAsia="zh-CN"/>
                    </w:rPr>
                  </w:pPr>
                  <w:r>
                    <w:rPr>
                      <w:rFonts w:hint="eastAsia"/>
                      <w:color w:val="auto"/>
                      <w:szCs w:val="21"/>
                      <w:lang w:val="en-US" w:eastAsia="zh-CN"/>
                    </w:rPr>
                    <w:t>噪声</w:t>
                  </w:r>
                </w:p>
              </w:tc>
              <w:tc>
                <w:tcPr>
                  <w:tcW w:w="3368" w:type="pct"/>
                  <w:gridSpan w:val="2"/>
                  <w:tcBorders>
                    <w:tl2br w:val="nil"/>
                    <w:tr2bl w:val="nil"/>
                  </w:tcBorders>
                  <w:vAlign w:val="center"/>
                </w:tcPr>
                <w:p w14:paraId="54EAEC0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color w:val="auto"/>
                      <w:szCs w:val="21"/>
                    </w:rPr>
                  </w:pPr>
                  <w:r>
                    <w:rPr>
                      <w:bCs/>
                      <w:color w:val="auto"/>
                      <w:szCs w:val="21"/>
                    </w:rPr>
                    <w:t>生产装置均安置在车间内，选用低噪声设备，合理布局，增加绿化隔音</w:t>
                  </w:r>
                </w:p>
              </w:tc>
            </w:tr>
            <w:tr w14:paraId="13D8E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4" w:type="pct"/>
                  <w:gridSpan w:val="2"/>
                  <w:vMerge w:val="continue"/>
                  <w:tcBorders>
                    <w:tl2br w:val="nil"/>
                    <w:tr2bl w:val="nil"/>
                  </w:tcBorders>
                  <w:vAlign w:val="center"/>
                </w:tcPr>
                <w:p w14:paraId="23197CF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szCs w:val="21"/>
                      <w:lang w:val="en-US" w:eastAsia="zh-CN"/>
                    </w:rPr>
                  </w:pPr>
                </w:p>
              </w:tc>
              <w:tc>
                <w:tcPr>
                  <w:tcW w:w="397" w:type="pct"/>
                  <w:vMerge w:val="restart"/>
                  <w:tcBorders>
                    <w:tl2br w:val="nil"/>
                    <w:tr2bl w:val="nil"/>
                  </w:tcBorders>
                  <w:vAlign w:val="center"/>
                </w:tcPr>
                <w:p w14:paraId="5F8DC71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固废处置</w:t>
                  </w:r>
                </w:p>
              </w:tc>
              <w:tc>
                <w:tcPr>
                  <w:tcW w:w="510" w:type="pct"/>
                  <w:gridSpan w:val="2"/>
                  <w:tcBorders>
                    <w:tl2br w:val="nil"/>
                    <w:tr2bl w:val="nil"/>
                  </w:tcBorders>
                  <w:vAlign w:val="center"/>
                </w:tcPr>
                <w:p w14:paraId="18C32B7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p>
                <w:p w14:paraId="113F239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r>
                    <w:rPr>
                      <w:color w:val="auto"/>
                      <w:szCs w:val="21"/>
                    </w:rPr>
                    <w:t>一般固废</w:t>
                  </w:r>
                </w:p>
              </w:tc>
              <w:tc>
                <w:tcPr>
                  <w:tcW w:w="3367" w:type="pct"/>
                  <w:tcBorders>
                    <w:tl2br w:val="nil"/>
                    <w:tr2bl w:val="nil"/>
                  </w:tcBorders>
                  <w:vAlign w:val="center"/>
                </w:tcPr>
                <w:p w14:paraId="7D5F2D43">
                  <w:pPr>
                    <w:keepNext w:val="0"/>
                    <w:keepLines w:val="0"/>
                    <w:pageBreakBefore w:val="0"/>
                    <w:widowControl w:val="0"/>
                    <w:kinsoku/>
                    <w:wordWrap/>
                    <w:overflowPunct/>
                    <w:topLinePunct w:val="0"/>
                    <w:autoSpaceDE/>
                    <w:autoSpaceDN/>
                    <w:bidi w:val="0"/>
                    <w:spacing w:line="360" w:lineRule="auto"/>
                    <w:jc w:val="both"/>
                    <w:textAlignment w:val="auto"/>
                    <w:rPr>
                      <w:rFonts w:hint="default" w:eastAsia="宋体"/>
                      <w:color w:val="auto"/>
                      <w:lang w:val="en-US" w:eastAsia="zh-CN"/>
                    </w:rPr>
                  </w:pPr>
                  <w:r>
                    <w:rPr>
                      <w:color w:val="auto"/>
                    </w:rPr>
                    <w:t>本项目一般工业固体废物均合理处置，</w:t>
                  </w:r>
                  <w:r>
                    <w:rPr>
                      <w:rFonts w:hint="eastAsia"/>
                      <w:color w:val="auto"/>
                      <w:lang w:val="en-US" w:eastAsia="zh-CN"/>
                    </w:rPr>
                    <w:t>不合格产品、过期产品、隔油池油污、豆渣、生牛乳废渣分别收集后外售给肥料厂制造肥料；废卤渣收集后交由环卫部门处置；废包装材料收集后外售给废品回收站；软水制备的废RO膜更换时由厂家回收；污水处理站污泥一部分用作活性污泥参与好氧系统培养活性菌，剩余部分脱水后拉运至垃圾填埋场填埋，均能够妥善处理。</w:t>
                  </w:r>
                </w:p>
              </w:tc>
            </w:tr>
            <w:tr w14:paraId="416C6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4" w:type="pct"/>
                  <w:gridSpan w:val="2"/>
                  <w:vMerge w:val="continue"/>
                  <w:tcBorders>
                    <w:tl2br w:val="nil"/>
                    <w:tr2bl w:val="nil"/>
                  </w:tcBorders>
                  <w:vAlign w:val="center"/>
                </w:tcPr>
                <w:p w14:paraId="5E05FC3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397" w:type="pct"/>
                  <w:vMerge w:val="continue"/>
                  <w:tcBorders>
                    <w:tl2br w:val="nil"/>
                    <w:tr2bl w:val="nil"/>
                  </w:tcBorders>
                  <w:vAlign w:val="center"/>
                </w:tcPr>
                <w:p w14:paraId="0E5A642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Cs w:val="21"/>
                    </w:rPr>
                  </w:pPr>
                </w:p>
              </w:tc>
              <w:tc>
                <w:tcPr>
                  <w:tcW w:w="510" w:type="pct"/>
                  <w:gridSpan w:val="2"/>
                  <w:tcBorders>
                    <w:tl2br w:val="nil"/>
                    <w:tr2bl w:val="nil"/>
                  </w:tcBorders>
                  <w:vAlign w:val="center"/>
                </w:tcPr>
                <w:p w14:paraId="5BADF22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olor w:val="auto"/>
                      <w:szCs w:val="21"/>
                      <w:lang w:val="en-US" w:eastAsia="zh-CN"/>
                    </w:rPr>
                  </w:pPr>
                  <w:r>
                    <w:rPr>
                      <w:rFonts w:hint="eastAsia"/>
                      <w:color w:val="auto"/>
                      <w:szCs w:val="21"/>
                      <w:lang w:val="en-US" w:eastAsia="zh-CN"/>
                    </w:rPr>
                    <w:t>危险废物</w:t>
                  </w:r>
                </w:p>
              </w:tc>
              <w:tc>
                <w:tcPr>
                  <w:tcW w:w="3367" w:type="pct"/>
                  <w:tcBorders>
                    <w:tl2br w:val="nil"/>
                    <w:tr2bl w:val="nil"/>
                  </w:tcBorders>
                  <w:vAlign w:val="center"/>
                </w:tcPr>
                <w:p w14:paraId="3BCF69AD">
                  <w:pPr>
                    <w:keepNext w:val="0"/>
                    <w:keepLines w:val="0"/>
                    <w:pageBreakBefore w:val="0"/>
                    <w:widowControl w:val="0"/>
                    <w:kinsoku/>
                    <w:wordWrap/>
                    <w:overflowPunct/>
                    <w:topLinePunct w:val="0"/>
                    <w:autoSpaceDE/>
                    <w:autoSpaceDN/>
                    <w:bidi w:val="0"/>
                    <w:spacing w:line="360" w:lineRule="auto"/>
                    <w:jc w:val="both"/>
                    <w:textAlignment w:val="auto"/>
                    <w:rPr>
                      <w:color w:val="auto"/>
                    </w:rPr>
                  </w:pPr>
                  <w:r>
                    <w:rPr>
                      <w:rFonts w:hint="eastAsia"/>
                      <w:color w:val="auto"/>
                      <w:lang w:val="en-US" w:eastAsia="zh-CN"/>
                    </w:rPr>
                    <w:t>废活性炭收集后暂存于危废贮存间定期交由有危废处置资质的单位处置。</w:t>
                  </w:r>
                </w:p>
              </w:tc>
            </w:tr>
            <w:tr w14:paraId="2E732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24" w:type="pct"/>
                  <w:gridSpan w:val="2"/>
                  <w:vMerge w:val="continue"/>
                  <w:tcBorders>
                    <w:tl2br w:val="nil"/>
                    <w:tr2bl w:val="nil"/>
                  </w:tcBorders>
                  <w:vAlign w:val="center"/>
                </w:tcPr>
                <w:p w14:paraId="2161DFD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397" w:type="pct"/>
                  <w:vMerge w:val="continue"/>
                  <w:tcBorders>
                    <w:tl2br w:val="nil"/>
                    <w:tr2bl w:val="nil"/>
                  </w:tcBorders>
                  <w:vAlign w:val="center"/>
                </w:tcPr>
                <w:p w14:paraId="5EB110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szCs w:val="21"/>
                    </w:rPr>
                  </w:pPr>
                </w:p>
              </w:tc>
              <w:tc>
                <w:tcPr>
                  <w:tcW w:w="510" w:type="pct"/>
                  <w:gridSpan w:val="2"/>
                  <w:tcBorders>
                    <w:tl2br w:val="nil"/>
                    <w:tr2bl w:val="nil"/>
                  </w:tcBorders>
                  <w:vAlign w:val="center"/>
                </w:tcPr>
                <w:p w14:paraId="1F42436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szCs w:val="21"/>
                      <w:lang w:val="en-US" w:eastAsia="zh-CN"/>
                    </w:rPr>
                  </w:pPr>
                  <w:r>
                    <w:rPr>
                      <w:rFonts w:hint="eastAsia"/>
                      <w:szCs w:val="21"/>
                      <w:lang w:val="en-US" w:eastAsia="zh-CN"/>
                    </w:rPr>
                    <w:t>生活垃圾</w:t>
                  </w:r>
                </w:p>
              </w:tc>
              <w:tc>
                <w:tcPr>
                  <w:tcW w:w="3367" w:type="pct"/>
                  <w:tcBorders>
                    <w:tl2br w:val="nil"/>
                    <w:tr2bl w:val="nil"/>
                  </w:tcBorders>
                  <w:vAlign w:val="center"/>
                </w:tcPr>
                <w:p w14:paraId="52997EDE">
                  <w:pPr>
                    <w:pStyle w:val="107"/>
                    <w:keepNext w:val="0"/>
                    <w:keepLines w:val="0"/>
                    <w:pageBreakBefore w:val="0"/>
                    <w:widowControl w:val="0"/>
                    <w:kinsoku/>
                    <w:wordWrap/>
                    <w:overflowPunct/>
                    <w:topLinePunct w:val="0"/>
                    <w:autoSpaceDE/>
                    <w:autoSpaceDN/>
                    <w:bidi w:val="0"/>
                    <w:spacing w:line="360" w:lineRule="auto"/>
                    <w:jc w:val="both"/>
                    <w:textAlignment w:val="auto"/>
                    <w:rPr>
                      <w:spacing w:val="-1"/>
                      <w:sz w:val="21"/>
                      <w:szCs w:val="21"/>
                    </w:rPr>
                  </w:pPr>
                  <w:r>
                    <w:rPr>
                      <w:spacing w:val="-1"/>
                      <w:sz w:val="21"/>
                      <w:szCs w:val="21"/>
                    </w:rPr>
                    <w:t>分类收集后，委托环卫部门统一清运。</w:t>
                  </w:r>
                </w:p>
              </w:tc>
            </w:tr>
          </w:tbl>
          <w:p w14:paraId="744A20A2">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表2-2主要设备一览表</w:t>
            </w:r>
          </w:p>
          <w:tbl>
            <w:tblPr>
              <w:tblStyle w:val="29"/>
              <w:tblW w:w="489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7"/>
              <w:gridCol w:w="1733"/>
              <w:gridCol w:w="1104"/>
              <w:gridCol w:w="1939"/>
              <w:gridCol w:w="2191"/>
            </w:tblGrid>
            <w:tr w14:paraId="006ABE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536" w:type="pct"/>
                  <w:tcBorders>
                    <w:tl2br w:val="nil"/>
                    <w:tr2bl w:val="nil"/>
                  </w:tcBorders>
                  <w:vAlign w:val="center"/>
                </w:tcPr>
                <w:p w14:paraId="03349A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序号</w:t>
                  </w:r>
                </w:p>
              </w:tc>
              <w:tc>
                <w:tcPr>
                  <w:tcW w:w="1110" w:type="pct"/>
                  <w:tcBorders>
                    <w:tl2br w:val="nil"/>
                    <w:tr2bl w:val="nil"/>
                  </w:tcBorders>
                  <w:vAlign w:val="center"/>
                </w:tcPr>
                <w:p w14:paraId="35E5C85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设备名称</w:t>
                  </w:r>
                </w:p>
              </w:tc>
              <w:tc>
                <w:tcPr>
                  <w:tcW w:w="707" w:type="pct"/>
                  <w:tcBorders>
                    <w:tl2br w:val="nil"/>
                    <w:tr2bl w:val="nil"/>
                  </w:tcBorders>
                  <w:vAlign w:val="center"/>
                </w:tcPr>
                <w:p w14:paraId="47BA7A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设备数量</w:t>
                  </w:r>
                </w:p>
              </w:tc>
              <w:tc>
                <w:tcPr>
                  <w:tcW w:w="1242" w:type="pct"/>
                  <w:tcBorders>
                    <w:tl2br w:val="nil"/>
                    <w:tr2bl w:val="nil"/>
                  </w:tcBorders>
                  <w:vAlign w:val="center"/>
                </w:tcPr>
                <w:p w14:paraId="51EF8E0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功能</w:t>
                  </w:r>
                </w:p>
              </w:tc>
              <w:tc>
                <w:tcPr>
                  <w:tcW w:w="1403" w:type="pct"/>
                  <w:tcBorders>
                    <w:tl2br w:val="nil"/>
                    <w:tr2bl w:val="nil"/>
                  </w:tcBorders>
                  <w:vAlign w:val="center"/>
                </w:tcPr>
                <w:p w14:paraId="557B110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default" w:ascii="Times New Roman" w:hAnsi="Times New Roman" w:cs="Times New Roman"/>
                      <w:kern w:val="0"/>
                      <w:szCs w:val="21"/>
                      <w:lang w:val="en-US" w:eastAsia="zh-CN" w:bidi="ar"/>
                    </w:rPr>
                    <w:t>规格及型号</w:t>
                  </w:r>
                </w:p>
              </w:tc>
            </w:tr>
            <w:tr w14:paraId="0802D4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536" w:type="pct"/>
                  <w:tcBorders>
                    <w:tl2br w:val="nil"/>
                    <w:tr2bl w:val="nil"/>
                  </w:tcBorders>
                  <w:vAlign w:val="center"/>
                </w:tcPr>
                <w:p w14:paraId="0DFE2E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一、</w:t>
                  </w:r>
                </w:p>
              </w:tc>
              <w:tc>
                <w:tcPr>
                  <w:tcW w:w="4463" w:type="pct"/>
                  <w:gridSpan w:val="4"/>
                  <w:tcBorders>
                    <w:tl2br w:val="nil"/>
                    <w:tr2bl w:val="nil"/>
                  </w:tcBorders>
                  <w:vAlign w:val="center"/>
                </w:tcPr>
                <w:p w14:paraId="2070456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b/>
                      <w:bCs/>
                      <w:color w:val="auto"/>
                      <w:kern w:val="0"/>
                      <w:szCs w:val="21"/>
                      <w:lang w:val="en-US" w:eastAsia="zh-CN" w:bidi="ar"/>
                    </w:rPr>
                    <w:t>凉皮</w:t>
                  </w:r>
                  <w:r>
                    <w:rPr>
                      <w:rFonts w:hint="eastAsia" w:cs="Times New Roman"/>
                      <w:b/>
                      <w:bCs/>
                      <w:color w:val="auto"/>
                      <w:kern w:val="0"/>
                      <w:szCs w:val="21"/>
                      <w:lang w:val="en-US" w:eastAsia="zh-CN" w:bidi="ar"/>
                    </w:rPr>
                    <w:t>、牛筋面</w:t>
                  </w:r>
                  <w:r>
                    <w:rPr>
                      <w:rFonts w:hint="default" w:ascii="Times New Roman" w:hAnsi="Times New Roman" w:cs="Times New Roman"/>
                      <w:b/>
                      <w:bCs/>
                      <w:color w:val="auto"/>
                      <w:kern w:val="0"/>
                      <w:szCs w:val="21"/>
                      <w:lang w:val="en-US" w:eastAsia="zh-CN" w:bidi="ar"/>
                    </w:rPr>
                    <w:t>生产线</w:t>
                  </w:r>
                </w:p>
              </w:tc>
            </w:tr>
            <w:tr w14:paraId="1EEDA2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0B73FC8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w:t>
                  </w:r>
                </w:p>
              </w:tc>
              <w:tc>
                <w:tcPr>
                  <w:tcW w:w="1110" w:type="pct"/>
                  <w:tcBorders>
                    <w:tl2br w:val="nil"/>
                    <w:tr2bl w:val="nil"/>
                  </w:tcBorders>
                  <w:vAlign w:val="center"/>
                </w:tcPr>
                <w:p w14:paraId="6803150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3"/>
                      <w:sz w:val="21"/>
                      <w:szCs w:val="21"/>
                    </w:rPr>
                    <w:t>凉皮机</w:t>
                  </w:r>
                </w:p>
              </w:tc>
              <w:tc>
                <w:tcPr>
                  <w:tcW w:w="707" w:type="pct"/>
                  <w:tcBorders>
                    <w:tl2br w:val="nil"/>
                    <w:tr2bl w:val="nil"/>
                  </w:tcBorders>
                  <w:vAlign w:val="center"/>
                </w:tcPr>
                <w:p w14:paraId="0D901FE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bidi="ar"/>
                    </w:rPr>
                  </w:pPr>
                  <w:r>
                    <w:rPr>
                      <w:rFonts w:hint="eastAsia" w:cs="Times New Roman"/>
                      <w:color w:val="auto"/>
                      <w:kern w:val="0"/>
                      <w:szCs w:val="21"/>
                      <w:lang w:val="en-US" w:eastAsia="zh-CN" w:bidi="ar"/>
                    </w:rPr>
                    <w:t>6</w:t>
                  </w:r>
                  <w:r>
                    <w:rPr>
                      <w:rFonts w:hint="default" w:ascii="Times New Roman" w:hAnsi="Times New Roman" w:cs="Times New Roman"/>
                      <w:color w:val="auto"/>
                      <w:spacing w:val="-2"/>
                      <w:sz w:val="21"/>
                      <w:szCs w:val="21"/>
                    </w:rPr>
                    <w:t>台</w:t>
                  </w:r>
                </w:p>
              </w:tc>
              <w:tc>
                <w:tcPr>
                  <w:tcW w:w="1242" w:type="pct"/>
                  <w:tcBorders>
                    <w:tl2br w:val="nil"/>
                    <w:tr2bl w:val="nil"/>
                  </w:tcBorders>
                  <w:vAlign w:val="center"/>
                </w:tcPr>
                <w:p w14:paraId="0226E4D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凉皮生产线</w:t>
                  </w:r>
                </w:p>
              </w:tc>
              <w:tc>
                <w:tcPr>
                  <w:tcW w:w="1403" w:type="pct"/>
                  <w:tcBorders>
                    <w:tl2br w:val="nil"/>
                    <w:tr2bl w:val="nil"/>
                  </w:tcBorders>
                  <w:vAlign w:val="center"/>
                </w:tcPr>
                <w:p w14:paraId="07FD9AA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color w:val="auto"/>
                      <w:spacing w:val="-8"/>
                      <w:sz w:val="21"/>
                      <w:szCs w:val="21"/>
                    </w:rPr>
                    <w:t>双螺旋洗面机（不锈</w:t>
                  </w:r>
                  <w:r>
                    <w:rPr>
                      <w:rFonts w:hint="default" w:ascii="Times New Roman" w:hAnsi="Times New Roman" w:cs="Times New Roman"/>
                      <w:color w:val="auto"/>
                      <w:spacing w:val="-6"/>
                      <w:sz w:val="21"/>
                      <w:szCs w:val="21"/>
                    </w:rPr>
                    <w:t>钢</w:t>
                  </w:r>
                  <w:r>
                    <w:rPr>
                      <w:rFonts w:hint="eastAsia" w:cs="Times New Roman"/>
                      <w:color w:val="auto"/>
                      <w:spacing w:val="-6"/>
                      <w:sz w:val="21"/>
                      <w:szCs w:val="21"/>
                      <w:lang w:eastAsia="zh-CN"/>
                    </w:rPr>
                    <w:t>）</w:t>
                  </w:r>
                </w:p>
              </w:tc>
            </w:tr>
            <w:tr w14:paraId="24627A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noWrap/>
                  <w:vAlign w:val="center"/>
                </w:tcPr>
                <w:p w14:paraId="2003E55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2</w:t>
                  </w:r>
                </w:p>
              </w:tc>
              <w:tc>
                <w:tcPr>
                  <w:tcW w:w="1110" w:type="pct"/>
                  <w:tcBorders>
                    <w:tl2br w:val="nil"/>
                    <w:tr2bl w:val="nil"/>
                  </w:tcBorders>
                  <w:vAlign w:val="center"/>
                </w:tcPr>
                <w:p w14:paraId="3F7C3B2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color w:val="auto"/>
                      <w:spacing w:val="-3"/>
                      <w:sz w:val="21"/>
                      <w:szCs w:val="21"/>
                      <w:lang w:val="en-US" w:eastAsia="zh-CN"/>
                    </w:rPr>
                    <w:t>全自动牛筋面机</w:t>
                  </w:r>
                </w:p>
              </w:tc>
              <w:tc>
                <w:tcPr>
                  <w:tcW w:w="707" w:type="pct"/>
                  <w:tcBorders>
                    <w:tl2br w:val="nil"/>
                    <w:tr2bl w:val="nil"/>
                  </w:tcBorders>
                  <w:vAlign w:val="center"/>
                </w:tcPr>
                <w:p w14:paraId="284178A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6台</w:t>
                  </w:r>
                </w:p>
              </w:tc>
              <w:tc>
                <w:tcPr>
                  <w:tcW w:w="1242" w:type="pct"/>
                  <w:tcBorders>
                    <w:tl2br w:val="nil"/>
                    <w:tr2bl w:val="nil"/>
                  </w:tcBorders>
                  <w:vAlign w:val="center"/>
                </w:tcPr>
                <w:p w14:paraId="203BD9A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牛筋面生产线</w:t>
                  </w:r>
                </w:p>
              </w:tc>
              <w:tc>
                <w:tcPr>
                  <w:tcW w:w="1403" w:type="pct"/>
                  <w:tcBorders>
                    <w:tl2br w:val="nil"/>
                    <w:tr2bl w:val="nil"/>
                  </w:tcBorders>
                  <w:vAlign w:val="center"/>
                </w:tcPr>
                <w:p w14:paraId="3860BDD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w:t>
                  </w:r>
                </w:p>
              </w:tc>
            </w:tr>
            <w:tr w14:paraId="63A61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noWrap/>
                  <w:vAlign w:val="center"/>
                </w:tcPr>
                <w:p w14:paraId="74DE68D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3</w:t>
                  </w:r>
                </w:p>
              </w:tc>
              <w:tc>
                <w:tcPr>
                  <w:tcW w:w="1110" w:type="pct"/>
                  <w:tcBorders>
                    <w:tl2br w:val="nil"/>
                    <w:tr2bl w:val="nil"/>
                  </w:tcBorders>
                  <w:vAlign w:val="center"/>
                </w:tcPr>
                <w:p w14:paraId="5B6C3C5F">
                  <w:pPr>
                    <w:pStyle w:val="114"/>
                    <w:keepNext w:val="0"/>
                    <w:keepLines w:val="0"/>
                    <w:pageBreakBefore w:val="0"/>
                    <w:widowControl/>
                    <w:kinsoku/>
                    <w:wordWrap/>
                    <w:overflowPunct/>
                    <w:topLinePunct w:val="0"/>
                    <w:autoSpaceDE/>
                    <w:autoSpaceDN/>
                    <w:bidi w:val="0"/>
                    <w:adjustRightInd/>
                    <w:snapToGrid/>
                    <w:spacing w:before="51" w:line="240" w:lineRule="auto"/>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spacing w:val="-2"/>
                      <w:sz w:val="21"/>
                      <w:szCs w:val="21"/>
                      <w:lang w:val="en-US" w:eastAsia="zh-CN"/>
                    </w:rPr>
                    <w:t>蒸柜</w:t>
                  </w:r>
                </w:p>
              </w:tc>
              <w:tc>
                <w:tcPr>
                  <w:tcW w:w="707" w:type="pct"/>
                  <w:tcBorders>
                    <w:tl2br w:val="nil"/>
                    <w:tr2bl w:val="nil"/>
                  </w:tcBorders>
                  <w:vAlign w:val="center"/>
                </w:tcPr>
                <w:p w14:paraId="2DBD2C58">
                  <w:pPr>
                    <w:pStyle w:val="114"/>
                    <w:spacing w:before="53" w:line="222" w:lineRule="auto"/>
                    <w:jc w:val="center"/>
                    <w:rPr>
                      <w:rFonts w:hint="default" w:ascii="Times New Roman" w:hAnsi="Times New Roman" w:cs="Times New Roman"/>
                      <w:color w:val="auto"/>
                      <w:kern w:val="0"/>
                      <w:szCs w:val="21"/>
                      <w:lang w:bidi="ar"/>
                    </w:rPr>
                  </w:pPr>
                  <w:r>
                    <w:rPr>
                      <w:rFonts w:hint="eastAsia" w:ascii="Times New Roman" w:hAnsi="Times New Roman" w:eastAsia="宋体" w:cs="Times New Roman"/>
                      <w:color w:val="auto"/>
                      <w:spacing w:val="-2"/>
                      <w:sz w:val="21"/>
                      <w:szCs w:val="21"/>
                      <w:lang w:val="en-US" w:eastAsia="zh-CN"/>
                    </w:rPr>
                    <w:t>3</w:t>
                  </w:r>
                  <w:r>
                    <w:rPr>
                      <w:rFonts w:hint="default" w:ascii="Times New Roman" w:hAnsi="Times New Roman" w:cs="Times New Roman"/>
                      <w:color w:val="auto"/>
                      <w:spacing w:val="-2"/>
                      <w:sz w:val="21"/>
                      <w:szCs w:val="21"/>
                    </w:rPr>
                    <w:t>台</w:t>
                  </w:r>
                </w:p>
              </w:tc>
              <w:tc>
                <w:tcPr>
                  <w:tcW w:w="1242" w:type="pct"/>
                  <w:tcBorders>
                    <w:tl2br w:val="nil"/>
                    <w:tr2bl w:val="nil"/>
                  </w:tcBorders>
                  <w:vAlign w:val="center"/>
                </w:tcPr>
                <w:p w14:paraId="379D6025">
                  <w:pPr>
                    <w:pStyle w:val="114"/>
                    <w:keepNext w:val="0"/>
                    <w:keepLines w:val="0"/>
                    <w:pageBreakBefore w:val="0"/>
                    <w:widowControl/>
                    <w:kinsoku/>
                    <w:wordWrap/>
                    <w:overflowPunct/>
                    <w:topLinePunct w:val="0"/>
                    <w:autoSpaceDE/>
                    <w:autoSpaceDN/>
                    <w:bidi w:val="0"/>
                    <w:adjustRightInd/>
                    <w:snapToGrid/>
                    <w:spacing w:before="53"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提供蒸汽</w:t>
                  </w:r>
                </w:p>
              </w:tc>
              <w:tc>
                <w:tcPr>
                  <w:tcW w:w="1403" w:type="pct"/>
                  <w:tcBorders>
                    <w:tl2br w:val="nil"/>
                    <w:tr2bl w:val="nil"/>
                  </w:tcBorders>
                  <w:shd w:val="clear" w:color="auto" w:fill="auto"/>
                  <w:vAlign w:val="center"/>
                </w:tcPr>
                <w:p w14:paraId="44D60B98">
                  <w:pPr>
                    <w:spacing w:before="79" w:line="194"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LSS0.1-0.8-Y.Q</w:t>
                  </w:r>
                </w:p>
              </w:tc>
            </w:tr>
            <w:tr w14:paraId="67AF1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noWrap/>
                  <w:vAlign w:val="center"/>
                </w:tcPr>
                <w:p w14:paraId="49A6B78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4</w:t>
                  </w:r>
                </w:p>
              </w:tc>
              <w:tc>
                <w:tcPr>
                  <w:tcW w:w="1110" w:type="pct"/>
                  <w:tcBorders>
                    <w:tl2br w:val="nil"/>
                    <w:tr2bl w:val="nil"/>
                  </w:tcBorders>
                  <w:vAlign w:val="center"/>
                </w:tcPr>
                <w:p w14:paraId="65BE126F">
                  <w:pPr>
                    <w:pStyle w:val="114"/>
                    <w:keepNext w:val="0"/>
                    <w:keepLines w:val="0"/>
                    <w:pageBreakBefore w:val="0"/>
                    <w:widowControl/>
                    <w:kinsoku/>
                    <w:wordWrap/>
                    <w:overflowPunct/>
                    <w:topLinePunct w:val="0"/>
                    <w:autoSpaceDE/>
                    <w:autoSpaceDN/>
                    <w:bidi w:val="0"/>
                    <w:adjustRightInd/>
                    <w:snapToGrid/>
                    <w:spacing w:before="53"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3"/>
                      <w:sz w:val="21"/>
                      <w:szCs w:val="21"/>
                    </w:rPr>
                    <w:t>纯水机</w:t>
                  </w:r>
                </w:p>
              </w:tc>
              <w:tc>
                <w:tcPr>
                  <w:tcW w:w="707" w:type="pct"/>
                  <w:tcBorders>
                    <w:tl2br w:val="nil"/>
                    <w:tr2bl w:val="nil"/>
                  </w:tcBorders>
                  <w:vAlign w:val="center"/>
                </w:tcPr>
                <w:p w14:paraId="74EF1E2F">
                  <w:pPr>
                    <w:pStyle w:val="114"/>
                    <w:spacing w:before="53" w:line="222" w:lineRule="auto"/>
                    <w:jc w:val="center"/>
                    <w:rPr>
                      <w:rFonts w:hint="default" w:ascii="Times New Roman" w:hAnsi="Times New Roman" w:cs="Times New Roman"/>
                      <w:color w:val="auto"/>
                      <w:kern w:val="0"/>
                      <w:szCs w:val="21"/>
                      <w:lang w:bidi="ar"/>
                    </w:rPr>
                  </w:pPr>
                  <w:r>
                    <w:rPr>
                      <w:rFonts w:hint="eastAsia" w:ascii="Times New Roman" w:hAnsi="Times New Roman" w:eastAsia="宋体" w:cs="Times New Roman"/>
                      <w:color w:val="auto"/>
                      <w:spacing w:val="-12"/>
                      <w:sz w:val="21"/>
                      <w:szCs w:val="21"/>
                      <w:lang w:val="en-US" w:eastAsia="zh-CN"/>
                    </w:rPr>
                    <w:t>3</w:t>
                  </w:r>
                  <w:r>
                    <w:rPr>
                      <w:rFonts w:hint="default" w:ascii="Times New Roman" w:hAnsi="Times New Roman" w:cs="Times New Roman"/>
                      <w:color w:val="auto"/>
                      <w:spacing w:val="-12"/>
                      <w:sz w:val="21"/>
                      <w:szCs w:val="21"/>
                    </w:rPr>
                    <w:t>台</w:t>
                  </w:r>
                </w:p>
              </w:tc>
              <w:tc>
                <w:tcPr>
                  <w:tcW w:w="1242" w:type="pct"/>
                  <w:tcBorders>
                    <w:tl2br w:val="nil"/>
                    <w:tr2bl w:val="nil"/>
                  </w:tcBorders>
                  <w:vAlign w:val="center"/>
                </w:tcPr>
                <w:p w14:paraId="4DCC1365">
                  <w:pPr>
                    <w:pStyle w:val="114"/>
                    <w:keepNext w:val="0"/>
                    <w:keepLines w:val="0"/>
                    <w:pageBreakBefore w:val="0"/>
                    <w:widowControl/>
                    <w:kinsoku/>
                    <w:wordWrap/>
                    <w:overflowPunct/>
                    <w:topLinePunct w:val="0"/>
                    <w:autoSpaceDE/>
                    <w:autoSpaceDN/>
                    <w:bidi w:val="0"/>
                    <w:adjustRightInd/>
                    <w:snapToGrid/>
                    <w:spacing w:before="53"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制备纯水</w:t>
                  </w:r>
                </w:p>
              </w:tc>
              <w:tc>
                <w:tcPr>
                  <w:tcW w:w="1403" w:type="pct"/>
                  <w:tcBorders>
                    <w:tl2br w:val="nil"/>
                    <w:tr2bl w:val="nil"/>
                  </w:tcBorders>
                  <w:shd w:val="clear" w:color="auto" w:fill="auto"/>
                  <w:vAlign w:val="center"/>
                </w:tcPr>
                <w:p w14:paraId="401405FB">
                  <w:pPr>
                    <w:pStyle w:val="114"/>
                    <w:spacing w:before="53" w:line="222" w:lineRule="auto"/>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Times New Roman" w:cs="Times New Roman"/>
                      <w:color w:val="auto"/>
                      <w:spacing w:val="-1"/>
                      <w:sz w:val="21"/>
                      <w:szCs w:val="21"/>
                    </w:rPr>
                    <w:t>JYEB-60</w:t>
                  </w:r>
                  <w:r>
                    <w:rPr>
                      <w:rFonts w:hint="default" w:ascii="Times New Roman" w:hAnsi="Times New Roman" w:cs="Times New Roman"/>
                      <w:color w:val="auto"/>
                      <w:spacing w:val="-1"/>
                      <w:sz w:val="21"/>
                      <w:szCs w:val="21"/>
                    </w:rPr>
                    <w:t>型</w:t>
                  </w:r>
                </w:p>
              </w:tc>
            </w:tr>
            <w:tr w14:paraId="533D1B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noWrap/>
                  <w:vAlign w:val="center"/>
                </w:tcPr>
                <w:p w14:paraId="07EF596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5</w:t>
                  </w:r>
                </w:p>
              </w:tc>
              <w:tc>
                <w:tcPr>
                  <w:tcW w:w="1110" w:type="pct"/>
                  <w:tcBorders>
                    <w:tl2br w:val="nil"/>
                    <w:tr2bl w:val="nil"/>
                  </w:tcBorders>
                  <w:vAlign w:val="center"/>
                </w:tcPr>
                <w:p w14:paraId="0E39305D">
                  <w:pPr>
                    <w:pStyle w:val="114"/>
                    <w:keepNext w:val="0"/>
                    <w:keepLines w:val="0"/>
                    <w:pageBreakBefore w:val="0"/>
                    <w:widowControl/>
                    <w:kinsoku/>
                    <w:wordWrap/>
                    <w:overflowPunct/>
                    <w:topLinePunct w:val="0"/>
                    <w:autoSpaceDE/>
                    <w:autoSpaceDN/>
                    <w:bidi w:val="0"/>
                    <w:adjustRightInd/>
                    <w:snapToGrid/>
                    <w:spacing w:before="54"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搅拌机</w:t>
                  </w:r>
                </w:p>
              </w:tc>
              <w:tc>
                <w:tcPr>
                  <w:tcW w:w="707" w:type="pct"/>
                  <w:tcBorders>
                    <w:tl2br w:val="nil"/>
                    <w:tr2bl w:val="nil"/>
                  </w:tcBorders>
                  <w:vAlign w:val="center"/>
                </w:tcPr>
                <w:p w14:paraId="0DB603A4">
                  <w:pPr>
                    <w:pStyle w:val="114"/>
                    <w:spacing w:before="55" w:line="221" w:lineRule="auto"/>
                    <w:jc w:val="center"/>
                    <w:rPr>
                      <w:rFonts w:hint="default" w:ascii="Times New Roman" w:hAnsi="Times New Roman" w:cs="Times New Roman"/>
                      <w:color w:val="auto"/>
                      <w:kern w:val="0"/>
                      <w:szCs w:val="21"/>
                      <w:lang w:bidi="ar"/>
                    </w:rPr>
                  </w:pPr>
                  <w:r>
                    <w:rPr>
                      <w:rFonts w:hint="eastAsia" w:ascii="Times New Roman" w:hAnsi="Times New Roman" w:eastAsia="宋体" w:cs="Times New Roman"/>
                      <w:color w:val="auto"/>
                      <w:spacing w:val="-12"/>
                      <w:sz w:val="21"/>
                      <w:szCs w:val="21"/>
                      <w:lang w:val="en-US" w:eastAsia="zh-CN"/>
                    </w:rPr>
                    <w:t>3</w:t>
                  </w:r>
                  <w:r>
                    <w:rPr>
                      <w:rFonts w:hint="default" w:ascii="Times New Roman" w:hAnsi="Times New Roman" w:cs="Times New Roman"/>
                      <w:color w:val="auto"/>
                      <w:spacing w:val="-12"/>
                      <w:sz w:val="21"/>
                      <w:szCs w:val="21"/>
                    </w:rPr>
                    <w:t>台</w:t>
                  </w:r>
                </w:p>
              </w:tc>
              <w:tc>
                <w:tcPr>
                  <w:tcW w:w="1242" w:type="pct"/>
                  <w:tcBorders>
                    <w:tl2br w:val="nil"/>
                    <w:tr2bl w:val="nil"/>
                  </w:tcBorders>
                  <w:vAlign w:val="center"/>
                </w:tcPr>
                <w:p w14:paraId="4824FEB1">
                  <w:pPr>
                    <w:pStyle w:val="114"/>
                    <w:keepNext w:val="0"/>
                    <w:keepLines w:val="0"/>
                    <w:pageBreakBefore w:val="0"/>
                    <w:widowControl/>
                    <w:kinsoku/>
                    <w:wordWrap/>
                    <w:overflowPunct/>
                    <w:topLinePunct w:val="0"/>
                    <w:autoSpaceDE/>
                    <w:autoSpaceDN/>
                    <w:bidi w:val="0"/>
                    <w:adjustRightInd/>
                    <w:snapToGrid/>
                    <w:spacing w:before="55"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凉皮生产线</w:t>
                  </w:r>
                </w:p>
              </w:tc>
              <w:tc>
                <w:tcPr>
                  <w:tcW w:w="1403" w:type="pct"/>
                  <w:tcBorders>
                    <w:tl2br w:val="nil"/>
                    <w:tr2bl w:val="nil"/>
                  </w:tcBorders>
                  <w:shd w:val="clear" w:color="auto" w:fill="auto"/>
                  <w:vAlign w:val="center"/>
                </w:tcPr>
                <w:p w14:paraId="3FCB2728">
                  <w:pPr>
                    <w:spacing w:before="82" w:line="190" w:lineRule="auto"/>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pacing w:val="-1"/>
                      <w:sz w:val="21"/>
                      <w:szCs w:val="21"/>
                    </w:rPr>
                    <w:t>LS50kg</w:t>
                  </w:r>
                </w:p>
              </w:tc>
            </w:tr>
            <w:tr w14:paraId="278F54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64EC11B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Cs w:val="21"/>
                      <w:lang w:eastAsia="zh-CN" w:bidi="ar"/>
                    </w:rPr>
                  </w:pPr>
                  <w:r>
                    <w:rPr>
                      <w:rFonts w:hint="eastAsia" w:cs="Times New Roman"/>
                      <w:color w:val="auto"/>
                      <w:kern w:val="0"/>
                      <w:szCs w:val="21"/>
                      <w:lang w:val="en-US" w:eastAsia="zh-CN" w:bidi="ar"/>
                    </w:rPr>
                    <w:t>6</w:t>
                  </w:r>
                </w:p>
              </w:tc>
              <w:tc>
                <w:tcPr>
                  <w:tcW w:w="1110" w:type="pct"/>
                  <w:tcBorders>
                    <w:tl2br w:val="nil"/>
                    <w:tr2bl w:val="nil"/>
                  </w:tcBorders>
                  <w:vAlign w:val="center"/>
                </w:tcPr>
                <w:p w14:paraId="76AB1A22">
                  <w:pPr>
                    <w:pStyle w:val="114"/>
                    <w:keepNext w:val="0"/>
                    <w:keepLines w:val="0"/>
                    <w:pageBreakBefore w:val="0"/>
                    <w:widowControl/>
                    <w:kinsoku/>
                    <w:wordWrap/>
                    <w:overflowPunct/>
                    <w:topLinePunct w:val="0"/>
                    <w:autoSpaceDE/>
                    <w:autoSpaceDN/>
                    <w:bidi w:val="0"/>
                    <w:adjustRightInd/>
                    <w:snapToGrid/>
                    <w:spacing w:before="53"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pacing w:val="-2"/>
                      <w:sz w:val="21"/>
                      <w:szCs w:val="21"/>
                    </w:rPr>
                    <w:t>粉碎机</w:t>
                  </w:r>
                </w:p>
              </w:tc>
              <w:tc>
                <w:tcPr>
                  <w:tcW w:w="707" w:type="pct"/>
                  <w:tcBorders>
                    <w:tl2br w:val="nil"/>
                    <w:tr2bl w:val="nil"/>
                  </w:tcBorders>
                  <w:vAlign w:val="center"/>
                </w:tcPr>
                <w:p w14:paraId="7DC020D5">
                  <w:pPr>
                    <w:pStyle w:val="114"/>
                    <w:spacing w:before="55" w:line="222" w:lineRule="auto"/>
                    <w:jc w:val="center"/>
                    <w:rPr>
                      <w:rFonts w:hint="default" w:ascii="Times New Roman" w:hAnsi="Times New Roman" w:cs="Times New Roman"/>
                      <w:color w:val="auto"/>
                      <w:kern w:val="0"/>
                      <w:szCs w:val="21"/>
                      <w:lang w:bidi="ar"/>
                    </w:rPr>
                  </w:pPr>
                  <w:r>
                    <w:rPr>
                      <w:rFonts w:hint="eastAsia" w:ascii="Times New Roman" w:hAnsi="Times New Roman" w:eastAsia="宋体" w:cs="Times New Roman"/>
                      <w:color w:val="auto"/>
                      <w:spacing w:val="-12"/>
                      <w:sz w:val="21"/>
                      <w:szCs w:val="21"/>
                      <w:lang w:val="en-US" w:eastAsia="zh-CN"/>
                    </w:rPr>
                    <w:t>3</w:t>
                  </w:r>
                  <w:r>
                    <w:rPr>
                      <w:rFonts w:hint="default" w:ascii="Times New Roman" w:hAnsi="Times New Roman" w:cs="Times New Roman"/>
                      <w:color w:val="auto"/>
                      <w:spacing w:val="-12"/>
                      <w:sz w:val="21"/>
                      <w:szCs w:val="21"/>
                    </w:rPr>
                    <w:t>台</w:t>
                  </w:r>
                </w:p>
              </w:tc>
              <w:tc>
                <w:tcPr>
                  <w:tcW w:w="1242" w:type="pct"/>
                  <w:tcBorders>
                    <w:tl2br w:val="nil"/>
                    <w:tr2bl w:val="nil"/>
                  </w:tcBorders>
                  <w:vAlign w:val="center"/>
                </w:tcPr>
                <w:p w14:paraId="32FBD1E6">
                  <w:pPr>
                    <w:pStyle w:val="114"/>
                    <w:keepNext w:val="0"/>
                    <w:keepLines w:val="0"/>
                    <w:pageBreakBefore w:val="0"/>
                    <w:widowControl/>
                    <w:kinsoku/>
                    <w:wordWrap/>
                    <w:overflowPunct/>
                    <w:topLinePunct w:val="0"/>
                    <w:autoSpaceDE/>
                    <w:autoSpaceDN/>
                    <w:bidi w:val="0"/>
                    <w:adjustRightInd/>
                    <w:snapToGrid/>
                    <w:spacing w:before="54" w:line="240" w:lineRule="auto"/>
                    <w:jc w:val="center"/>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spacing w:val="-2"/>
                      <w:sz w:val="21"/>
                      <w:szCs w:val="21"/>
                    </w:rPr>
                    <w:t>凉皮生产线（调味制品</w:t>
                  </w:r>
                  <w:r>
                    <w:rPr>
                      <w:rFonts w:hint="eastAsia" w:ascii="Times New Roman" w:hAnsi="Times New Roman" w:cs="Times New Roman"/>
                      <w:color w:val="auto"/>
                      <w:spacing w:val="-2"/>
                      <w:sz w:val="21"/>
                      <w:szCs w:val="21"/>
                      <w:lang w:eastAsia="zh-CN"/>
                    </w:rPr>
                    <w:t>）</w:t>
                  </w:r>
                </w:p>
              </w:tc>
              <w:tc>
                <w:tcPr>
                  <w:tcW w:w="1403" w:type="pct"/>
                  <w:tcBorders>
                    <w:tl2br w:val="nil"/>
                    <w:tr2bl w:val="nil"/>
                  </w:tcBorders>
                  <w:shd w:val="clear" w:color="auto" w:fill="auto"/>
                  <w:vAlign w:val="center"/>
                </w:tcPr>
                <w:p w14:paraId="1DB3CD8F">
                  <w:pPr>
                    <w:spacing w:before="81" w:line="228" w:lineRule="auto"/>
                    <w:ind w:left="998" w:leftChars="0"/>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w:t>
                  </w:r>
                </w:p>
              </w:tc>
            </w:tr>
            <w:tr w14:paraId="73D05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536" w:type="pct"/>
                  <w:tcBorders>
                    <w:tl2br w:val="nil"/>
                    <w:tr2bl w:val="nil"/>
                  </w:tcBorders>
                  <w:vAlign w:val="center"/>
                </w:tcPr>
                <w:p w14:paraId="2164D15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kern w:val="0"/>
                      <w:szCs w:val="21"/>
                      <w:lang w:bidi="ar"/>
                    </w:rPr>
                  </w:pPr>
                  <w:r>
                    <w:rPr>
                      <w:rFonts w:hint="default" w:ascii="Times New Roman" w:hAnsi="Times New Roman" w:cs="Times New Roman"/>
                      <w:b/>
                      <w:bCs/>
                      <w:kern w:val="0"/>
                      <w:szCs w:val="21"/>
                      <w:lang w:bidi="ar"/>
                    </w:rPr>
                    <w:t>二、</w:t>
                  </w:r>
                </w:p>
              </w:tc>
              <w:tc>
                <w:tcPr>
                  <w:tcW w:w="4463" w:type="pct"/>
                  <w:gridSpan w:val="4"/>
                  <w:tcBorders>
                    <w:tl2br w:val="nil"/>
                    <w:tr2bl w:val="nil"/>
                  </w:tcBorders>
                  <w:vAlign w:val="center"/>
                </w:tcPr>
                <w:p w14:paraId="4BA2F6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bidi="ar"/>
                    </w:rPr>
                  </w:pPr>
                  <w:r>
                    <w:rPr>
                      <w:rFonts w:hint="default" w:ascii="Times New Roman" w:hAnsi="Times New Roman" w:cs="Times New Roman"/>
                      <w:b/>
                      <w:bCs/>
                      <w:kern w:val="0"/>
                      <w:szCs w:val="21"/>
                      <w:lang w:val="en-US" w:eastAsia="zh-CN" w:bidi="ar"/>
                    </w:rPr>
                    <w:t>豆制品、卤制品</w:t>
                  </w:r>
                </w:p>
              </w:tc>
            </w:tr>
            <w:tr w14:paraId="076058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18FE4F6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kern w:val="0"/>
                      <w:szCs w:val="21"/>
                      <w:lang w:val="en-US" w:eastAsia="zh-CN" w:bidi="ar"/>
                    </w:rPr>
                  </w:pPr>
                  <w:r>
                    <w:rPr>
                      <w:rFonts w:hint="eastAsia" w:cs="Times New Roman"/>
                      <w:kern w:val="0"/>
                      <w:szCs w:val="21"/>
                      <w:lang w:val="en-US" w:eastAsia="zh-CN" w:bidi="ar"/>
                    </w:rPr>
                    <w:t>序号</w:t>
                  </w:r>
                </w:p>
              </w:tc>
              <w:tc>
                <w:tcPr>
                  <w:tcW w:w="1110" w:type="pct"/>
                  <w:tcBorders>
                    <w:tl2br w:val="nil"/>
                    <w:tr2bl w:val="nil"/>
                  </w:tcBorders>
                  <w:vAlign w:val="center"/>
                </w:tcPr>
                <w:p w14:paraId="48DCDD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名称</w:t>
                  </w:r>
                </w:p>
              </w:tc>
              <w:tc>
                <w:tcPr>
                  <w:tcW w:w="707" w:type="pct"/>
                  <w:tcBorders>
                    <w:tl2br w:val="nil"/>
                    <w:tr2bl w:val="nil"/>
                  </w:tcBorders>
                  <w:vAlign w:val="center"/>
                </w:tcPr>
                <w:p w14:paraId="16956E4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数量</w:t>
                  </w:r>
                </w:p>
              </w:tc>
              <w:tc>
                <w:tcPr>
                  <w:tcW w:w="1242" w:type="pct"/>
                  <w:tcBorders>
                    <w:tl2br w:val="nil"/>
                    <w:tr2bl w:val="nil"/>
                  </w:tcBorders>
                  <w:vAlign w:val="center"/>
                </w:tcPr>
                <w:p w14:paraId="072482A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功能</w:t>
                  </w:r>
                </w:p>
              </w:tc>
              <w:tc>
                <w:tcPr>
                  <w:tcW w:w="1403" w:type="pct"/>
                  <w:tcBorders>
                    <w:tl2br w:val="nil"/>
                    <w:tr2bl w:val="nil"/>
                  </w:tcBorders>
                  <w:vAlign w:val="center"/>
                </w:tcPr>
                <w:p w14:paraId="3D21DB2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规格及型号</w:t>
                  </w:r>
                </w:p>
              </w:tc>
            </w:tr>
            <w:tr w14:paraId="710F4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70DE83B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1</w:t>
                  </w:r>
                </w:p>
              </w:tc>
              <w:tc>
                <w:tcPr>
                  <w:tcW w:w="1110" w:type="pct"/>
                  <w:tcBorders>
                    <w:tl2br w:val="nil"/>
                    <w:tr2bl w:val="nil"/>
                  </w:tcBorders>
                  <w:vAlign w:val="center"/>
                </w:tcPr>
                <w:p w14:paraId="3A6D9DB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洗豆池</w:t>
                  </w:r>
                </w:p>
              </w:tc>
              <w:tc>
                <w:tcPr>
                  <w:tcW w:w="707" w:type="pct"/>
                  <w:tcBorders>
                    <w:tl2br w:val="nil"/>
                    <w:tr2bl w:val="nil"/>
                  </w:tcBorders>
                  <w:vAlign w:val="center"/>
                </w:tcPr>
                <w:p w14:paraId="59E27D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3个</w:t>
                  </w:r>
                </w:p>
              </w:tc>
              <w:tc>
                <w:tcPr>
                  <w:tcW w:w="1242" w:type="pct"/>
                  <w:tcBorders>
                    <w:tl2br w:val="nil"/>
                    <w:tr2bl w:val="nil"/>
                  </w:tcBorders>
                  <w:vAlign w:val="center"/>
                </w:tcPr>
                <w:p w14:paraId="4C0DA4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清洗</w:t>
                  </w:r>
                </w:p>
              </w:tc>
              <w:tc>
                <w:tcPr>
                  <w:tcW w:w="1403" w:type="pct"/>
                  <w:tcBorders>
                    <w:tl2br w:val="nil"/>
                    <w:tr2bl w:val="nil"/>
                  </w:tcBorders>
                  <w:vAlign w:val="center"/>
                </w:tcPr>
                <w:p w14:paraId="50698C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eastAsia="宋体" w:cs="Times New Roman"/>
                      <w:kern w:val="0"/>
                      <w:szCs w:val="21"/>
                      <w:lang w:val="en-US" w:eastAsia="zh-CN" w:bidi="ar"/>
                    </w:rPr>
                  </w:pPr>
                  <w:r>
                    <w:rPr>
                      <w:rFonts w:hint="eastAsia" w:ascii="宋体" w:hAnsi="宋体" w:eastAsia="宋体" w:cs="宋体"/>
                      <w:sz w:val="24"/>
                      <w:szCs w:val="24"/>
                      <w:lang w:val="en-US" w:eastAsia="zh-CN"/>
                    </w:rPr>
                    <w:t>/</w:t>
                  </w:r>
                </w:p>
              </w:tc>
            </w:tr>
            <w:tr w14:paraId="7982A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19D2CD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2</w:t>
                  </w:r>
                </w:p>
              </w:tc>
              <w:tc>
                <w:tcPr>
                  <w:tcW w:w="1110" w:type="pct"/>
                  <w:tcBorders>
                    <w:tl2br w:val="nil"/>
                    <w:tr2bl w:val="nil"/>
                  </w:tcBorders>
                  <w:vAlign w:val="center"/>
                </w:tcPr>
                <w:p w14:paraId="76A785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浸泡池</w:t>
                  </w:r>
                </w:p>
              </w:tc>
              <w:tc>
                <w:tcPr>
                  <w:tcW w:w="707" w:type="pct"/>
                  <w:tcBorders>
                    <w:tl2br w:val="nil"/>
                    <w:tr2bl w:val="nil"/>
                  </w:tcBorders>
                  <w:vAlign w:val="center"/>
                </w:tcPr>
                <w:p w14:paraId="59C5FE2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3个</w:t>
                  </w:r>
                </w:p>
              </w:tc>
              <w:tc>
                <w:tcPr>
                  <w:tcW w:w="1242" w:type="pct"/>
                  <w:tcBorders>
                    <w:tl2br w:val="nil"/>
                    <w:tr2bl w:val="nil"/>
                  </w:tcBorders>
                  <w:vAlign w:val="center"/>
                </w:tcPr>
                <w:p w14:paraId="2552D77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浸泡</w:t>
                  </w:r>
                </w:p>
              </w:tc>
              <w:tc>
                <w:tcPr>
                  <w:tcW w:w="1403" w:type="pct"/>
                  <w:tcBorders>
                    <w:tl2br w:val="nil"/>
                    <w:tr2bl w:val="nil"/>
                  </w:tcBorders>
                  <w:vAlign w:val="center"/>
                </w:tcPr>
                <w:p w14:paraId="4F01FA4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w:t>
                  </w:r>
                </w:p>
              </w:tc>
            </w:tr>
            <w:tr w14:paraId="4D079E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2CDD65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w:t>
                  </w:r>
                </w:p>
              </w:tc>
              <w:tc>
                <w:tcPr>
                  <w:tcW w:w="1110" w:type="pct"/>
                  <w:tcBorders>
                    <w:tl2br w:val="nil"/>
                    <w:tr2bl w:val="nil"/>
                  </w:tcBorders>
                  <w:vAlign w:val="center"/>
                </w:tcPr>
                <w:p w14:paraId="00701E6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磨浆机</w:t>
                  </w:r>
                </w:p>
              </w:tc>
              <w:tc>
                <w:tcPr>
                  <w:tcW w:w="707" w:type="pct"/>
                  <w:tcBorders>
                    <w:tl2br w:val="nil"/>
                    <w:tr2bl w:val="nil"/>
                  </w:tcBorders>
                  <w:vAlign w:val="center"/>
                </w:tcPr>
                <w:p w14:paraId="4AF031A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15DCCE9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磨浆、分离</w:t>
                  </w:r>
                </w:p>
              </w:tc>
              <w:tc>
                <w:tcPr>
                  <w:tcW w:w="1403" w:type="pct"/>
                  <w:tcBorders>
                    <w:tl2br w:val="nil"/>
                    <w:tr2bl w:val="nil"/>
                  </w:tcBorders>
                  <w:vAlign w:val="center"/>
                </w:tcPr>
                <w:p w14:paraId="536CBBA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w:t>
                  </w:r>
                </w:p>
              </w:tc>
            </w:tr>
            <w:tr w14:paraId="32BC1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146C8A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4</w:t>
                  </w:r>
                </w:p>
              </w:tc>
              <w:tc>
                <w:tcPr>
                  <w:tcW w:w="1110" w:type="pct"/>
                  <w:tcBorders>
                    <w:tl2br w:val="nil"/>
                    <w:tr2bl w:val="nil"/>
                  </w:tcBorders>
                  <w:vAlign w:val="center"/>
                </w:tcPr>
                <w:p w14:paraId="6518D1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蒸煮桶</w:t>
                  </w:r>
                </w:p>
              </w:tc>
              <w:tc>
                <w:tcPr>
                  <w:tcW w:w="707" w:type="pct"/>
                  <w:tcBorders>
                    <w:tl2br w:val="nil"/>
                    <w:tr2bl w:val="nil"/>
                  </w:tcBorders>
                  <w:vAlign w:val="center"/>
                </w:tcPr>
                <w:p w14:paraId="795DCC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3个</w:t>
                  </w:r>
                </w:p>
              </w:tc>
              <w:tc>
                <w:tcPr>
                  <w:tcW w:w="1242" w:type="pct"/>
                  <w:vMerge w:val="restart"/>
                  <w:tcBorders>
                    <w:tl2br w:val="nil"/>
                    <w:tr2bl w:val="nil"/>
                  </w:tcBorders>
                  <w:vAlign w:val="center"/>
                </w:tcPr>
                <w:p w14:paraId="4A9B786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蒸煮</w:t>
                  </w:r>
                </w:p>
              </w:tc>
              <w:tc>
                <w:tcPr>
                  <w:tcW w:w="1403" w:type="pct"/>
                  <w:tcBorders>
                    <w:tl2br w:val="nil"/>
                    <w:tr2bl w:val="nil"/>
                  </w:tcBorders>
                  <w:vAlign w:val="center"/>
                </w:tcPr>
                <w:p w14:paraId="43ACB6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kern w:val="0"/>
                      <w:szCs w:val="21"/>
                      <w:lang w:val="en-US" w:eastAsia="zh-CN" w:bidi="ar"/>
                    </w:rPr>
                  </w:pPr>
                  <w:r>
                    <w:rPr>
                      <w:rFonts w:hint="eastAsia" w:ascii="Times New Roman" w:hAnsi="Times New Roman" w:eastAsia="宋体" w:cs="Times New Roman"/>
                      <w:kern w:val="0"/>
                      <w:szCs w:val="21"/>
                      <w:lang w:val="en-US" w:eastAsia="zh-CN" w:bidi="ar"/>
                    </w:rPr>
                    <w:t>容量：150kg/个</w:t>
                  </w:r>
                </w:p>
              </w:tc>
            </w:tr>
            <w:tr w14:paraId="348E9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09F4F9C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5</w:t>
                  </w:r>
                </w:p>
              </w:tc>
              <w:tc>
                <w:tcPr>
                  <w:tcW w:w="1110" w:type="pct"/>
                  <w:tcBorders>
                    <w:tl2br w:val="nil"/>
                    <w:tr2bl w:val="nil"/>
                  </w:tcBorders>
                  <w:vAlign w:val="center"/>
                </w:tcPr>
                <w:p w14:paraId="7DB000B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蒸箱</w:t>
                  </w:r>
                </w:p>
              </w:tc>
              <w:tc>
                <w:tcPr>
                  <w:tcW w:w="707" w:type="pct"/>
                  <w:tcBorders>
                    <w:tl2br w:val="nil"/>
                    <w:tr2bl w:val="nil"/>
                  </w:tcBorders>
                  <w:vAlign w:val="center"/>
                </w:tcPr>
                <w:p w14:paraId="0A1365A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1台</w:t>
                  </w:r>
                </w:p>
              </w:tc>
              <w:tc>
                <w:tcPr>
                  <w:tcW w:w="1242" w:type="pct"/>
                  <w:vMerge w:val="continue"/>
                  <w:tcBorders>
                    <w:tl2br w:val="nil"/>
                    <w:tr2bl w:val="nil"/>
                  </w:tcBorders>
                  <w:vAlign w:val="center"/>
                </w:tcPr>
                <w:p w14:paraId="787CC4D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kern w:val="0"/>
                      <w:szCs w:val="21"/>
                      <w:lang w:val="en-US" w:eastAsia="zh-CN" w:bidi="ar"/>
                    </w:rPr>
                  </w:pPr>
                </w:p>
              </w:tc>
              <w:tc>
                <w:tcPr>
                  <w:tcW w:w="1403" w:type="pct"/>
                  <w:tcBorders>
                    <w:tl2br w:val="nil"/>
                    <w:tr2bl w:val="nil"/>
                  </w:tcBorders>
                  <w:vAlign w:val="center"/>
                </w:tcPr>
                <w:p w14:paraId="096EFA8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w:t>
                  </w:r>
                </w:p>
              </w:tc>
            </w:tr>
            <w:tr w14:paraId="5B3EE5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39281BA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6</w:t>
                  </w:r>
                </w:p>
              </w:tc>
              <w:tc>
                <w:tcPr>
                  <w:tcW w:w="1110" w:type="pct"/>
                  <w:tcBorders>
                    <w:tl2br w:val="nil"/>
                    <w:tr2bl w:val="nil"/>
                  </w:tcBorders>
                  <w:vAlign w:val="center"/>
                </w:tcPr>
                <w:p w14:paraId="6FBDBC5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压机</w:t>
                  </w:r>
                </w:p>
              </w:tc>
              <w:tc>
                <w:tcPr>
                  <w:tcW w:w="707" w:type="pct"/>
                  <w:tcBorders>
                    <w:tl2br w:val="nil"/>
                    <w:tr2bl w:val="nil"/>
                  </w:tcBorders>
                  <w:vAlign w:val="center"/>
                </w:tcPr>
                <w:p w14:paraId="10AD239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10CC345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压制成型</w:t>
                  </w:r>
                </w:p>
              </w:tc>
              <w:tc>
                <w:tcPr>
                  <w:tcW w:w="1403" w:type="pct"/>
                  <w:tcBorders>
                    <w:tl2br w:val="nil"/>
                    <w:tr2bl w:val="nil"/>
                  </w:tcBorders>
                  <w:vAlign w:val="center"/>
                </w:tcPr>
                <w:p w14:paraId="093CF7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kern w:val="0"/>
                      <w:szCs w:val="21"/>
                      <w:lang w:val="en-US" w:eastAsia="zh-CN" w:bidi="ar"/>
                    </w:rPr>
                  </w:pPr>
                </w:p>
              </w:tc>
            </w:tr>
            <w:tr w14:paraId="57209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4BAF68C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7</w:t>
                  </w:r>
                </w:p>
              </w:tc>
              <w:tc>
                <w:tcPr>
                  <w:tcW w:w="1110" w:type="pct"/>
                  <w:tcBorders>
                    <w:tl2br w:val="nil"/>
                    <w:tr2bl w:val="nil"/>
                  </w:tcBorders>
                  <w:vAlign w:val="center"/>
                </w:tcPr>
                <w:p w14:paraId="685F28D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不锈钢卤锅</w:t>
                  </w:r>
                </w:p>
              </w:tc>
              <w:tc>
                <w:tcPr>
                  <w:tcW w:w="707" w:type="pct"/>
                  <w:tcBorders>
                    <w:tl2br w:val="nil"/>
                    <w:tr2bl w:val="nil"/>
                  </w:tcBorders>
                  <w:vAlign w:val="center"/>
                </w:tcPr>
                <w:p w14:paraId="27352A4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6</w:t>
                  </w:r>
                  <w:r>
                    <w:rPr>
                      <w:rFonts w:hint="default" w:ascii="Times New Roman" w:hAnsi="Times New Roman" w:cs="Times New Roman"/>
                      <w:kern w:val="0"/>
                      <w:szCs w:val="21"/>
                      <w:lang w:val="en-US" w:eastAsia="zh-CN" w:bidi="ar"/>
                    </w:rPr>
                    <w:t>台</w:t>
                  </w:r>
                </w:p>
              </w:tc>
              <w:tc>
                <w:tcPr>
                  <w:tcW w:w="1242" w:type="pct"/>
                  <w:tcBorders>
                    <w:tl2br w:val="nil"/>
                    <w:tr2bl w:val="nil"/>
                  </w:tcBorders>
                  <w:vAlign w:val="center"/>
                </w:tcPr>
                <w:p w14:paraId="2827F052">
                  <w:pPr>
                    <w:keepNext w:val="0"/>
                    <w:keepLines w:val="0"/>
                    <w:pageBreakBefore w:val="0"/>
                    <w:widowControl/>
                    <w:tabs>
                      <w:tab w:val="left" w:pos="562"/>
                    </w:tabs>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卤制品生产线</w:t>
                  </w:r>
                </w:p>
              </w:tc>
              <w:tc>
                <w:tcPr>
                  <w:tcW w:w="1403" w:type="pct"/>
                  <w:tcBorders>
                    <w:tl2br w:val="nil"/>
                    <w:tr2bl w:val="nil"/>
                  </w:tcBorders>
                  <w:vAlign w:val="center"/>
                </w:tcPr>
                <w:p w14:paraId="7588CD1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w:t>
                  </w:r>
                </w:p>
              </w:tc>
            </w:tr>
            <w:tr w14:paraId="3CE2EA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536" w:type="pct"/>
                  <w:tcBorders>
                    <w:tl2br w:val="nil"/>
                    <w:tr2bl w:val="nil"/>
                  </w:tcBorders>
                  <w:shd w:val="clear" w:color="auto" w:fill="auto"/>
                  <w:vAlign w:val="center"/>
                </w:tcPr>
                <w:p w14:paraId="0D4A948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8</w:t>
                  </w:r>
                </w:p>
              </w:tc>
              <w:tc>
                <w:tcPr>
                  <w:tcW w:w="1110" w:type="pct"/>
                  <w:tcBorders>
                    <w:tl2br w:val="nil"/>
                    <w:tr2bl w:val="nil"/>
                  </w:tcBorders>
                  <w:vAlign w:val="center"/>
                </w:tcPr>
                <w:p w14:paraId="300124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食品成型机</w:t>
                  </w:r>
                </w:p>
              </w:tc>
              <w:tc>
                <w:tcPr>
                  <w:tcW w:w="707" w:type="pct"/>
                  <w:tcBorders>
                    <w:tl2br w:val="nil"/>
                    <w:tr2bl w:val="nil"/>
                  </w:tcBorders>
                  <w:vAlign w:val="center"/>
                </w:tcPr>
                <w:p w14:paraId="57E8497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6</w:t>
                  </w:r>
                  <w:r>
                    <w:rPr>
                      <w:rFonts w:hint="default" w:ascii="Times New Roman" w:hAnsi="Times New Roman" w:cs="Times New Roman"/>
                      <w:kern w:val="0"/>
                      <w:szCs w:val="21"/>
                      <w:lang w:val="en-US" w:eastAsia="zh-CN" w:bidi="ar"/>
                    </w:rPr>
                    <w:t>台</w:t>
                  </w:r>
                </w:p>
              </w:tc>
              <w:tc>
                <w:tcPr>
                  <w:tcW w:w="1242" w:type="pct"/>
                  <w:tcBorders>
                    <w:tl2br w:val="nil"/>
                    <w:tr2bl w:val="nil"/>
                  </w:tcBorders>
                  <w:vAlign w:val="center"/>
                </w:tcPr>
                <w:p w14:paraId="41E03BB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val="en-US" w:eastAsia="zh-CN" w:bidi="ar"/>
                    </w:rPr>
                    <w:t>卤制品生产线</w:t>
                  </w:r>
                </w:p>
              </w:tc>
              <w:tc>
                <w:tcPr>
                  <w:tcW w:w="1403" w:type="pct"/>
                  <w:tcBorders>
                    <w:tl2br w:val="nil"/>
                    <w:tr2bl w:val="nil"/>
                  </w:tcBorders>
                  <w:vAlign w:val="center"/>
                </w:tcPr>
                <w:p w14:paraId="6F2A13C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w:t>
                  </w:r>
                </w:p>
              </w:tc>
            </w:tr>
            <w:tr w14:paraId="64B238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571B013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9</w:t>
                  </w:r>
                </w:p>
              </w:tc>
              <w:tc>
                <w:tcPr>
                  <w:tcW w:w="1110" w:type="pct"/>
                  <w:tcBorders>
                    <w:tl2br w:val="nil"/>
                    <w:tr2bl w:val="nil"/>
                  </w:tcBorders>
                  <w:vAlign w:val="center"/>
                </w:tcPr>
                <w:p w14:paraId="28CB3E6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油炸锅</w:t>
                  </w:r>
                </w:p>
              </w:tc>
              <w:tc>
                <w:tcPr>
                  <w:tcW w:w="707" w:type="pct"/>
                  <w:tcBorders>
                    <w:tl2br w:val="nil"/>
                    <w:tr2bl w:val="nil"/>
                  </w:tcBorders>
                  <w:vAlign w:val="center"/>
                </w:tcPr>
                <w:p w14:paraId="54FA6C7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6</w:t>
                  </w:r>
                  <w:r>
                    <w:rPr>
                      <w:rFonts w:hint="default" w:ascii="Times New Roman" w:hAnsi="Times New Roman" w:cs="Times New Roman"/>
                      <w:kern w:val="0"/>
                      <w:szCs w:val="21"/>
                      <w:lang w:val="en-US" w:eastAsia="zh-CN" w:bidi="ar"/>
                    </w:rPr>
                    <w:t>台</w:t>
                  </w:r>
                </w:p>
              </w:tc>
              <w:tc>
                <w:tcPr>
                  <w:tcW w:w="1242" w:type="pct"/>
                  <w:tcBorders>
                    <w:tl2br w:val="nil"/>
                    <w:tr2bl w:val="nil"/>
                  </w:tcBorders>
                  <w:vAlign w:val="center"/>
                </w:tcPr>
                <w:p w14:paraId="47E709C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val="en-US" w:eastAsia="zh-CN" w:bidi="ar"/>
                    </w:rPr>
                    <w:t>卤制品生产线</w:t>
                  </w:r>
                </w:p>
              </w:tc>
              <w:tc>
                <w:tcPr>
                  <w:tcW w:w="1403" w:type="pct"/>
                  <w:tcBorders>
                    <w:tl2br w:val="nil"/>
                    <w:tr2bl w:val="nil"/>
                  </w:tcBorders>
                  <w:vAlign w:val="center"/>
                </w:tcPr>
                <w:p w14:paraId="42C0F22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w:t>
                  </w:r>
                </w:p>
              </w:tc>
            </w:tr>
            <w:tr w14:paraId="62973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536" w:type="pct"/>
                  <w:tcBorders>
                    <w:tl2br w:val="nil"/>
                    <w:tr2bl w:val="nil"/>
                  </w:tcBorders>
                  <w:shd w:val="clear" w:color="auto" w:fill="auto"/>
                  <w:vAlign w:val="center"/>
                </w:tcPr>
                <w:p w14:paraId="777B5FC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10</w:t>
                  </w:r>
                </w:p>
              </w:tc>
              <w:tc>
                <w:tcPr>
                  <w:tcW w:w="1110" w:type="pct"/>
                  <w:tcBorders>
                    <w:tl2br w:val="nil"/>
                    <w:tr2bl w:val="nil"/>
                  </w:tcBorders>
                  <w:vAlign w:val="center"/>
                </w:tcPr>
                <w:p w14:paraId="6F3D12C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包装/分装机</w:t>
                  </w:r>
                </w:p>
              </w:tc>
              <w:tc>
                <w:tcPr>
                  <w:tcW w:w="707" w:type="pct"/>
                  <w:tcBorders>
                    <w:tl2br w:val="nil"/>
                    <w:tr2bl w:val="nil"/>
                  </w:tcBorders>
                  <w:vAlign w:val="center"/>
                </w:tcPr>
                <w:p w14:paraId="5F069F8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6台</w:t>
                  </w:r>
                </w:p>
              </w:tc>
              <w:tc>
                <w:tcPr>
                  <w:tcW w:w="1242" w:type="pct"/>
                  <w:tcBorders>
                    <w:tl2br w:val="nil"/>
                    <w:tr2bl w:val="nil"/>
                  </w:tcBorders>
                  <w:vAlign w:val="center"/>
                </w:tcPr>
                <w:p w14:paraId="3A0FEE4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val="en-US" w:eastAsia="zh-CN" w:bidi="ar"/>
                    </w:rPr>
                    <w:t>卤制品生产线</w:t>
                  </w:r>
                </w:p>
              </w:tc>
              <w:tc>
                <w:tcPr>
                  <w:tcW w:w="1403" w:type="pct"/>
                  <w:tcBorders>
                    <w:tl2br w:val="nil"/>
                    <w:tr2bl w:val="nil"/>
                  </w:tcBorders>
                  <w:vAlign w:val="center"/>
                </w:tcPr>
                <w:p w14:paraId="46BE23A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kern w:val="0"/>
                      <w:szCs w:val="21"/>
                      <w:lang w:val="en-US" w:eastAsia="zh-CN" w:bidi="ar"/>
                    </w:rPr>
                    <w:t>/</w:t>
                  </w:r>
                </w:p>
              </w:tc>
            </w:tr>
            <w:tr w14:paraId="6D1226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36" w:type="pct"/>
                  <w:tcBorders>
                    <w:tl2br w:val="nil"/>
                    <w:tr2bl w:val="nil"/>
                  </w:tcBorders>
                  <w:shd w:val="clear" w:color="auto" w:fill="auto"/>
                  <w:vAlign w:val="center"/>
                </w:tcPr>
                <w:p w14:paraId="126557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b/>
                      <w:bCs/>
                      <w:kern w:val="0"/>
                      <w:szCs w:val="21"/>
                      <w:lang w:val="en-US" w:eastAsia="zh-CN" w:bidi="ar"/>
                    </w:rPr>
                    <w:t>三、</w:t>
                  </w:r>
                </w:p>
              </w:tc>
              <w:tc>
                <w:tcPr>
                  <w:tcW w:w="4463" w:type="pct"/>
                  <w:gridSpan w:val="4"/>
                  <w:tcBorders>
                    <w:tl2br w:val="nil"/>
                    <w:tr2bl w:val="nil"/>
                  </w:tcBorders>
                  <w:shd w:val="clear" w:color="auto" w:fill="auto"/>
                  <w:vAlign w:val="center"/>
                </w:tcPr>
                <w:p w14:paraId="53D92D5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b/>
                      <w:bCs/>
                      <w:kern w:val="0"/>
                      <w:szCs w:val="21"/>
                      <w:lang w:val="en-US" w:eastAsia="zh-CN" w:bidi="ar"/>
                    </w:rPr>
                    <w:t>乳制品、酸奶制品</w:t>
                  </w:r>
                </w:p>
              </w:tc>
            </w:tr>
            <w:tr w14:paraId="226391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2545CB9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序号</w:t>
                  </w:r>
                </w:p>
              </w:tc>
              <w:tc>
                <w:tcPr>
                  <w:tcW w:w="1110" w:type="pct"/>
                  <w:tcBorders>
                    <w:tl2br w:val="nil"/>
                    <w:tr2bl w:val="nil"/>
                  </w:tcBorders>
                  <w:shd w:val="clear" w:color="auto" w:fill="auto"/>
                  <w:vAlign w:val="center"/>
                </w:tcPr>
                <w:p w14:paraId="6C5DA8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名称</w:t>
                  </w:r>
                </w:p>
              </w:tc>
              <w:tc>
                <w:tcPr>
                  <w:tcW w:w="707" w:type="pct"/>
                  <w:tcBorders>
                    <w:tl2br w:val="nil"/>
                    <w:tr2bl w:val="nil"/>
                  </w:tcBorders>
                  <w:shd w:val="clear" w:color="auto" w:fill="auto"/>
                  <w:vAlign w:val="center"/>
                </w:tcPr>
                <w:p w14:paraId="61D3FE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数量</w:t>
                  </w:r>
                </w:p>
              </w:tc>
              <w:tc>
                <w:tcPr>
                  <w:tcW w:w="1242" w:type="pct"/>
                  <w:tcBorders>
                    <w:tl2br w:val="nil"/>
                    <w:tr2bl w:val="nil"/>
                  </w:tcBorders>
                  <w:shd w:val="clear" w:color="auto" w:fill="auto"/>
                  <w:vAlign w:val="center"/>
                </w:tcPr>
                <w:p w14:paraId="1DA3A0A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功能</w:t>
                  </w:r>
                </w:p>
              </w:tc>
              <w:tc>
                <w:tcPr>
                  <w:tcW w:w="1403" w:type="pct"/>
                  <w:tcBorders>
                    <w:tl2br w:val="nil"/>
                    <w:tr2bl w:val="nil"/>
                  </w:tcBorders>
                  <w:shd w:val="clear" w:color="auto" w:fill="auto"/>
                  <w:vAlign w:val="center"/>
                </w:tcPr>
                <w:p w14:paraId="0D25684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Cs w:val="21"/>
                      <w:lang w:val="en-US" w:eastAsia="zh-CN" w:bidi="ar"/>
                    </w:rPr>
                    <w:t>规格及型号</w:t>
                  </w:r>
                </w:p>
              </w:tc>
            </w:tr>
            <w:tr w14:paraId="1B06C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6798B1AB">
                  <w:pPr>
                    <w:pStyle w:val="93"/>
                    <w:keepNext w:val="0"/>
                    <w:keepLines w:val="0"/>
                    <w:pageBreakBefore w:val="0"/>
                    <w:widowControl w:val="0"/>
                    <w:kinsoku/>
                    <w:wordWrap/>
                    <w:topLinePunct w:val="0"/>
                    <w:autoSpaceDE/>
                    <w:autoSpaceDN/>
                    <w:bidi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color w:val="auto"/>
                    </w:rPr>
                    <w:t>1</w:t>
                  </w:r>
                </w:p>
              </w:tc>
              <w:tc>
                <w:tcPr>
                  <w:tcW w:w="1110" w:type="pct"/>
                  <w:tcBorders>
                    <w:tl2br w:val="nil"/>
                    <w:tr2bl w:val="nil"/>
                  </w:tcBorders>
                  <w:vAlign w:val="center"/>
                </w:tcPr>
                <w:p w14:paraId="54A2EA5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桶式过滤器</w:t>
                  </w:r>
                </w:p>
              </w:tc>
              <w:tc>
                <w:tcPr>
                  <w:tcW w:w="707" w:type="pct"/>
                  <w:tcBorders>
                    <w:tl2br w:val="nil"/>
                    <w:tr2bl w:val="nil"/>
                  </w:tcBorders>
                  <w:vAlign w:val="center"/>
                </w:tcPr>
                <w:p w14:paraId="7ECB630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66EFB1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5866834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管道式</w:t>
                  </w:r>
                </w:p>
              </w:tc>
            </w:tr>
            <w:tr w14:paraId="1B47A4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5FD81246">
                  <w:pPr>
                    <w:pStyle w:val="93"/>
                    <w:keepNext w:val="0"/>
                    <w:keepLines w:val="0"/>
                    <w:pageBreakBefore w:val="0"/>
                    <w:widowControl w:val="0"/>
                    <w:kinsoku/>
                    <w:wordWrap/>
                    <w:topLinePunct w:val="0"/>
                    <w:autoSpaceDE/>
                    <w:autoSpaceDN/>
                    <w:bidi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color w:val="auto"/>
                    </w:rPr>
                    <w:t>2</w:t>
                  </w:r>
                </w:p>
              </w:tc>
              <w:tc>
                <w:tcPr>
                  <w:tcW w:w="1110" w:type="pct"/>
                  <w:tcBorders>
                    <w:tl2br w:val="nil"/>
                    <w:tr2bl w:val="nil"/>
                  </w:tcBorders>
                  <w:vAlign w:val="center"/>
                </w:tcPr>
                <w:p w14:paraId="0E83258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净乳机</w:t>
                  </w:r>
                </w:p>
              </w:tc>
              <w:tc>
                <w:tcPr>
                  <w:tcW w:w="707" w:type="pct"/>
                  <w:tcBorders>
                    <w:tl2br w:val="nil"/>
                    <w:tr2bl w:val="nil"/>
                  </w:tcBorders>
                  <w:vAlign w:val="center"/>
                </w:tcPr>
                <w:p w14:paraId="3AB7715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2CF4221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6D5A73B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1t</w:t>
                  </w:r>
                </w:p>
              </w:tc>
            </w:tr>
            <w:tr w14:paraId="09D48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345580F3">
                  <w:pPr>
                    <w:pStyle w:val="93"/>
                    <w:keepNext w:val="0"/>
                    <w:keepLines w:val="0"/>
                    <w:pageBreakBefore w:val="0"/>
                    <w:widowControl w:val="0"/>
                    <w:kinsoku/>
                    <w:wordWrap/>
                    <w:topLinePunct w:val="0"/>
                    <w:autoSpaceDE/>
                    <w:autoSpaceDN/>
                    <w:bidi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color w:val="auto"/>
                    </w:rPr>
                    <w:t>3</w:t>
                  </w:r>
                </w:p>
              </w:tc>
              <w:tc>
                <w:tcPr>
                  <w:tcW w:w="1110" w:type="pct"/>
                  <w:tcBorders>
                    <w:tl2br w:val="nil"/>
                    <w:tr2bl w:val="nil"/>
                  </w:tcBorders>
                  <w:vAlign w:val="center"/>
                </w:tcPr>
                <w:p w14:paraId="73D3DEB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奶仓</w:t>
                  </w:r>
                </w:p>
              </w:tc>
              <w:tc>
                <w:tcPr>
                  <w:tcW w:w="707" w:type="pct"/>
                  <w:tcBorders>
                    <w:tl2br w:val="nil"/>
                    <w:tr2bl w:val="nil"/>
                  </w:tcBorders>
                  <w:vAlign w:val="center"/>
                </w:tcPr>
                <w:p w14:paraId="73C53DA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6台</w:t>
                  </w:r>
                </w:p>
              </w:tc>
              <w:tc>
                <w:tcPr>
                  <w:tcW w:w="1242" w:type="pct"/>
                  <w:tcBorders>
                    <w:tl2br w:val="nil"/>
                    <w:tr2bl w:val="nil"/>
                  </w:tcBorders>
                  <w:vAlign w:val="center"/>
                </w:tcPr>
                <w:p w14:paraId="77696F7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525BB4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1.5t，保温、搅拌</w:t>
                  </w:r>
                </w:p>
              </w:tc>
            </w:tr>
            <w:tr w14:paraId="1A51E4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67345D04">
                  <w:pPr>
                    <w:pStyle w:val="93"/>
                    <w:keepNext w:val="0"/>
                    <w:keepLines w:val="0"/>
                    <w:pageBreakBefore w:val="0"/>
                    <w:widowControl w:val="0"/>
                    <w:kinsoku/>
                    <w:wordWrap/>
                    <w:topLinePunct w:val="0"/>
                    <w:autoSpaceDE/>
                    <w:autoSpaceDN/>
                    <w:bidi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color w:val="auto"/>
                    </w:rPr>
                    <w:t>4</w:t>
                  </w:r>
                </w:p>
              </w:tc>
              <w:tc>
                <w:tcPr>
                  <w:tcW w:w="1110" w:type="pct"/>
                  <w:tcBorders>
                    <w:tl2br w:val="nil"/>
                    <w:tr2bl w:val="nil"/>
                  </w:tcBorders>
                  <w:vAlign w:val="center"/>
                </w:tcPr>
                <w:p w14:paraId="0017D6C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奶泵</w:t>
                  </w:r>
                </w:p>
              </w:tc>
              <w:tc>
                <w:tcPr>
                  <w:tcW w:w="707" w:type="pct"/>
                  <w:tcBorders>
                    <w:tl2br w:val="nil"/>
                    <w:tr2bl w:val="nil"/>
                  </w:tcBorders>
                  <w:vAlign w:val="center"/>
                </w:tcPr>
                <w:p w14:paraId="7E0A2FA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2CAEDC2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4084ADB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5t，ABB电机</w:t>
                  </w:r>
                </w:p>
              </w:tc>
            </w:tr>
            <w:tr w14:paraId="7CDAC5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017D0EC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val="en-US" w:eastAsia="zh-CN"/>
                    </w:rPr>
                    <w:t>5</w:t>
                  </w:r>
                </w:p>
              </w:tc>
              <w:tc>
                <w:tcPr>
                  <w:tcW w:w="1110" w:type="pct"/>
                  <w:tcBorders>
                    <w:tl2br w:val="nil"/>
                    <w:tr2bl w:val="nil"/>
                  </w:tcBorders>
                  <w:vAlign w:val="center"/>
                </w:tcPr>
                <w:p w14:paraId="43C99A1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CIP泵</w:t>
                  </w:r>
                </w:p>
              </w:tc>
              <w:tc>
                <w:tcPr>
                  <w:tcW w:w="707" w:type="pct"/>
                  <w:tcBorders>
                    <w:tl2br w:val="nil"/>
                    <w:tr2bl w:val="nil"/>
                  </w:tcBorders>
                  <w:vAlign w:val="center"/>
                </w:tcPr>
                <w:p w14:paraId="2BD9CF8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4BBEF00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3CB9DB6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5t，ABB电机</w:t>
                  </w:r>
                </w:p>
              </w:tc>
            </w:tr>
            <w:tr w14:paraId="730EDB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36880E7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c>
                <w:tcPr>
                  <w:tcW w:w="1110" w:type="pct"/>
                  <w:tcBorders>
                    <w:tl2br w:val="nil"/>
                    <w:tr2bl w:val="nil"/>
                  </w:tcBorders>
                  <w:vAlign w:val="center"/>
                </w:tcPr>
                <w:p w14:paraId="1339FCD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高剪切罐</w:t>
                  </w:r>
                </w:p>
              </w:tc>
              <w:tc>
                <w:tcPr>
                  <w:tcW w:w="707" w:type="pct"/>
                  <w:tcBorders>
                    <w:tl2br w:val="nil"/>
                    <w:tr2bl w:val="nil"/>
                  </w:tcBorders>
                  <w:vAlign w:val="center"/>
                </w:tcPr>
                <w:p w14:paraId="20D984C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53B3AE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0030D3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1000L，方形，底部乳化</w:t>
                  </w:r>
                </w:p>
              </w:tc>
            </w:tr>
            <w:tr w14:paraId="75F052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12339A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7</w:t>
                  </w:r>
                </w:p>
              </w:tc>
              <w:tc>
                <w:tcPr>
                  <w:tcW w:w="1110" w:type="pct"/>
                  <w:tcBorders>
                    <w:tl2br w:val="nil"/>
                    <w:tr2bl w:val="nil"/>
                  </w:tcBorders>
                  <w:vAlign w:val="center"/>
                </w:tcPr>
                <w:p w14:paraId="1071E19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调配罐</w:t>
                  </w:r>
                </w:p>
              </w:tc>
              <w:tc>
                <w:tcPr>
                  <w:tcW w:w="707" w:type="pct"/>
                  <w:tcBorders>
                    <w:tl2br w:val="nil"/>
                    <w:tr2bl w:val="nil"/>
                  </w:tcBorders>
                  <w:vAlign w:val="center"/>
                </w:tcPr>
                <w:p w14:paraId="1A07704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44EBCCA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A658CC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1000L，加热保温</w:t>
                  </w:r>
                </w:p>
              </w:tc>
            </w:tr>
            <w:tr w14:paraId="646869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3521105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8</w:t>
                  </w:r>
                </w:p>
              </w:tc>
              <w:tc>
                <w:tcPr>
                  <w:tcW w:w="1110" w:type="pct"/>
                  <w:tcBorders>
                    <w:tl2br w:val="nil"/>
                    <w:tr2bl w:val="nil"/>
                  </w:tcBorders>
                  <w:vAlign w:val="center"/>
                </w:tcPr>
                <w:p w14:paraId="27A5226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电加热器</w:t>
                  </w:r>
                </w:p>
              </w:tc>
              <w:tc>
                <w:tcPr>
                  <w:tcW w:w="707" w:type="pct"/>
                  <w:tcBorders>
                    <w:tl2br w:val="nil"/>
                    <w:tr2bl w:val="nil"/>
                  </w:tcBorders>
                  <w:vAlign w:val="center"/>
                </w:tcPr>
                <w:p w14:paraId="12B7683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1E9B54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6FEFB8F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不锈钢</w:t>
                  </w:r>
                </w:p>
              </w:tc>
            </w:tr>
            <w:tr w14:paraId="2E572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1D0A0F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9</w:t>
                  </w:r>
                </w:p>
              </w:tc>
              <w:tc>
                <w:tcPr>
                  <w:tcW w:w="1110" w:type="pct"/>
                  <w:tcBorders>
                    <w:tl2br w:val="nil"/>
                    <w:tr2bl w:val="nil"/>
                  </w:tcBorders>
                  <w:vAlign w:val="center"/>
                </w:tcPr>
                <w:p w14:paraId="2B889E9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kern w:val="0"/>
                      <w:szCs w:val="21"/>
                      <w:lang w:val="en-US" w:eastAsia="zh-CN" w:bidi="ar"/>
                    </w:rPr>
                  </w:pPr>
                  <w:r>
                    <w:rPr>
                      <w:rFonts w:hint="eastAsia" w:cs="Times New Roman"/>
                      <w:kern w:val="0"/>
                      <w:szCs w:val="21"/>
                      <w:lang w:val="en-US" w:eastAsia="zh-CN" w:bidi="ar"/>
                    </w:rPr>
                    <w:t>调配平台</w:t>
                  </w:r>
                </w:p>
              </w:tc>
              <w:tc>
                <w:tcPr>
                  <w:tcW w:w="707" w:type="pct"/>
                  <w:tcBorders>
                    <w:tl2br w:val="nil"/>
                    <w:tr2bl w:val="nil"/>
                  </w:tcBorders>
                  <w:vAlign w:val="center"/>
                </w:tcPr>
                <w:p w14:paraId="02123D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3座</w:t>
                  </w:r>
                </w:p>
              </w:tc>
              <w:tc>
                <w:tcPr>
                  <w:tcW w:w="1242" w:type="pct"/>
                  <w:tcBorders>
                    <w:tl2br w:val="nil"/>
                    <w:tr2bl w:val="nil"/>
                  </w:tcBorders>
                  <w:vAlign w:val="center"/>
                </w:tcPr>
                <w:p w14:paraId="61C2728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48E4D6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ABB电机</w:t>
                  </w:r>
                </w:p>
              </w:tc>
            </w:tr>
            <w:tr w14:paraId="4E119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1046E6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10</w:t>
                  </w:r>
                </w:p>
              </w:tc>
              <w:tc>
                <w:tcPr>
                  <w:tcW w:w="1110" w:type="pct"/>
                  <w:tcBorders>
                    <w:tl2br w:val="nil"/>
                    <w:tr2bl w:val="nil"/>
                  </w:tcBorders>
                  <w:vAlign w:val="center"/>
                </w:tcPr>
                <w:p w14:paraId="5EF36B2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无菌罐平台</w:t>
                  </w:r>
                </w:p>
              </w:tc>
              <w:tc>
                <w:tcPr>
                  <w:tcW w:w="707" w:type="pct"/>
                  <w:tcBorders>
                    <w:tl2br w:val="nil"/>
                    <w:tr2bl w:val="nil"/>
                  </w:tcBorders>
                  <w:vAlign w:val="center"/>
                </w:tcPr>
                <w:p w14:paraId="5BFAA20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3座</w:t>
                  </w:r>
                </w:p>
              </w:tc>
              <w:tc>
                <w:tcPr>
                  <w:tcW w:w="1242" w:type="pct"/>
                  <w:tcBorders>
                    <w:tl2br w:val="nil"/>
                    <w:tr2bl w:val="nil"/>
                  </w:tcBorders>
                  <w:vAlign w:val="center"/>
                </w:tcPr>
                <w:p w14:paraId="3B8E519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15EA8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ABB电机</w:t>
                  </w:r>
                </w:p>
              </w:tc>
            </w:tr>
            <w:tr w14:paraId="4FE866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039FDD3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9"/>
                      <w:sz w:val="21"/>
                      <w:szCs w:val="21"/>
                    </w:rPr>
                    <w:t>11</w:t>
                  </w:r>
                </w:p>
              </w:tc>
              <w:tc>
                <w:tcPr>
                  <w:tcW w:w="1110" w:type="pct"/>
                  <w:tcBorders>
                    <w:tl2br w:val="nil"/>
                    <w:tr2bl w:val="nil"/>
                  </w:tcBorders>
                  <w:vAlign w:val="center"/>
                </w:tcPr>
                <w:p w14:paraId="02CA98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酸碱中和储罐</w:t>
                  </w:r>
                </w:p>
              </w:tc>
              <w:tc>
                <w:tcPr>
                  <w:tcW w:w="707" w:type="pct"/>
                  <w:tcBorders>
                    <w:tl2br w:val="nil"/>
                    <w:tr2bl w:val="nil"/>
                  </w:tcBorders>
                  <w:vAlign w:val="center"/>
                </w:tcPr>
                <w:p w14:paraId="02B8E5D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0F7A2A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0AFCD4E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圆筒式</w:t>
                  </w:r>
                </w:p>
              </w:tc>
            </w:tr>
            <w:tr w14:paraId="573378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63D3B65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12</w:t>
                  </w:r>
                </w:p>
              </w:tc>
              <w:tc>
                <w:tcPr>
                  <w:tcW w:w="1110" w:type="pct"/>
                  <w:tcBorders>
                    <w:tl2br w:val="nil"/>
                    <w:tr2bl w:val="nil"/>
                  </w:tcBorders>
                  <w:vAlign w:val="center"/>
                </w:tcPr>
                <w:p w14:paraId="6F7CFA7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臭氧消毒设备</w:t>
                  </w:r>
                </w:p>
              </w:tc>
              <w:tc>
                <w:tcPr>
                  <w:tcW w:w="707" w:type="pct"/>
                  <w:tcBorders>
                    <w:tl2br w:val="nil"/>
                    <w:tr2bl w:val="nil"/>
                  </w:tcBorders>
                  <w:vAlign w:val="center"/>
                </w:tcPr>
                <w:p w14:paraId="1A2DDCE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27D7D7B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4AED012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w:t>
                  </w:r>
                </w:p>
              </w:tc>
            </w:tr>
            <w:tr w14:paraId="363D16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1071BBF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13</w:t>
                  </w:r>
                </w:p>
              </w:tc>
              <w:tc>
                <w:tcPr>
                  <w:tcW w:w="1110" w:type="pct"/>
                  <w:tcBorders>
                    <w:tl2br w:val="nil"/>
                    <w:tr2bl w:val="nil"/>
                  </w:tcBorders>
                  <w:vAlign w:val="center"/>
                </w:tcPr>
                <w:p w14:paraId="4586960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纯水制备设备</w:t>
                  </w:r>
                </w:p>
              </w:tc>
              <w:tc>
                <w:tcPr>
                  <w:tcW w:w="707" w:type="pct"/>
                  <w:tcBorders>
                    <w:tl2br w:val="nil"/>
                    <w:tr2bl w:val="nil"/>
                  </w:tcBorders>
                  <w:vAlign w:val="center"/>
                </w:tcPr>
                <w:p w14:paraId="5F350C0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3套</w:t>
                  </w:r>
                </w:p>
              </w:tc>
              <w:tc>
                <w:tcPr>
                  <w:tcW w:w="1242" w:type="pct"/>
                  <w:tcBorders>
                    <w:tl2br w:val="nil"/>
                    <w:tr2bl w:val="nil"/>
                  </w:tcBorders>
                  <w:vAlign w:val="center"/>
                </w:tcPr>
                <w:p w14:paraId="1C601A8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416F028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制备生产用净水</w:t>
                  </w:r>
                </w:p>
              </w:tc>
            </w:tr>
            <w:tr w14:paraId="01A593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shd w:val="clear" w:color="auto" w:fill="auto"/>
                  <w:vAlign w:val="center"/>
                </w:tcPr>
                <w:p w14:paraId="1E85D94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eastAsia" w:eastAsia="宋体" w:cs="Times New Roman"/>
                      <w:color w:val="auto"/>
                      <w:spacing w:val="-6"/>
                      <w:sz w:val="21"/>
                      <w:szCs w:val="21"/>
                      <w:lang w:val="en-US" w:eastAsia="zh-CN"/>
                    </w:rPr>
                    <w:t>14</w:t>
                  </w:r>
                </w:p>
              </w:tc>
              <w:tc>
                <w:tcPr>
                  <w:tcW w:w="1110" w:type="pct"/>
                  <w:tcBorders>
                    <w:tl2br w:val="nil"/>
                    <w:tr2bl w:val="nil"/>
                  </w:tcBorders>
                  <w:vAlign w:val="center"/>
                </w:tcPr>
                <w:p w14:paraId="670DE4E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组合式</w:t>
                  </w:r>
                </w:p>
              </w:tc>
              <w:tc>
                <w:tcPr>
                  <w:tcW w:w="707" w:type="pct"/>
                  <w:tcBorders>
                    <w:tl2br w:val="nil"/>
                    <w:tr2bl w:val="nil"/>
                  </w:tcBorders>
                  <w:vAlign w:val="center"/>
                </w:tcPr>
                <w:p w14:paraId="5C7F215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3套</w:t>
                  </w:r>
                </w:p>
              </w:tc>
              <w:tc>
                <w:tcPr>
                  <w:tcW w:w="1242" w:type="pct"/>
                  <w:tcBorders>
                    <w:tl2br w:val="nil"/>
                    <w:tr2bl w:val="nil"/>
                  </w:tcBorders>
                  <w:vAlign w:val="center"/>
                </w:tcPr>
                <w:p w14:paraId="428E98D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376307C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带板式加热</w:t>
                  </w:r>
                </w:p>
              </w:tc>
            </w:tr>
            <w:tr w14:paraId="4A368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0F82C89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15</w:t>
                  </w:r>
                </w:p>
              </w:tc>
              <w:tc>
                <w:tcPr>
                  <w:tcW w:w="1110" w:type="pct"/>
                  <w:tcBorders>
                    <w:tl2br w:val="nil"/>
                    <w:tr2bl w:val="nil"/>
                  </w:tcBorders>
                  <w:vAlign w:val="center"/>
                </w:tcPr>
                <w:p w14:paraId="0B9752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奶泵</w:t>
                  </w:r>
                </w:p>
              </w:tc>
              <w:tc>
                <w:tcPr>
                  <w:tcW w:w="707" w:type="pct"/>
                  <w:tcBorders>
                    <w:tl2br w:val="nil"/>
                    <w:tr2bl w:val="nil"/>
                  </w:tcBorders>
                  <w:vAlign w:val="center"/>
                </w:tcPr>
                <w:p w14:paraId="7C059E0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68E287E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6E91999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3t，ABB电机</w:t>
                  </w:r>
                </w:p>
              </w:tc>
            </w:tr>
            <w:tr w14:paraId="1A20C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57571F8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16</w:t>
                  </w:r>
                </w:p>
              </w:tc>
              <w:tc>
                <w:tcPr>
                  <w:tcW w:w="1110" w:type="pct"/>
                  <w:tcBorders>
                    <w:tl2br w:val="nil"/>
                    <w:tr2bl w:val="nil"/>
                  </w:tcBorders>
                  <w:vAlign w:val="center"/>
                </w:tcPr>
                <w:p w14:paraId="7DC57B3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全自动控制系统</w:t>
                  </w:r>
                </w:p>
              </w:tc>
              <w:tc>
                <w:tcPr>
                  <w:tcW w:w="707" w:type="pct"/>
                  <w:tcBorders>
                    <w:tl2br w:val="nil"/>
                    <w:tr2bl w:val="nil"/>
                  </w:tcBorders>
                  <w:vAlign w:val="center"/>
                </w:tcPr>
                <w:p w14:paraId="5AAC2D3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3套</w:t>
                  </w:r>
                </w:p>
              </w:tc>
              <w:tc>
                <w:tcPr>
                  <w:tcW w:w="1242" w:type="pct"/>
                  <w:tcBorders>
                    <w:tl2br w:val="nil"/>
                    <w:tr2bl w:val="nil"/>
                  </w:tcBorders>
                  <w:vAlign w:val="center"/>
                </w:tcPr>
                <w:p w14:paraId="2EC22EA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B0B8B7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w:t>
                  </w:r>
                </w:p>
              </w:tc>
            </w:tr>
            <w:tr w14:paraId="26D9E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5F88E5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17</w:t>
                  </w:r>
                </w:p>
              </w:tc>
              <w:tc>
                <w:tcPr>
                  <w:tcW w:w="1110" w:type="pct"/>
                  <w:tcBorders>
                    <w:tl2br w:val="nil"/>
                    <w:tr2bl w:val="nil"/>
                  </w:tcBorders>
                  <w:vAlign w:val="center"/>
                </w:tcPr>
                <w:p w14:paraId="2B3E60A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隔膜泵</w:t>
                  </w:r>
                </w:p>
              </w:tc>
              <w:tc>
                <w:tcPr>
                  <w:tcW w:w="707" w:type="pct"/>
                  <w:tcBorders>
                    <w:tl2br w:val="nil"/>
                    <w:tr2bl w:val="nil"/>
                  </w:tcBorders>
                  <w:vAlign w:val="center"/>
                </w:tcPr>
                <w:p w14:paraId="0DCB094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6台</w:t>
                  </w:r>
                </w:p>
              </w:tc>
              <w:tc>
                <w:tcPr>
                  <w:tcW w:w="1242" w:type="pct"/>
                  <w:tcBorders>
                    <w:tl2br w:val="nil"/>
                    <w:tr2bl w:val="nil"/>
                  </w:tcBorders>
                  <w:vAlign w:val="center"/>
                </w:tcPr>
                <w:p w14:paraId="2061120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0ABD857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w:t>
                  </w:r>
                </w:p>
              </w:tc>
            </w:tr>
            <w:tr w14:paraId="1C2EF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540EC7E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18</w:t>
                  </w:r>
                </w:p>
              </w:tc>
              <w:tc>
                <w:tcPr>
                  <w:tcW w:w="1110" w:type="pct"/>
                  <w:tcBorders>
                    <w:tl2br w:val="nil"/>
                    <w:tr2bl w:val="nil"/>
                  </w:tcBorders>
                  <w:vAlign w:val="center"/>
                </w:tcPr>
                <w:p w14:paraId="3692A2D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CIP塑料桶</w:t>
                  </w:r>
                </w:p>
              </w:tc>
              <w:tc>
                <w:tcPr>
                  <w:tcW w:w="707" w:type="pct"/>
                  <w:tcBorders>
                    <w:tl2br w:val="nil"/>
                    <w:tr2bl w:val="nil"/>
                  </w:tcBorders>
                  <w:vAlign w:val="center"/>
                </w:tcPr>
                <w:p w14:paraId="74D528A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7E00DF6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AAF236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p>
              </w:tc>
            </w:tr>
            <w:tr w14:paraId="5867BA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24C6F44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19</w:t>
                  </w:r>
                </w:p>
              </w:tc>
              <w:tc>
                <w:tcPr>
                  <w:tcW w:w="1110" w:type="pct"/>
                  <w:tcBorders>
                    <w:tl2br w:val="nil"/>
                    <w:tr2bl w:val="nil"/>
                  </w:tcBorders>
                  <w:vAlign w:val="center"/>
                </w:tcPr>
                <w:p w14:paraId="6135B3A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奶泵</w:t>
                  </w:r>
                </w:p>
              </w:tc>
              <w:tc>
                <w:tcPr>
                  <w:tcW w:w="707" w:type="pct"/>
                  <w:tcBorders>
                    <w:tl2br w:val="nil"/>
                    <w:tr2bl w:val="nil"/>
                  </w:tcBorders>
                  <w:vAlign w:val="center"/>
                </w:tcPr>
                <w:p w14:paraId="289150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4D5D586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2CE4CC1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3t</w:t>
                  </w:r>
                </w:p>
              </w:tc>
            </w:tr>
            <w:tr w14:paraId="031DDD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623C28F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20</w:t>
                  </w:r>
                </w:p>
              </w:tc>
              <w:tc>
                <w:tcPr>
                  <w:tcW w:w="1110" w:type="pct"/>
                  <w:tcBorders>
                    <w:tl2br w:val="nil"/>
                    <w:tr2bl w:val="nil"/>
                  </w:tcBorders>
                  <w:vAlign w:val="center"/>
                </w:tcPr>
                <w:p w14:paraId="4F49A4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可管式制冷机组</w:t>
                  </w:r>
                </w:p>
              </w:tc>
              <w:tc>
                <w:tcPr>
                  <w:tcW w:w="707" w:type="pct"/>
                  <w:tcBorders>
                    <w:tl2br w:val="nil"/>
                    <w:tr2bl w:val="nil"/>
                  </w:tcBorders>
                  <w:vAlign w:val="center"/>
                </w:tcPr>
                <w:p w14:paraId="09CD9DB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3套</w:t>
                  </w:r>
                </w:p>
              </w:tc>
              <w:tc>
                <w:tcPr>
                  <w:tcW w:w="1242" w:type="pct"/>
                  <w:tcBorders>
                    <w:tl2br w:val="nil"/>
                    <w:tr2bl w:val="nil"/>
                  </w:tcBorders>
                  <w:vAlign w:val="center"/>
                </w:tcPr>
                <w:p w14:paraId="5930DF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13DA098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w:t>
                  </w:r>
                </w:p>
              </w:tc>
            </w:tr>
            <w:tr w14:paraId="00338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vAlign w:val="center"/>
                </w:tcPr>
                <w:p w14:paraId="470324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21</w:t>
                  </w:r>
                </w:p>
              </w:tc>
              <w:tc>
                <w:tcPr>
                  <w:tcW w:w="1110" w:type="pct"/>
                  <w:tcBorders>
                    <w:tl2br w:val="nil"/>
                    <w:tr2bl w:val="nil"/>
                  </w:tcBorders>
                  <w:vAlign w:val="center"/>
                </w:tcPr>
                <w:p w14:paraId="1B2752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水罐</w:t>
                  </w:r>
                </w:p>
              </w:tc>
              <w:tc>
                <w:tcPr>
                  <w:tcW w:w="707" w:type="pct"/>
                  <w:tcBorders>
                    <w:tl2br w:val="nil"/>
                    <w:tr2bl w:val="nil"/>
                  </w:tcBorders>
                  <w:vAlign w:val="center"/>
                </w:tcPr>
                <w:p w14:paraId="5EB4CB4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3台</w:t>
                  </w:r>
                </w:p>
              </w:tc>
              <w:tc>
                <w:tcPr>
                  <w:tcW w:w="1242" w:type="pct"/>
                  <w:tcBorders>
                    <w:tl2br w:val="nil"/>
                    <w:tr2bl w:val="nil"/>
                  </w:tcBorders>
                  <w:vAlign w:val="center"/>
                </w:tcPr>
                <w:p w14:paraId="669C33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cs="Times New Roman"/>
                      <w:kern w:val="0"/>
                      <w:szCs w:val="21"/>
                      <w:lang w:val="en-US" w:eastAsia="zh-CN" w:bidi="ar"/>
                    </w:rPr>
                    <w:t>酸奶乳制品生产线</w:t>
                  </w:r>
                </w:p>
              </w:tc>
              <w:tc>
                <w:tcPr>
                  <w:tcW w:w="1403" w:type="pct"/>
                  <w:tcBorders>
                    <w:tl2br w:val="nil"/>
                    <w:tr2bl w:val="nil"/>
                  </w:tcBorders>
                  <w:vAlign w:val="center"/>
                </w:tcPr>
                <w:p w14:paraId="0B8460D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p>
              </w:tc>
            </w:tr>
            <w:tr w14:paraId="1FC9C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536" w:type="pct"/>
                  <w:tcBorders>
                    <w:tl2br w:val="nil"/>
                    <w:tr2bl w:val="nil"/>
                  </w:tcBorders>
                  <w:noWrap/>
                  <w:vAlign w:val="center"/>
                </w:tcPr>
                <w:p w14:paraId="3D3961B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kern w:val="0"/>
                      <w:szCs w:val="21"/>
                      <w:lang w:eastAsia="zh-CN" w:bidi="ar"/>
                    </w:rPr>
                  </w:pPr>
                  <w:r>
                    <w:rPr>
                      <w:rFonts w:hint="eastAsia" w:cs="Times New Roman"/>
                      <w:b/>
                      <w:bCs/>
                      <w:kern w:val="0"/>
                      <w:szCs w:val="21"/>
                      <w:lang w:val="en-US" w:eastAsia="zh-CN" w:bidi="ar"/>
                    </w:rPr>
                    <w:t>四、</w:t>
                  </w:r>
                </w:p>
              </w:tc>
              <w:tc>
                <w:tcPr>
                  <w:tcW w:w="4463" w:type="pct"/>
                  <w:gridSpan w:val="4"/>
                  <w:tcBorders>
                    <w:tl2br w:val="nil"/>
                    <w:tr2bl w:val="nil"/>
                  </w:tcBorders>
                  <w:noWrap/>
                  <w:vAlign w:val="center"/>
                </w:tcPr>
                <w:p w14:paraId="20FD227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val="en-US" w:eastAsia="zh-CN" w:bidi="ar"/>
                    </w:rPr>
                  </w:pPr>
                  <w:r>
                    <w:rPr>
                      <w:rFonts w:hint="default" w:ascii="Times New Roman" w:hAnsi="Times New Roman" w:cs="Times New Roman"/>
                      <w:b/>
                      <w:bCs/>
                      <w:kern w:val="0"/>
                      <w:szCs w:val="21"/>
                      <w:lang w:val="en-US" w:eastAsia="zh-CN" w:bidi="ar"/>
                    </w:rPr>
                    <w:t>配套污水处理设施</w:t>
                  </w:r>
                </w:p>
              </w:tc>
            </w:tr>
            <w:tr w14:paraId="6F2223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3671775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w:t>
                  </w:r>
                </w:p>
              </w:tc>
              <w:tc>
                <w:tcPr>
                  <w:tcW w:w="1110" w:type="pct"/>
                  <w:tcBorders>
                    <w:tl2br w:val="nil"/>
                    <w:tr2bl w:val="nil"/>
                  </w:tcBorders>
                  <w:noWrap/>
                  <w:vAlign w:val="center"/>
                </w:tcPr>
                <w:p w14:paraId="4A2EBC7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单座一体化污水处装置主体</w:t>
                  </w:r>
                </w:p>
              </w:tc>
              <w:tc>
                <w:tcPr>
                  <w:tcW w:w="707" w:type="pct"/>
                  <w:tcBorders>
                    <w:tl2br w:val="nil"/>
                    <w:tr2bl w:val="nil"/>
                  </w:tcBorders>
                  <w:noWrap/>
                  <w:vAlign w:val="center"/>
                </w:tcPr>
                <w:p w14:paraId="6AE70AF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1套</w:t>
                  </w:r>
                </w:p>
              </w:tc>
              <w:tc>
                <w:tcPr>
                  <w:tcW w:w="1242" w:type="pct"/>
                  <w:tcBorders>
                    <w:tl2br w:val="nil"/>
                    <w:tr2bl w:val="nil"/>
                  </w:tcBorders>
                  <w:noWrap/>
                  <w:vAlign w:val="center"/>
                </w:tcPr>
                <w:p w14:paraId="54FA57A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kern w:val="0"/>
                      <w:szCs w:val="21"/>
                      <w:lang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1888D99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m³/d</w:t>
                  </w:r>
                </w:p>
              </w:tc>
            </w:tr>
            <w:tr w14:paraId="3FEB2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0F2A312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2</w:t>
                  </w:r>
                </w:p>
              </w:tc>
              <w:tc>
                <w:tcPr>
                  <w:tcW w:w="1110" w:type="pct"/>
                  <w:tcBorders>
                    <w:tl2br w:val="nil"/>
                    <w:tr2bl w:val="nil"/>
                  </w:tcBorders>
                  <w:noWrap/>
                  <w:vAlign w:val="center"/>
                </w:tcPr>
                <w:p w14:paraId="31493789">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电磁流量计</w:t>
                  </w:r>
                </w:p>
              </w:tc>
              <w:tc>
                <w:tcPr>
                  <w:tcW w:w="707" w:type="pct"/>
                  <w:tcBorders>
                    <w:tl2br w:val="nil"/>
                    <w:tr2bl w:val="nil"/>
                  </w:tcBorders>
                  <w:vAlign w:val="center"/>
                </w:tcPr>
                <w:p w14:paraId="6E34F1D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1台</w:t>
                  </w:r>
                </w:p>
              </w:tc>
              <w:tc>
                <w:tcPr>
                  <w:tcW w:w="1242" w:type="pct"/>
                  <w:tcBorders>
                    <w:tl2br w:val="nil"/>
                    <w:tr2bl w:val="nil"/>
                  </w:tcBorders>
                  <w:noWrap/>
                  <w:vAlign w:val="center"/>
                </w:tcPr>
                <w:p w14:paraId="6DAEFBA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7CD882A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p>
              </w:tc>
            </w:tr>
            <w:tr w14:paraId="4E19AD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36" w:type="pct"/>
                  <w:tcBorders>
                    <w:tl2br w:val="nil"/>
                    <w:tr2bl w:val="nil"/>
                  </w:tcBorders>
                  <w:noWrap/>
                  <w:vAlign w:val="center"/>
                </w:tcPr>
                <w:p w14:paraId="49D1960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3</w:t>
                  </w:r>
                </w:p>
              </w:tc>
              <w:tc>
                <w:tcPr>
                  <w:tcW w:w="1110" w:type="pct"/>
                  <w:tcBorders>
                    <w:tl2br w:val="nil"/>
                    <w:tr2bl w:val="nil"/>
                  </w:tcBorders>
                  <w:noWrap/>
                  <w:vAlign w:val="center"/>
                </w:tcPr>
                <w:p w14:paraId="0EDB4386">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液位控制器</w:t>
                  </w:r>
                </w:p>
              </w:tc>
              <w:tc>
                <w:tcPr>
                  <w:tcW w:w="707" w:type="pct"/>
                  <w:tcBorders>
                    <w:tl2br w:val="nil"/>
                    <w:tr2bl w:val="nil"/>
                  </w:tcBorders>
                  <w:vAlign w:val="center"/>
                </w:tcPr>
                <w:p w14:paraId="1901C5D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套</w:t>
                  </w:r>
                </w:p>
              </w:tc>
              <w:tc>
                <w:tcPr>
                  <w:tcW w:w="1242" w:type="pct"/>
                  <w:tcBorders>
                    <w:tl2br w:val="nil"/>
                    <w:tr2bl w:val="nil"/>
                  </w:tcBorders>
                  <w:vAlign w:val="center"/>
                </w:tcPr>
                <w:p w14:paraId="7B481E5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vAlign w:val="center"/>
                </w:tcPr>
                <w:p w14:paraId="1B4E34C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3m*2.5m*3m</w:t>
                  </w:r>
                </w:p>
              </w:tc>
            </w:tr>
            <w:tr w14:paraId="1DBCD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536" w:type="pct"/>
                  <w:tcBorders>
                    <w:tl2br w:val="nil"/>
                    <w:tr2bl w:val="nil"/>
                  </w:tcBorders>
                  <w:noWrap/>
                  <w:vAlign w:val="center"/>
                </w:tcPr>
                <w:p w14:paraId="63D2D7C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4</w:t>
                  </w:r>
                </w:p>
              </w:tc>
              <w:tc>
                <w:tcPr>
                  <w:tcW w:w="1110" w:type="pct"/>
                  <w:tcBorders>
                    <w:tl2br w:val="nil"/>
                    <w:tr2bl w:val="nil"/>
                  </w:tcBorders>
                  <w:noWrap/>
                  <w:vAlign w:val="center"/>
                </w:tcPr>
                <w:p w14:paraId="46AA3F83">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sz w:val="21"/>
                      <w:szCs w:val="21"/>
                    </w:rPr>
                    <w:t>曝气风机</w:t>
                  </w:r>
                </w:p>
              </w:tc>
              <w:tc>
                <w:tcPr>
                  <w:tcW w:w="707" w:type="pct"/>
                  <w:tcBorders>
                    <w:tl2br w:val="nil"/>
                    <w:tr2bl w:val="nil"/>
                  </w:tcBorders>
                  <w:vAlign w:val="center"/>
                </w:tcPr>
                <w:p w14:paraId="7A8BF35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2台</w:t>
                  </w:r>
                </w:p>
              </w:tc>
              <w:tc>
                <w:tcPr>
                  <w:tcW w:w="1242" w:type="pct"/>
                  <w:tcBorders>
                    <w:tl2br w:val="nil"/>
                    <w:tr2bl w:val="nil"/>
                  </w:tcBorders>
                  <w:noWrap/>
                  <w:vAlign w:val="center"/>
                </w:tcPr>
                <w:p w14:paraId="572E0DF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3BE0DC1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HC-50S</w:t>
                  </w:r>
                </w:p>
              </w:tc>
            </w:tr>
            <w:tr w14:paraId="3D98A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7FD6AB8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5</w:t>
                  </w:r>
                </w:p>
              </w:tc>
              <w:tc>
                <w:tcPr>
                  <w:tcW w:w="1110" w:type="pct"/>
                  <w:tcBorders>
                    <w:tl2br w:val="nil"/>
                    <w:tr2bl w:val="nil"/>
                  </w:tcBorders>
                  <w:noWrap/>
                  <w:vAlign w:val="center"/>
                </w:tcPr>
                <w:p w14:paraId="533CCC99">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缺氧池填料及支架</w:t>
                  </w:r>
                </w:p>
              </w:tc>
              <w:tc>
                <w:tcPr>
                  <w:tcW w:w="707" w:type="pct"/>
                  <w:tcBorders>
                    <w:tl2br w:val="nil"/>
                    <w:tr2bl w:val="nil"/>
                  </w:tcBorders>
                  <w:vAlign w:val="center"/>
                </w:tcPr>
                <w:p w14:paraId="48585A5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lang w:val="en-US" w:eastAsia="zh-CN"/>
                    </w:rPr>
                    <w:t>27</w:t>
                  </w:r>
                  <w:r>
                    <w:rPr>
                      <w:rFonts w:hint="default" w:ascii="Times New Roman" w:hAnsi="Times New Roman" w:eastAsia="宋体" w:cs="Times New Roman"/>
                      <w:sz w:val="21"/>
                      <w:szCs w:val="21"/>
                    </w:rPr>
                    <w:t>m³</w:t>
                  </w:r>
                </w:p>
              </w:tc>
              <w:tc>
                <w:tcPr>
                  <w:tcW w:w="1242" w:type="pct"/>
                  <w:tcBorders>
                    <w:tl2br w:val="nil"/>
                    <w:tr2bl w:val="nil"/>
                  </w:tcBorders>
                  <w:noWrap/>
                  <w:vAlign w:val="center"/>
                </w:tcPr>
                <w:p w14:paraId="10E7535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6A90E51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立体组合填料</w:t>
                  </w:r>
                </w:p>
              </w:tc>
            </w:tr>
            <w:tr w14:paraId="3C6FD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2A8B6DE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6</w:t>
                  </w:r>
                </w:p>
              </w:tc>
              <w:tc>
                <w:tcPr>
                  <w:tcW w:w="1110" w:type="pct"/>
                  <w:tcBorders>
                    <w:tl2br w:val="nil"/>
                    <w:tr2bl w:val="nil"/>
                  </w:tcBorders>
                  <w:noWrap/>
                  <w:vAlign w:val="center"/>
                </w:tcPr>
                <w:p w14:paraId="686E6B69">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好氧池填料及支架</w:t>
                  </w:r>
                </w:p>
              </w:tc>
              <w:tc>
                <w:tcPr>
                  <w:tcW w:w="707" w:type="pct"/>
                  <w:tcBorders>
                    <w:tl2br w:val="nil"/>
                    <w:tr2bl w:val="nil"/>
                  </w:tcBorders>
                  <w:vAlign w:val="center"/>
                </w:tcPr>
                <w:p w14:paraId="3B2A9C4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lang w:val="en-US" w:eastAsia="zh-CN"/>
                    </w:rPr>
                    <w:t>54</w:t>
                  </w:r>
                  <w:r>
                    <w:rPr>
                      <w:rFonts w:hint="default" w:ascii="Times New Roman" w:hAnsi="Times New Roman" w:eastAsia="宋体" w:cs="Times New Roman"/>
                      <w:sz w:val="21"/>
                      <w:szCs w:val="21"/>
                    </w:rPr>
                    <w:t>m³</w:t>
                  </w:r>
                </w:p>
              </w:tc>
              <w:tc>
                <w:tcPr>
                  <w:tcW w:w="1242" w:type="pct"/>
                  <w:tcBorders>
                    <w:tl2br w:val="nil"/>
                    <w:tr2bl w:val="nil"/>
                  </w:tcBorders>
                  <w:noWrap/>
                  <w:vAlign w:val="center"/>
                </w:tcPr>
                <w:p w14:paraId="3AF5D29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4A91EC2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组合填料</w:t>
                  </w:r>
                </w:p>
              </w:tc>
            </w:tr>
            <w:tr w14:paraId="35731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08C5AEA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7</w:t>
                  </w:r>
                </w:p>
              </w:tc>
              <w:tc>
                <w:tcPr>
                  <w:tcW w:w="1110" w:type="pct"/>
                  <w:tcBorders>
                    <w:tl2br w:val="nil"/>
                    <w:tr2bl w:val="nil"/>
                  </w:tcBorders>
                  <w:noWrap/>
                  <w:vAlign w:val="center"/>
                </w:tcPr>
                <w:p w14:paraId="0CD6800F">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曝气器及曝气管道</w:t>
                  </w:r>
                </w:p>
              </w:tc>
              <w:tc>
                <w:tcPr>
                  <w:tcW w:w="707" w:type="pct"/>
                  <w:tcBorders>
                    <w:tl2br w:val="nil"/>
                    <w:tr2bl w:val="nil"/>
                  </w:tcBorders>
                  <w:vAlign w:val="center"/>
                </w:tcPr>
                <w:p w14:paraId="4A51284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lang w:val="en-US" w:eastAsia="zh-CN"/>
                    </w:rPr>
                    <w:t>70</w:t>
                  </w:r>
                  <w:r>
                    <w:rPr>
                      <w:rFonts w:hint="default" w:ascii="Times New Roman" w:hAnsi="Times New Roman" w:eastAsia="宋体" w:cs="Times New Roman"/>
                      <w:sz w:val="21"/>
                      <w:szCs w:val="21"/>
                    </w:rPr>
                    <w:t>套</w:t>
                  </w:r>
                </w:p>
              </w:tc>
              <w:tc>
                <w:tcPr>
                  <w:tcW w:w="1242" w:type="pct"/>
                  <w:tcBorders>
                    <w:tl2br w:val="nil"/>
                    <w:tr2bl w:val="nil"/>
                  </w:tcBorders>
                  <w:noWrap/>
                  <w:vAlign w:val="center"/>
                </w:tcPr>
                <w:p w14:paraId="301266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049B273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dn215</w:t>
                  </w:r>
                </w:p>
              </w:tc>
            </w:tr>
            <w:tr w14:paraId="7999BC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5D945C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8</w:t>
                  </w:r>
                </w:p>
              </w:tc>
              <w:tc>
                <w:tcPr>
                  <w:tcW w:w="1110" w:type="pct"/>
                  <w:tcBorders>
                    <w:tl2br w:val="nil"/>
                    <w:tr2bl w:val="nil"/>
                  </w:tcBorders>
                  <w:noWrap/>
                  <w:vAlign w:val="center"/>
                </w:tcPr>
                <w:p w14:paraId="67B3819B">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二沉池及斜管</w:t>
                  </w:r>
                </w:p>
              </w:tc>
              <w:tc>
                <w:tcPr>
                  <w:tcW w:w="707" w:type="pct"/>
                  <w:tcBorders>
                    <w:tl2br w:val="nil"/>
                    <w:tr2bl w:val="nil"/>
                  </w:tcBorders>
                  <w:noWrap/>
                  <w:vAlign w:val="center"/>
                </w:tcPr>
                <w:p w14:paraId="4492520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lang w:val="en-US" w:eastAsia="zh-CN"/>
                    </w:rPr>
                    <w:t>4.5</w:t>
                  </w:r>
                  <w:r>
                    <w:rPr>
                      <w:rFonts w:hint="default" w:ascii="Times New Roman" w:hAnsi="Times New Roman" w:eastAsia="宋体" w:cs="Times New Roman"/>
                      <w:sz w:val="21"/>
                      <w:szCs w:val="21"/>
                    </w:rPr>
                    <w:t>m³</w:t>
                  </w:r>
                </w:p>
              </w:tc>
              <w:tc>
                <w:tcPr>
                  <w:tcW w:w="1242" w:type="pct"/>
                  <w:tcBorders>
                    <w:tl2br w:val="nil"/>
                    <w:tr2bl w:val="nil"/>
                  </w:tcBorders>
                  <w:noWrap/>
                  <w:vAlign w:val="bottom"/>
                </w:tcPr>
                <w:p w14:paraId="7D97D40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1138F90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735C73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3D3BB8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9</w:t>
                  </w:r>
                </w:p>
              </w:tc>
              <w:tc>
                <w:tcPr>
                  <w:tcW w:w="1110" w:type="pct"/>
                  <w:tcBorders>
                    <w:tl2br w:val="nil"/>
                    <w:tr2bl w:val="nil"/>
                  </w:tcBorders>
                  <w:noWrap/>
                  <w:vAlign w:val="center"/>
                </w:tcPr>
                <w:p w14:paraId="140B22FA">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污泥泵</w:t>
                  </w:r>
                </w:p>
              </w:tc>
              <w:tc>
                <w:tcPr>
                  <w:tcW w:w="707" w:type="pct"/>
                  <w:tcBorders>
                    <w:tl2br w:val="nil"/>
                    <w:tr2bl w:val="nil"/>
                  </w:tcBorders>
                  <w:noWrap/>
                  <w:vAlign w:val="center"/>
                </w:tcPr>
                <w:p w14:paraId="6366D3D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1台</w:t>
                  </w:r>
                </w:p>
              </w:tc>
              <w:tc>
                <w:tcPr>
                  <w:tcW w:w="1242" w:type="pct"/>
                  <w:tcBorders>
                    <w:tl2br w:val="nil"/>
                    <w:tr2bl w:val="nil"/>
                  </w:tcBorders>
                  <w:noWrap/>
                  <w:vAlign w:val="bottom"/>
                </w:tcPr>
                <w:p w14:paraId="30973E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7B76E5F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0.75kw</w:t>
                  </w:r>
                </w:p>
              </w:tc>
            </w:tr>
            <w:tr w14:paraId="0B580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5FF37C9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10</w:t>
                  </w:r>
                </w:p>
              </w:tc>
              <w:tc>
                <w:tcPr>
                  <w:tcW w:w="1110" w:type="pct"/>
                  <w:tcBorders>
                    <w:tl2br w:val="nil"/>
                    <w:tr2bl w:val="nil"/>
                  </w:tcBorders>
                  <w:noWrap/>
                  <w:vAlign w:val="center"/>
                </w:tcPr>
                <w:p w14:paraId="5C1F01BE">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消毒计量泵</w:t>
                  </w:r>
                </w:p>
              </w:tc>
              <w:tc>
                <w:tcPr>
                  <w:tcW w:w="707" w:type="pct"/>
                  <w:tcBorders>
                    <w:tl2br w:val="nil"/>
                    <w:tr2bl w:val="nil"/>
                  </w:tcBorders>
                  <w:noWrap/>
                  <w:vAlign w:val="center"/>
                </w:tcPr>
                <w:p w14:paraId="1A65BD8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1台</w:t>
                  </w:r>
                </w:p>
              </w:tc>
              <w:tc>
                <w:tcPr>
                  <w:tcW w:w="1242" w:type="pct"/>
                  <w:tcBorders>
                    <w:tl2br w:val="nil"/>
                    <w:tr2bl w:val="nil"/>
                  </w:tcBorders>
                  <w:noWrap/>
                  <w:vAlign w:val="bottom"/>
                </w:tcPr>
                <w:p w14:paraId="2A25BD5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2796078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p>
              </w:tc>
            </w:tr>
            <w:tr w14:paraId="193C9B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536" w:type="pct"/>
                  <w:tcBorders>
                    <w:tl2br w:val="nil"/>
                    <w:tr2bl w:val="nil"/>
                  </w:tcBorders>
                  <w:noWrap/>
                  <w:vAlign w:val="center"/>
                </w:tcPr>
                <w:p w14:paraId="68655B9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11</w:t>
                  </w:r>
                </w:p>
              </w:tc>
              <w:tc>
                <w:tcPr>
                  <w:tcW w:w="1110" w:type="pct"/>
                  <w:tcBorders>
                    <w:tl2br w:val="nil"/>
                    <w:tr2bl w:val="nil"/>
                  </w:tcBorders>
                  <w:noWrap/>
                  <w:vAlign w:val="center"/>
                </w:tcPr>
                <w:p w14:paraId="3E393AA9">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消化液回流泵</w:t>
                  </w:r>
                </w:p>
              </w:tc>
              <w:tc>
                <w:tcPr>
                  <w:tcW w:w="707" w:type="pct"/>
                  <w:tcBorders>
                    <w:tl2br w:val="nil"/>
                    <w:tr2bl w:val="nil"/>
                  </w:tcBorders>
                  <w:noWrap/>
                  <w:vAlign w:val="center"/>
                </w:tcPr>
                <w:p w14:paraId="10A796A7">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kern w:val="0"/>
                      <w:sz w:val="21"/>
                      <w:szCs w:val="21"/>
                      <w:lang w:bidi="ar"/>
                    </w:rPr>
                  </w:pPr>
                  <w:r>
                    <w:rPr>
                      <w:rFonts w:hint="default" w:ascii="Times New Roman" w:hAnsi="Times New Roman" w:eastAsia="宋体" w:cs="Times New Roman"/>
                      <w:sz w:val="21"/>
                      <w:szCs w:val="21"/>
                    </w:rPr>
                    <w:t>1台</w:t>
                  </w:r>
                </w:p>
              </w:tc>
              <w:tc>
                <w:tcPr>
                  <w:tcW w:w="1242" w:type="pct"/>
                  <w:tcBorders>
                    <w:tl2br w:val="nil"/>
                    <w:tr2bl w:val="nil"/>
                  </w:tcBorders>
                  <w:noWrap/>
                  <w:vAlign w:val="center"/>
                </w:tcPr>
                <w:p w14:paraId="2C65F15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4E105909">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QW10，扬程8m，功率0.75Kw</w:t>
                  </w:r>
                </w:p>
              </w:tc>
            </w:tr>
            <w:tr w14:paraId="333E27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7DD4D0A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12</w:t>
                  </w:r>
                </w:p>
              </w:tc>
              <w:tc>
                <w:tcPr>
                  <w:tcW w:w="1110" w:type="pct"/>
                  <w:tcBorders>
                    <w:tl2br w:val="nil"/>
                    <w:tr2bl w:val="nil"/>
                  </w:tcBorders>
                  <w:noWrap/>
                  <w:vAlign w:val="center"/>
                </w:tcPr>
                <w:p w14:paraId="182E7E23">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000000"/>
                      <w:sz w:val="21"/>
                      <w:szCs w:val="21"/>
                    </w:rPr>
                    <w:t>次氯酸钠发生器</w:t>
                  </w:r>
                </w:p>
              </w:tc>
              <w:tc>
                <w:tcPr>
                  <w:tcW w:w="707" w:type="pct"/>
                  <w:tcBorders>
                    <w:tl2br w:val="nil"/>
                    <w:tr2bl w:val="nil"/>
                  </w:tcBorders>
                  <w:noWrap/>
                  <w:vAlign w:val="center"/>
                </w:tcPr>
                <w:p w14:paraId="69CD4B5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rPr>
                    <w:t>1套</w:t>
                  </w:r>
                </w:p>
              </w:tc>
              <w:tc>
                <w:tcPr>
                  <w:tcW w:w="1242" w:type="pct"/>
                  <w:tcBorders>
                    <w:tl2br w:val="nil"/>
                    <w:tr2bl w:val="nil"/>
                  </w:tcBorders>
                  <w:noWrap/>
                  <w:vAlign w:val="center"/>
                </w:tcPr>
                <w:p w14:paraId="6329515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35C6623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17BDB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7FC6211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13</w:t>
                  </w:r>
                </w:p>
              </w:tc>
              <w:tc>
                <w:tcPr>
                  <w:tcW w:w="1110" w:type="pct"/>
                  <w:tcBorders>
                    <w:tl2br w:val="nil"/>
                    <w:tr2bl w:val="nil"/>
                  </w:tcBorders>
                  <w:noWrap/>
                  <w:vAlign w:val="center"/>
                </w:tcPr>
                <w:p w14:paraId="0CD53948">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中水池提升泵</w:t>
                  </w:r>
                </w:p>
              </w:tc>
              <w:tc>
                <w:tcPr>
                  <w:tcW w:w="707" w:type="pct"/>
                  <w:tcBorders>
                    <w:tl2br w:val="nil"/>
                    <w:tr2bl w:val="nil"/>
                  </w:tcBorders>
                  <w:noWrap/>
                  <w:vAlign w:val="center"/>
                </w:tcPr>
                <w:p w14:paraId="4A26A75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2台</w:t>
                  </w:r>
                </w:p>
              </w:tc>
              <w:tc>
                <w:tcPr>
                  <w:tcW w:w="1242" w:type="pct"/>
                  <w:tcBorders>
                    <w:tl2br w:val="nil"/>
                    <w:tr2bl w:val="nil"/>
                  </w:tcBorders>
                  <w:noWrap/>
                  <w:vAlign w:val="center"/>
                </w:tcPr>
                <w:p w14:paraId="77B383A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4029AD6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kw</w:t>
                  </w:r>
                  <w:r>
                    <w:rPr>
                      <w:rFonts w:hint="eastAsia" w:cs="Times New Roman"/>
                      <w:sz w:val="21"/>
                      <w:szCs w:val="21"/>
                      <w:lang w:eastAsia="zh-CN"/>
                    </w:rPr>
                    <w:t>，</w:t>
                  </w:r>
                </w:p>
              </w:tc>
            </w:tr>
            <w:tr w14:paraId="36E63D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6F8FCA4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14</w:t>
                  </w:r>
                </w:p>
              </w:tc>
              <w:tc>
                <w:tcPr>
                  <w:tcW w:w="1110" w:type="pct"/>
                  <w:tcBorders>
                    <w:tl2br w:val="nil"/>
                    <w:tr2bl w:val="nil"/>
                  </w:tcBorders>
                  <w:noWrap/>
                  <w:vAlign w:val="center"/>
                </w:tcPr>
                <w:p w14:paraId="39780879">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超越水泵</w:t>
                  </w:r>
                </w:p>
              </w:tc>
              <w:tc>
                <w:tcPr>
                  <w:tcW w:w="707" w:type="pct"/>
                  <w:tcBorders>
                    <w:tl2br w:val="nil"/>
                    <w:tr2bl w:val="nil"/>
                  </w:tcBorders>
                  <w:noWrap/>
                  <w:vAlign w:val="center"/>
                </w:tcPr>
                <w:p w14:paraId="386A355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1台</w:t>
                  </w:r>
                </w:p>
              </w:tc>
              <w:tc>
                <w:tcPr>
                  <w:tcW w:w="1242" w:type="pct"/>
                  <w:tcBorders>
                    <w:tl2br w:val="nil"/>
                    <w:tr2bl w:val="nil"/>
                  </w:tcBorders>
                  <w:noWrap/>
                  <w:vAlign w:val="center"/>
                </w:tcPr>
                <w:p w14:paraId="69AECDA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6E90EEE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1.1kw</w:t>
                  </w:r>
                </w:p>
              </w:tc>
            </w:tr>
            <w:tr w14:paraId="0132C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3F07F58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15</w:t>
                  </w:r>
                </w:p>
              </w:tc>
              <w:tc>
                <w:tcPr>
                  <w:tcW w:w="1110" w:type="pct"/>
                  <w:tcBorders>
                    <w:tl2br w:val="nil"/>
                    <w:tr2bl w:val="nil"/>
                  </w:tcBorders>
                  <w:noWrap/>
                  <w:vAlign w:val="center"/>
                </w:tcPr>
                <w:p w14:paraId="4C349325">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管道、阀门、管件</w:t>
                  </w:r>
                </w:p>
              </w:tc>
              <w:tc>
                <w:tcPr>
                  <w:tcW w:w="707" w:type="pct"/>
                  <w:tcBorders>
                    <w:tl2br w:val="nil"/>
                    <w:tr2bl w:val="nil"/>
                  </w:tcBorders>
                  <w:noWrap/>
                  <w:vAlign w:val="center"/>
                </w:tcPr>
                <w:p w14:paraId="2F2A021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1批</w:t>
                  </w:r>
                </w:p>
              </w:tc>
              <w:tc>
                <w:tcPr>
                  <w:tcW w:w="1242" w:type="pct"/>
                  <w:tcBorders>
                    <w:tl2br w:val="nil"/>
                    <w:tr2bl w:val="nil"/>
                  </w:tcBorders>
                  <w:noWrap/>
                  <w:vAlign w:val="center"/>
                </w:tcPr>
                <w:p w14:paraId="0D3267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6F6C9FA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02347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30786C0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16</w:t>
                  </w:r>
                </w:p>
              </w:tc>
              <w:tc>
                <w:tcPr>
                  <w:tcW w:w="1110" w:type="pct"/>
                  <w:tcBorders>
                    <w:tl2br w:val="nil"/>
                    <w:tr2bl w:val="nil"/>
                  </w:tcBorders>
                  <w:noWrap/>
                  <w:vAlign w:val="center"/>
                </w:tcPr>
                <w:p w14:paraId="0D676738">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电器控制</w:t>
                  </w:r>
                </w:p>
              </w:tc>
              <w:tc>
                <w:tcPr>
                  <w:tcW w:w="707" w:type="pct"/>
                  <w:tcBorders>
                    <w:tl2br w:val="nil"/>
                    <w:tr2bl w:val="nil"/>
                  </w:tcBorders>
                  <w:noWrap/>
                  <w:vAlign w:val="center"/>
                </w:tcPr>
                <w:p w14:paraId="54BF7A7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1台</w:t>
                  </w:r>
                </w:p>
              </w:tc>
              <w:tc>
                <w:tcPr>
                  <w:tcW w:w="1242" w:type="pct"/>
                  <w:tcBorders>
                    <w:tl2br w:val="nil"/>
                    <w:tr2bl w:val="nil"/>
                  </w:tcBorders>
                  <w:noWrap/>
                  <w:vAlign w:val="center"/>
                </w:tcPr>
                <w:p w14:paraId="5C454F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76E15D6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PLC控制柜</w:t>
                  </w:r>
                </w:p>
              </w:tc>
            </w:tr>
            <w:tr w14:paraId="0AFF5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094B1CD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17</w:t>
                  </w:r>
                </w:p>
              </w:tc>
              <w:tc>
                <w:tcPr>
                  <w:tcW w:w="1110" w:type="pct"/>
                  <w:tcBorders>
                    <w:tl2br w:val="nil"/>
                    <w:tr2bl w:val="nil"/>
                  </w:tcBorders>
                  <w:noWrap/>
                  <w:vAlign w:val="center"/>
                </w:tcPr>
                <w:p w14:paraId="3C1B819E">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电线电缆</w:t>
                  </w:r>
                </w:p>
              </w:tc>
              <w:tc>
                <w:tcPr>
                  <w:tcW w:w="707" w:type="pct"/>
                  <w:tcBorders>
                    <w:tl2br w:val="nil"/>
                    <w:tr2bl w:val="nil"/>
                  </w:tcBorders>
                  <w:noWrap/>
                  <w:vAlign w:val="center"/>
                </w:tcPr>
                <w:p w14:paraId="30AC63B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rPr>
                    <w:t>1批</w:t>
                  </w:r>
                </w:p>
              </w:tc>
              <w:tc>
                <w:tcPr>
                  <w:tcW w:w="1242" w:type="pct"/>
                  <w:tcBorders>
                    <w:tl2br w:val="nil"/>
                    <w:tr2bl w:val="nil"/>
                  </w:tcBorders>
                  <w:noWrap/>
                  <w:vAlign w:val="center"/>
                </w:tcPr>
                <w:p w14:paraId="04FD10C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05B4138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49BD7D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33ED82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18</w:t>
                  </w:r>
                </w:p>
              </w:tc>
              <w:tc>
                <w:tcPr>
                  <w:tcW w:w="1110" w:type="pct"/>
                  <w:tcBorders>
                    <w:tl2br w:val="nil"/>
                    <w:tr2bl w:val="nil"/>
                  </w:tcBorders>
                  <w:noWrap/>
                  <w:vAlign w:val="center"/>
                </w:tcPr>
                <w:p w14:paraId="4983A558">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eastAsia" w:cs="Times New Roman"/>
                      <w:sz w:val="21"/>
                      <w:szCs w:val="21"/>
                      <w:lang w:val="en-US" w:eastAsia="zh-CN"/>
                    </w:rPr>
                    <w:t>防渗</w:t>
                  </w:r>
                  <w:r>
                    <w:rPr>
                      <w:rFonts w:hint="default" w:ascii="Times New Roman" w:hAnsi="Times New Roman" w:eastAsia="宋体" w:cs="Times New Roman"/>
                      <w:sz w:val="21"/>
                      <w:szCs w:val="21"/>
                      <w:lang w:val="en-US" w:eastAsia="zh-CN"/>
                    </w:rPr>
                    <w:t>化粪池</w:t>
                  </w:r>
                </w:p>
              </w:tc>
              <w:tc>
                <w:tcPr>
                  <w:tcW w:w="707" w:type="pct"/>
                  <w:tcBorders>
                    <w:tl2br w:val="nil"/>
                    <w:tr2bl w:val="nil"/>
                  </w:tcBorders>
                  <w:noWrap/>
                  <w:vAlign w:val="center"/>
                </w:tcPr>
                <w:p w14:paraId="7A2387D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1台</w:t>
                  </w:r>
                </w:p>
              </w:tc>
              <w:tc>
                <w:tcPr>
                  <w:tcW w:w="1242" w:type="pct"/>
                  <w:tcBorders>
                    <w:tl2br w:val="nil"/>
                    <w:tr2bl w:val="nil"/>
                  </w:tcBorders>
                  <w:noWrap/>
                  <w:vAlign w:val="center"/>
                </w:tcPr>
                <w:p w14:paraId="27D6D9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5C0E10C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FF0000"/>
                      <w:sz w:val="21"/>
                      <w:szCs w:val="21"/>
                      <w:lang w:val="en-US" w:eastAsia="zh-CN"/>
                    </w:rPr>
                    <w:t>80立方</w:t>
                  </w:r>
                </w:p>
              </w:tc>
            </w:tr>
            <w:tr w14:paraId="736011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54F2FEE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19</w:t>
                  </w:r>
                </w:p>
              </w:tc>
              <w:tc>
                <w:tcPr>
                  <w:tcW w:w="1110" w:type="pct"/>
                  <w:tcBorders>
                    <w:tl2br w:val="nil"/>
                    <w:tr2bl w:val="nil"/>
                  </w:tcBorders>
                  <w:noWrap/>
                  <w:vAlign w:val="center"/>
                </w:tcPr>
                <w:p w14:paraId="2660120A">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气浮机</w:t>
                  </w:r>
                </w:p>
              </w:tc>
              <w:tc>
                <w:tcPr>
                  <w:tcW w:w="707" w:type="pct"/>
                  <w:tcBorders>
                    <w:tl2br w:val="nil"/>
                    <w:tr2bl w:val="nil"/>
                  </w:tcBorders>
                  <w:noWrap/>
                  <w:vAlign w:val="center"/>
                </w:tcPr>
                <w:p w14:paraId="6B57688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1台</w:t>
                  </w:r>
                </w:p>
              </w:tc>
              <w:tc>
                <w:tcPr>
                  <w:tcW w:w="1242" w:type="pct"/>
                  <w:tcBorders>
                    <w:tl2br w:val="nil"/>
                    <w:tr2bl w:val="nil"/>
                  </w:tcBorders>
                  <w:noWrap/>
                  <w:vAlign w:val="center"/>
                </w:tcPr>
                <w:p w14:paraId="4B6499D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59135FD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外型尺寸</w:t>
                  </w: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m*2.2m*2.2m，</w:t>
                  </w:r>
                </w:p>
                <w:p w14:paraId="7CB369B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含爬梯</w:t>
                  </w:r>
                  <w:r>
                    <w:rPr>
                      <w:rFonts w:hint="eastAsia" w:cs="Times New Roman"/>
                      <w:sz w:val="21"/>
                      <w:szCs w:val="21"/>
                      <w:lang w:val="en-US" w:eastAsia="zh-CN"/>
                    </w:rPr>
                    <w:t>）</w:t>
                  </w:r>
                </w:p>
              </w:tc>
            </w:tr>
            <w:tr w14:paraId="44427C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4A8B5D0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20</w:t>
                  </w:r>
                </w:p>
              </w:tc>
              <w:tc>
                <w:tcPr>
                  <w:tcW w:w="1110" w:type="pct"/>
                  <w:tcBorders>
                    <w:tl2br w:val="nil"/>
                    <w:tr2bl w:val="nil"/>
                  </w:tcBorders>
                  <w:noWrap/>
                  <w:vAlign w:val="center"/>
                </w:tcPr>
                <w:p w14:paraId="49B68294">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气浮机配件</w:t>
                  </w:r>
                </w:p>
              </w:tc>
              <w:tc>
                <w:tcPr>
                  <w:tcW w:w="707" w:type="pct"/>
                  <w:tcBorders>
                    <w:tl2br w:val="nil"/>
                    <w:tr2bl w:val="nil"/>
                  </w:tcBorders>
                  <w:noWrap/>
                  <w:vAlign w:val="center"/>
                </w:tcPr>
                <w:p w14:paraId="4115C90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1台</w:t>
                  </w:r>
                </w:p>
              </w:tc>
              <w:tc>
                <w:tcPr>
                  <w:tcW w:w="1242" w:type="pct"/>
                  <w:tcBorders>
                    <w:tl2br w:val="nil"/>
                    <w:tr2bl w:val="nil"/>
                  </w:tcBorders>
                  <w:noWrap/>
                  <w:vAlign w:val="center"/>
                </w:tcPr>
                <w:p w14:paraId="2C160C9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267680D8">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529290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5A417C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21</w:t>
                  </w:r>
                </w:p>
              </w:tc>
              <w:tc>
                <w:tcPr>
                  <w:tcW w:w="1110" w:type="pct"/>
                  <w:tcBorders>
                    <w:tl2br w:val="nil"/>
                    <w:tr2bl w:val="nil"/>
                  </w:tcBorders>
                  <w:noWrap/>
                  <w:vAlign w:val="center"/>
                </w:tcPr>
                <w:p w14:paraId="6B481B7A">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气浮机设备间</w:t>
                  </w:r>
                </w:p>
              </w:tc>
              <w:tc>
                <w:tcPr>
                  <w:tcW w:w="707" w:type="pct"/>
                  <w:tcBorders>
                    <w:tl2br w:val="nil"/>
                    <w:tr2bl w:val="nil"/>
                  </w:tcBorders>
                  <w:noWrap/>
                  <w:vAlign w:val="center"/>
                </w:tcPr>
                <w:p w14:paraId="35F5F6D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1台</w:t>
                  </w:r>
                </w:p>
              </w:tc>
              <w:tc>
                <w:tcPr>
                  <w:tcW w:w="1242" w:type="pct"/>
                  <w:tcBorders>
                    <w:tl2br w:val="nil"/>
                    <w:tr2bl w:val="nil"/>
                  </w:tcBorders>
                  <w:noWrap/>
                  <w:vAlign w:val="center"/>
                </w:tcPr>
                <w:p w14:paraId="55E6C63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0BFA12E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r>
            <w:tr w14:paraId="0B6604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7EB7332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22</w:t>
                  </w:r>
                </w:p>
              </w:tc>
              <w:tc>
                <w:tcPr>
                  <w:tcW w:w="1110" w:type="pct"/>
                  <w:tcBorders>
                    <w:tl2br w:val="nil"/>
                    <w:tr2bl w:val="nil"/>
                  </w:tcBorders>
                  <w:noWrap/>
                  <w:vAlign w:val="center"/>
                </w:tcPr>
                <w:p w14:paraId="4C2D3961">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设备间</w:t>
                  </w:r>
                </w:p>
              </w:tc>
              <w:tc>
                <w:tcPr>
                  <w:tcW w:w="707" w:type="pct"/>
                  <w:tcBorders>
                    <w:tl2br w:val="nil"/>
                    <w:tr2bl w:val="nil"/>
                  </w:tcBorders>
                  <w:noWrap/>
                  <w:vAlign w:val="center"/>
                </w:tcPr>
                <w:p w14:paraId="7817BE09">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1座</w:t>
                  </w:r>
                </w:p>
              </w:tc>
              <w:tc>
                <w:tcPr>
                  <w:tcW w:w="1242" w:type="pct"/>
                  <w:tcBorders>
                    <w:tl2br w:val="nil"/>
                    <w:tr2bl w:val="nil"/>
                  </w:tcBorders>
                  <w:noWrap/>
                  <w:vAlign w:val="center"/>
                </w:tcPr>
                <w:p w14:paraId="4E3C43E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sz w:val="21"/>
                      <w:szCs w:val="21"/>
                    </w:rPr>
                    <w:t>/</w:t>
                  </w:r>
                </w:p>
              </w:tc>
              <w:tc>
                <w:tcPr>
                  <w:tcW w:w="1403" w:type="pct"/>
                  <w:tcBorders>
                    <w:tl2br w:val="nil"/>
                    <w:tr2bl w:val="nil"/>
                  </w:tcBorders>
                  <w:shd w:val="clear" w:color="auto" w:fill="auto"/>
                  <w:noWrap/>
                  <w:vAlign w:val="center"/>
                </w:tcPr>
                <w:p w14:paraId="698A5B8C">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3m*4m*2.6m</w:t>
                  </w:r>
                </w:p>
              </w:tc>
            </w:tr>
            <w:tr w14:paraId="536F0D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7ED883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kern w:val="0"/>
                      <w:szCs w:val="21"/>
                      <w:highlight w:val="none"/>
                      <w:lang w:eastAsia="zh-CN" w:bidi="ar"/>
                    </w:rPr>
                  </w:pPr>
                  <w:r>
                    <w:rPr>
                      <w:rFonts w:hint="eastAsia" w:cs="Times New Roman"/>
                      <w:b/>
                      <w:bCs/>
                      <w:kern w:val="0"/>
                      <w:szCs w:val="21"/>
                      <w:highlight w:val="none"/>
                      <w:lang w:val="en-US" w:eastAsia="zh-CN" w:bidi="ar"/>
                    </w:rPr>
                    <w:t>五</w:t>
                  </w:r>
                </w:p>
              </w:tc>
              <w:tc>
                <w:tcPr>
                  <w:tcW w:w="4463" w:type="pct"/>
                  <w:gridSpan w:val="4"/>
                  <w:tcBorders>
                    <w:tl2br w:val="nil"/>
                    <w:tr2bl w:val="nil"/>
                  </w:tcBorders>
                  <w:noWrap/>
                  <w:vAlign w:val="center"/>
                </w:tcPr>
                <w:p w14:paraId="68687EC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highlight w:val="none"/>
                      <w:lang w:bidi="ar"/>
                    </w:rPr>
                  </w:pPr>
                  <w:r>
                    <w:rPr>
                      <w:rFonts w:hint="default" w:ascii="Times New Roman" w:hAnsi="Times New Roman" w:cs="Times New Roman"/>
                      <w:b/>
                      <w:bCs/>
                      <w:kern w:val="0"/>
                      <w:szCs w:val="21"/>
                      <w:highlight w:val="none"/>
                      <w:lang w:bidi="ar"/>
                    </w:rPr>
                    <w:t>锅炉</w:t>
                  </w:r>
                </w:p>
              </w:tc>
            </w:tr>
            <w:tr w14:paraId="6E8B68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536" w:type="pct"/>
                  <w:tcBorders>
                    <w:tl2br w:val="nil"/>
                    <w:tr2bl w:val="nil"/>
                  </w:tcBorders>
                  <w:noWrap/>
                  <w:vAlign w:val="center"/>
                </w:tcPr>
                <w:p w14:paraId="251490A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bCs/>
                      <w:kern w:val="0"/>
                      <w:szCs w:val="21"/>
                      <w:highlight w:val="none"/>
                      <w:lang w:bidi="ar"/>
                    </w:rPr>
                  </w:pPr>
                  <w:r>
                    <w:rPr>
                      <w:rFonts w:hint="default" w:ascii="Times New Roman" w:hAnsi="Times New Roman" w:cs="Times New Roman"/>
                      <w:kern w:val="0"/>
                      <w:szCs w:val="21"/>
                      <w:highlight w:val="none"/>
                      <w:lang w:bidi="ar"/>
                    </w:rPr>
                    <w:t>1</w:t>
                  </w:r>
                </w:p>
              </w:tc>
              <w:tc>
                <w:tcPr>
                  <w:tcW w:w="1110" w:type="pct"/>
                  <w:tcBorders>
                    <w:tl2br w:val="nil"/>
                    <w:tr2bl w:val="nil"/>
                  </w:tcBorders>
                  <w:noWrap/>
                  <w:vAlign w:val="center"/>
                </w:tcPr>
                <w:p w14:paraId="76410A59">
                  <w:pPr>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eastAsia="宋体" w:cs="Times New Roman"/>
                      <w:kern w:val="0"/>
                      <w:szCs w:val="21"/>
                      <w:highlight w:val="none"/>
                      <w:lang w:val="en-US" w:eastAsia="zh-CN" w:bidi="ar"/>
                    </w:rPr>
                  </w:pPr>
                  <w:r>
                    <w:rPr>
                      <w:rFonts w:hint="eastAsia" w:ascii="Times New Roman" w:hAnsi="Times New Roman" w:cs="Times New Roman"/>
                      <w:kern w:val="0"/>
                      <w:szCs w:val="21"/>
                      <w:highlight w:val="none"/>
                      <w:lang w:val="en-US" w:eastAsia="zh-CN" w:bidi="ar"/>
                    </w:rPr>
                    <w:t>常压一体化电热水锅炉</w:t>
                  </w:r>
                </w:p>
              </w:tc>
              <w:tc>
                <w:tcPr>
                  <w:tcW w:w="707" w:type="pct"/>
                  <w:tcBorders>
                    <w:tl2br w:val="nil"/>
                    <w:tr2bl w:val="nil"/>
                  </w:tcBorders>
                  <w:vAlign w:val="center"/>
                </w:tcPr>
                <w:p w14:paraId="34AB1F0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kern w:val="0"/>
                      <w:szCs w:val="21"/>
                      <w:highlight w:val="none"/>
                      <w:lang w:val="en-US" w:eastAsia="zh-CN" w:bidi="ar"/>
                    </w:rPr>
                  </w:pPr>
                  <w:r>
                    <w:rPr>
                      <w:rFonts w:hint="default" w:ascii="Times New Roman" w:hAnsi="Times New Roman" w:cs="Times New Roman"/>
                      <w:kern w:val="0"/>
                      <w:szCs w:val="21"/>
                      <w:highlight w:val="none"/>
                      <w:lang w:bidi="ar"/>
                    </w:rPr>
                    <w:t>1</w:t>
                  </w:r>
                  <w:r>
                    <w:rPr>
                      <w:rFonts w:hint="eastAsia" w:ascii="Times New Roman" w:hAnsi="Times New Roman" w:cs="Times New Roman"/>
                      <w:kern w:val="0"/>
                      <w:szCs w:val="21"/>
                      <w:highlight w:val="none"/>
                      <w:lang w:val="en-US" w:eastAsia="zh-CN" w:bidi="ar"/>
                    </w:rPr>
                    <w:t>套</w:t>
                  </w:r>
                </w:p>
              </w:tc>
              <w:tc>
                <w:tcPr>
                  <w:tcW w:w="1242" w:type="pct"/>
                  <w:tcBorders>
                    <w:tl2br w:val="nil"/>
                    <w:tr2bl w:val="nil"/>
                  </w:tcBorders>
                  <w:vAlign w:val="center"/>
                </w:tcPr>
                <w:p w14:paraId="57E2EAB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kern w:val="0"/>
                      <w:szCs w:val="21"/>
                      <w:highlight w:val="none"/>
                      <w:lang w:eastAsia="zh-CN" w:bidi="ar"/>
                    </w:rPr>
                  </w:pPr>
                  <w:r>
                    <w:rPr>
                      <w:rFonts w:hint="eastAsia" w:ascii="Times New Roman" w:hAnsi="Times New Roman" w:cs="Times New Roman"/>
                      <w:kern w:val="0"/>
                      <w:szCs w:val="21"/>
                      <w:highlight w:val="none"/>
                      <w:lang w:val="en-US" w:eastAsia="zh-CN" w:bidi="ar"/>
                    </w:rPr>
                    <w:t>/</w:t>
                  </w:r>
                </w:p>
              </w:tc>
              <w:tc>
                <w:tcPr>
                  <w:tcW w:w="1403" w:type="pct"/>
                  <w:tcBorders>
                    <w:tl2br w:val="nil"/>
                    <w:tr2bl w:val="nil"/>
                  </w:tcBorders>
                  <w:vAlign w:val="center"/>
                </w:tcPr>
                <w:p w14:paraId="5C13ABC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kern w:val="0"/>
                      <w:szCs w:val="21"/>
                      <w:lang w:val="en-US" w:eastAsia="zh-CN" w:bidi="ar"/>
                    </w:rPr>
                  </w:pPr>
                  <w:r>
                    <w:rPr>
                      <w:rFonts w:hint="eastAsia" w:ascii="Times New Roman" w:hAnsi="Times New Roman" w:cs="Times New Roman"/>
                      <w:kern w:val="0"/>
                      <w:szCs w:val="21"/>
                      <w:lang w:val="en-US" w:eastAsia="zh-CN" w:bidi="ar"/>
                    </w:rPr>
                    <w:t>300kW</w:t>
                  </w:r>
                </w:p>
              </w:tc>
            </w:tr>
          </w:tbl>
          <w:p w14:paraId="23D61362">
            <w:pPr>
              <w:pStyle w:val="5"/>
              <w:ind w:firstLine="482"/>
              <w:rPr>
                <w:rFonts w:hint="default" w:eastAsia="宋体"/>
                <w:lang w:val="en-US" w:eastAsia="zh-CN"/>
              </w:rPr>
            </w:pPr>
            <w:r>
              <w:rPr>
                <w:rFonts w:hint="eastAsia"/>
                <w:lang w:val="en-US" w:eastAsia="zh-CN"/>
              </w:rPr>
              <w:t>2.产品方案</w:t>
            </w:r>
          </w:p>
          <w:p w14:paraId="6EA94894">
            <w:pPr>
              <w:pStyle w:val="5"/>
              <w:ind w:firstLine="482"/>
              <w:rPr>
                <w:rFonts w:hint="eastAsia"/>
                <w:lang w:val="en-US" w:eastAsia="zh-CN"/>
              </w:rPr>
            </w:pPr>
            <w:r>
              <w:rPr>
                <w:rFonts w:hint="eastAsia"/>
                <w:lang w:val="en-US" w:eastAsia="zh-CN"/>
              </w:rPr>
              <w:t>项目具体产品方案详见下表</w:t>
            </w:r>
          </w:p>
          <w:p w14:paraId="47D95DCD">
            <w:pPr>
              <w:jc w:val="center"/>
              <w:rPr>
                <w:rFonts w:hint="eastAsia"/>
                <w:b/>
                <w:bCs/>
                <w:lang w:val="en-US" w:eastAsia="zh-CN"/>
              </w:rPr>
            </w:pPr>
            <w:r>
              <w:rPr>
                <w:rFonts w:hint="eastAsia"/>
                <w:b/>
                <w:bCs/>
                <w:lang w:val="en-US" w:eastAsia="zh-CN"/>
              </w:rPr>
              <w:t>表2-3  产品方案一览表</w:t>
            </w:r>
          </w:p>
          <w:tbl>
            <w:tblPr>
              <w:tblStyle w:val="30"/>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36"/>
              <w:gridCol w:w="2375"/>
              <w:gridCol w:w="1212"/>
              <w:gridCol w:w="1932"/>
            </w:tblGrid>
            <w:tr w14:paraId="7416A9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1E6A567C">
                  <w:pPr>
                    <w:jc w:val="center"/>
                    <w:rPr>
                      <w:rFonts w:hint="default"/>
                      <w:b/>
                      <w:bCs/>
                      <w:vertAlign w:val="baseline"/>
                      <w:lang w:val="en-US" w:eastAsia="zh-CN"/>
                    </w:rPr>
                  </w:pPr>
                  <w:r>
                    <w:rPr>
                      <w:rFonts w:hint="eastAsia"/>
                      <w:b/>
                      <w:bCs/>
                      <w:vertAlign w:val="baseline"/>
                      <w:lang w:val="en-US" w:eastAsia="zh-CN"/>
                    </w:rPr>
                    <w:t>序号</w:t>
                  </w:r>
                </w:p>
              </w:tc>
              <w:tc>
                <w:tcPr>
                  <w:tcW w:w="4011" w:type="dxa"/>
                  <w:gridSpan w:val="2"/>
                  <w:tcBorders>
                    <w:tl2br w:val="nil"/>
                    <w:tr2bl w:val="nil"/>
                  </w:tcBorders>
                  <w:vAlign w:val="center"/>
                </w:tcPr>
                <w:p w14:paraId="43C6EC3B">
                  <w:pPr>
                    <w:jc w:val="center"/>
                    <w:rPr>
                      <w:rFonts w:hint="default"/>
                      <w:b/>
                      <w:bCs/>
                      <w:vertAlign w:val="baseline"/>
                      <w:lang w:val="en-US" w:eastAsia="zh-CN"/>
                    </w:rPr>
                  </w:pPr>
                  <w:r>
                    <w:rPr>
                      <w:rFonts w:hint="eastAsia"/>
                      <w:b/>
                      <w:bCs/>
                      <w:vertAlign w:val="baseline"/>
                      <w:lang w:val="en-US" w:eastAsia="zh-CN"/>
                    </w:rPr>
                    <w:t>名称</w:t>
                  </w:r>
                </w:p>
              </w:tc>
              <w:tc>
                <w:tcPr>
                  <w:tcW w:w="1212" w:type="dxa"/>
                  <w:tcBorders>
                    <w:tl2br w:val="nil"/>
                    <w:tr2bl w:val="nil"/>
                  </w:tcBorders>
                  <w:vAlign w:val="center"/>
                </w:tcPr>
                <w:p w14:paraId="64738DC8">
                  <w:pPr>
                    <w:jc w:val="center"/>
                    <w:rPr>
                      <w:rFonts w:hint="default"/>
                      <w:b/>
                      <w:bCs/>
                      <w:vertAlign w:val="baseline"/>
                      <w:lang w:val="en-US" w:eastAsia="zh-CN"/>
                    </w:rPr>
                  </w:pPr>
                  <w:r>
                    <w:rPr>
                      <w:rFonts w:hint="eastAsia"/>
                      <w:b/>
                      <w:bCs/>
                      <w:vertAlign w:val="baseline"/>
                      <w:lang w:val="en-US" w:eastAsia="zh-CN"/>
                    </w:rPr>
                    <w:t>单位</w:t>
                  </w:r>
                </w:p>
              </w:tc>
              <w:tc>
                <w:tcPr>
                  <w:tcW w:w="1932" w:type="dxa"/>
                  <w:tcBorders>
                    <w:tl2br w:val="nil"/>
                    <w:tr2bl w:val="nil"/>
                  </w:tcBorders>
                  <w:vAlign w:val="center"/>
                </w:tcPr>
                <w:p w14:paraId="3DC7920A">
                  <w:pPr>
                    <w:jc w:val="center"/>
                    <w:rPr>
                      <w:rFonts w:hint="default"/>
                      <w:b/>
                      <w:bCs/>
                      <w:vertAlign w:val="baseline"/>
                      <w:lang w:val="en-US" w:eastAsia="zh-CN"/>
                    </w:rPr>
                  </w:pPr>
                  <w:r>
                    <w:rPr>
                      <w:rFonts w:hint="eastAsia"/>
                      <w:b/>
                      <w:bCs/>
                      <w:vertAlign w:val="baseline"/>
                      <w:lang w:val="en-US" w:eastAsia="zh-CN"/>
                    </w:rPr>
                    <w:t>数量</w:t>
                  </w:r>
                </w:p>
              </w:tc>
            </w:tr>
            <w:tr w14:paraId="3AA406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1BD4DD1F">
                  <w:pPr>
                    <w:jc w:val="center"/>
                    <w:rPr>
                      <w:rFonts w:hint="default"/>
                      <w:vertAlign w:val="baseline"/>
                      <w:lang w:val="en-US" w:eastAsia="zh-CN"/>
                    </w:rPr>
                  </w:pPr>
                  <w:r>
                    <w:rPr>
                      <w:rFonts w:hint="eastAsia"/>
                      <w:vertAlign w:val="baseline"/>
                      <w:lang w:val="en-US" w:eastAsia="zh-CN"/>
                    </w:rPr>
                    <w:t>1</w:t>
                  </w:r>
                </w:p>
              </w:tc>
              <w:tc>
                <w:tcPr>
                  <w:tcW w:w="1636" w:type="dxa"/>
                  <w:vMerge w:val="restart"/>
                  <w:tcBorders>
                    <w:tl2br w:val="nil"/>
                    <w:tr2bl w:val="nil"/>
                  </w:tcBorders>
                  <w:vAlign w:val="center"/>
                </w:tcPr>
                <w:p w14:paraId="73D93DB1">
                  <w:pPr>
                    <w:jc w:val="center"/>
                    <w:rPr>
                      <w:rFonts w:hint="default"/>
                      <w:vertAlign w:val="baseline"/>
                      <w:lang w:val="en-US" w:eastAsia="zh-CN"/>
                    </w:rPr>
                  </w:pPr>
                  <w:r>
                    <w:rPr>
                      <w:rFonts w:hint="eastAsia"/>
                      <w:vertAlign w:val="baseline"/>
                      <w:lang w:val="en-US" w:eastAsia="zh-CN"/>
                    </w:rPr>
                    <w:t>面食类</w:t>
                  </w:r>
                </w:p>
              </w:tc>
              <w:tc>
                <w:tcPr>
                  <w:tcW w:w="2375" w:type="dxa"/>
                  <w:tcBorders>
                    <w:tl2br w:val="nil"/>
                    <w:tr2bl w:val="nil"/>
                  </w:tcBorders>
                  <w:vAlign w:val="center"/>
                </w:tcPr>
                <w:p w14:paraId="5C231AFC">
                  <w:pPr>
                    <w:jc w:val="center"/>
                    <w:rPr>
                      <w:rFonts w:hint="default"/>
                      <w:vertAlign w:val="baseline"/>
                      <w:lang w:val="en-US" w:eastAsia="zh-CN"/>
                    </w:rPr>
                  </w:pPr>
                  <w:r>
                    <w:rPr>
                      <w:rFonts w:hint="eastAsia"/>
                      <w:vertAlign w:val="baseline"/>
                      <w:lang w:val="en-US" w:eastAsia="zh-CN"/>
                    </w:rPr>
                    <w:t>凉皮</w:t>
                  </w:r>
                </w:p>
              </w:tc>
              <w:tc>
                <w:tcPr>
                  <w:tcW w:w="1212" w:type="dxa"/>
                  <w:tcBorders>
                    <w:tl2br w:val="nil"/>
                    <w:tr2bl w:val="nil"/>
                  </w:tcBorders>
                  <w:vAlign w:val="center"/>
                </w:tcPr>
                <w:p w14:paraId="5FD6543F">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2A794022">
                  <w:pPr>
                    <w:jc w:val="center"/>
                    <w:rPr>
                      <w:rFonts w:hint="default"/>
                      <w:vertAlign w:val="baseline"/>
                      <w:lang w:val="en-US" w:eastAsia="zh-CN"/>
                    </w:rPr>
                  </w:pPr>
                  <w:r>
                    <w:rPr>
                      <w:rFonts w:hint="eastAsia"/>
                      <w:vertAlign w:val="baseline"/>
                      <w:lang w:val="en-US" w:eastAsia="zh-CN"/>
                    </w:rPr>
                    <w:t>240</w:t>
                  </w:r>
                </w:p>
              </w:tc>
            </w:tr>
            <w:tr w14:paraId="08313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0C4A7C87">
                  <w:pPr>
                    <w:jc w:val="center"/>
                    <w:rPr>
                      <w:rFonts w:hint="default"/>
                      <w:vertAlign w:val="baseline"/>
                      <w:lang w:val="en-US" w:eastAsia="zh-CN"/>
                    </w:rPr>
                  </w:pPr>
                  <w:r>
                    <w:rPr>
                      <w:rFonts w:hint="eastAsia"/>
                      <w:vertAlign w:val="baseline"/>
                      <w:lang w:val="en-US" w:eastAsia="zh-CN"/>
                    </w:rPr>
                    <w:t>2</w:t>
                  </w:r>
                </w:p>
              </w:tc>
              <w:tc>
                <w:tcPr>
                  <w:tcW w:w="1636" w:type="dxa"/>
                  <w:vMerge w:val="continue"/>
                  <w:tcBorders>
                    <w:tl2br w:val="nil"/>
                    <w:tr2bl w:val="nil"/>
                  </w:tcBorders>
                  <w:vAlign w:val="center"/>
                </w:tcPr>
                <w:p w14:paraId="1E28B625">
                  <w:pPr>
                    <w:jc w:val="center"/>
                    <w:rPr>
                      <w:rFonts w:hint="default"/>
                      <w:vertAlign w:val="baseline"/>
                      <w:lang w:val="en-US" w:eastAsia="zh-CN"/>
                    </w:rPr>
                  </w:pPr>
                </w:p>
              </w:tc>
              <w:tc>
                <w:tcPr>
                  <w:tcW w:w="2375" w:type="dxa"/>
                  <w:tcBorders>
                    <w:tl2br w:val="nil"/>
                    <w:tr2bl w:val="nil"/>
                  </w:tcBorders>
                  <w:vAlign w:val="center"/>
                </w:tcPr>
                <w:p w14:paraId="51927E87">
                  <w:pPr>
                    <w:jc w:val="center"/>
                    <w:rPr>
                      <w:rFonts w:hint="default"/>
                      <w:vertAlign w:val="baseline"/>
                      <w:lang w:val="en-US" w:eastAsia="zh-CN"/>
                    </w:rPr>
                  </w:pPr>
                  <w:r>
                    <w:rPr>
                      <w:rFonts w:hint="eastAsia"/>
                      <w:vertAlign w:val="baseline"/>
                      <w:lang w:val="en-US" w:eastAsia="zh-CN"/>
                    </w:rPr>
                    <w:t>牛筋面</w:t>
                  </w:r>
                </w:p>
              </w:tc>
              <w:tc>
                <w:tcPr>
                  <w:tcW w:w="1212" w:type="dxa"/>
                  <w:tcBorders>
                    <w:tl2br w:val="nil"/>
                    <w:tr2bl w:val="nil"/>
                  </w:tcBorders>
                  <w:vAlign w:val="center"/>
                </w:tcPr>
                <w:p w14:paraId="5C696765">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204C9A30">
                  <w:pPr>
                    <w:jc w:val="center"/>
                    <w:rPr>
                      <w:rFonts w:hint="default"/>
                      <w:vertAlign w:val="baseline"/>
                      <w:lang w:val="en-US" w:eastAsia="zh-CN"/>
                    </w:rPr>
                  </w:pPr>
                  <w:r>
                    <w:rPr>
                      <w:rFonts w:hint="eastAsia"/>
                      <w:vertAlign w:val="baseline"/>
                      <w:lang w:val="en-US" w:eastAsia="zh-CN"/>
                    </w:rPr>
                    <w:t>180</w:t>
                  </w:r>
                </w:p>
              </w:tc>
            </w:tr>
            <w:tr w14:paraId="22BEB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4B634333">
                  <w:pPr>
                    <w:jc w:val="center"/>
                    <w:rPr>
                      <w:rFonts w:hint="default"/>
                      <w:vertAlign w:val="baseline"/>
                      <w:lang w:val="en-US" w:eastAsia="zh-CN"/>
                    </w:rPr>
                  </w:pPr>
                  <w:r>
                    <w:rPr>
                      <w:rFonts w:hint="eastAsia"/>
                      <w:vertAlign w:val="baseline"/>
                      <w:lang w:val="en-US" w:eastAsia="zh-CN"/>
                    </w:rPr>
                    <w:t>3</w:t>
                  </w:r>
                </w:p>
              </w:tc>
              <w:tc>
                <w:tcPr>
                  <w:tcW w:w="1636" w:type="dxa"/>
                  <w:tcBorders>
                    <w:tl2br w:val="nil"/>
                    <w:tr2bl w:val="nil"/>
                  </w:tcBorders>
                  <w:vAlign w:val="center"/>
                </w:tcPr>
                <w:p w14:paraId="7941E0AE">
                  <w:pPr>
                    <w:jc w:val="center"/>
                    <w:rPr>
                      <w:rFonts w:hint="default"/>
                      <w:vertAlign w:val="baseline"/>
                      <w:lang w:val="en-US" w:eastAsia="zh-CN"/>
                    </w:rPr>
                  </w:pPr>
                  <w:r>
                    <w:rPr>
                      <w:rFonts w:hint="eastAsia"/>
                      <w:vertAlign w:val="baseline"/>
                      <w:lang w:val="en-US" w:eastAsia="zh-CN"/>
                    </w:rPr>
                    <w:t>豆制品</w:t>
                  </w:r>
                </w:p>
              </w:tc>
              <w:tc>
                <w:tcPr>
                  <w:tcW w:w="2375" w:type="dxa"/>
                  <w:tcBorders>
                    <w:tl2br w:val="nil"/>
                    <w:tr2bl w:val="nil"/>
                  </w:tcBorders>
                  <w:vAlign w:val="center"/>
                </w:tcPr>
                <w:p w14:paraId="09D947FC">
                  <w:pPr>
                    <w:jc w:val="center"/>
                    <w:rPr>
                      <w:rFonts w:hint="default"/>
                      <w:vertAlign w:val="baseline"/>
                      <w:lang w:val="en-US" w:eastAsia="zh-CN"/>
                    </w:rPr>
                  </w:pPr>
                  <w:r>
                    <w:rPr>
                      <w:rFonts w:hint="eastAsia"/>
                      <w:vertAlign w:val="baseline"/>
                      <w:lang w:val="en-US" w:eastAsia="zh-CN"/>
                    </w:rPr>
                    <w:t>豆腐、豆制品等</w:t>
                  </w:r>
                </w:p>
              </w:tc>
              <w:tc>
                <w:tcPr>
                  <w:tcW w:w="1212" w:type="dxa"/>
                  <w:tcBorders>
                    <w:tl2br w:val="nil"/>
                    <w:tr2bl w:val="nil"/>
                  </w:tcBorders>
                  <w:vAlign w:val="center"/>
                </w:tcPr>
                <w:p w14:paraId="478C8A86">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287C66A8">
                  <w:pPr>
                    <w:jc w:val="center"/>
                    <w:rPr>
                      <w:rFonts w:hint="default"/>
                      <w:vertAlign w:val="baseline"/>
                      <w:lang w:val="en-US" w:eastAsia="zh-CN"/>
                    </w:rPr>
                  </w:pPr>
                  <w:r>
                    <w:rPr>
                      <w:rFonts w:hint="eastAsia"/>
                      <w:vertAlign w:val="baseline"/>
                      <w:lang w:val="en-US" w:eastAsia="zh-CN"/>
                    </w:rPr>
                    <w:t>300</w:t>
                  </w:r>
                </w:p>
              </w:tc>
            </w:tr>
            <w:tr w14:paraId="45C542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5BFC0FED">
                  <w:pPr>
                    <w:jc w:val="center"/>
                    <w:rPr>
                      <w:rFonts w:hint="default"/>
                      <w:vertAlign w:val="baseline"/>
                      <w:lang w:val="en-US" w:eastAsia="zh-CN"/>
                    </w:rPr>
                  </w:pPr>
                  <w:r>
                    <w:rPr>
                      <w:rFonts w:hint="eastAsia"/>
                      <w:vertAlign w:val="baseline"/>
                      <w:lang w:val="en-US" w:eastAsia="zh-CN"/>
                    </w:rPr>
                    <w:t>4</w:t>
                  </w:r>
                </w:p>
              </w:tc>
              <w:tc>
                <w:tcPr>
                  <w:tcW w:w="1636" w:type="dxa"/>
                  <w:tcBorders>
                    <w:tl2br w:val="nil"/>
                    <w:tr2bl w:val="nil"/>
                  </w:tcBorders>
                  <w:vAlign w:val="center"/>
                </w:tcPr>
                <w:p w14:paraId="0673D34C">
                  <w:pPr>
                    <w:jc w:val="center"/>
                    <w:rPr>
                      <w:rFonts w:hint="default"/>
                      <w:vertAlign w:val="baseline"/>
                      <w:lang w:val="en-US" w:eastAsia="zh-CN"/>
                    </w:rPr>
                  </w:pPr>
                  <w:r>
                    <w:rPr>
                      <w:rFonts w:hint="eastAsia"/>
                      <w:vertAlign w:val="baseline"/>
                      <w:lang w:val="en-US" w:eastAsia="zh-CN"/>
                    </w:rPr>
                    <w:t>卤制品</w:t>
                  </w:r>
                </w:p>
              </w:tc>
              <w:tc>
                <w:tcPr>
                  <w:tcW w:w="2375" w:type="dxa"/>
                  <w:tcBorders>
                    <w:tl2br w:val="nil"/>
                    <w:tr2bl w:val="nil"/>
                  </w:tcBorders>
                  <w:vAlign w:val="center"/>
                </w:tcPr>
                <w:p w14:paraId="2189AFDF">
                  <w:pPr>
                    <w:jc w:val="center"/>
                    <w:rPr>
                      <w:rFonts w:hint="default"/>
                      <w:vertAlign w:val="baseline"/>
                      <w:lang w:val="en-US" w:eastAsia="zh-CN"/>
                    </w:rPr>
                  </w:pPr>
                  <w:r>
                    <w:rPr>
                      <w:rFonts w:hint="eastAsia"/>
                      <w:vertAlign w:val="baseline"/>
                      <w:lang w:val="en-US" w:eastAsia="zh-CN"/>
                    </w:rPr>
                    <w:t>鸭翅鸡腿等</w:t>
                  </w:r>
                </w:p>
              </w:tc>
              <w:tc>
                <w:tcPr>
                  <w:tcW w:w="1212" w:type="dxa"/>
                  <w:tcBorders>
                    <w:tl2br w:val="nil"/>
                    <w:tr2bl w:val="nil"/>
                  </w:tcBorders>
                  <w:vAlign w:val="center"/>
                </w:tcPr>
                <w:p w14:paraId="040760FF">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3E3757A6">
                  <w:pPr>
                    <w:jc w:val="center"/>
                    <w:rPr>
                      <w:rFonts w:hint="default"/>
                      <w:vertAlign w:val="baseline"/>
                      <w:lang w:val="en-US" w:eastAsia="zh-CN"/>
                    </w:rPr>
                  </w:pPr>
                  <w:r>
                    <w:rPr>
                      <w:rFonts w:hint="eastAsia"/>
                      <w:vertAlign w:val="baseline"/>
                      <w:lang w:val="en-US" w:eastAsia="zh-CN"/>
                    </w:rPr>
                    <w:t>450</w:t>
                  </w:r>
                </w:p>
              </w:tc>
            </w:tr>
            <w:tr w14:paraId="42EFC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04" w:type="dxa"/>
                  <w:tcBorders>
                    <w:tl2br w:val="nil"/>
                    <w:tr2bl w:val="nil"/>
                  </w:tcBorders>
                  <w:vAlign w:val="center"/>
                </w:tcPr>
                <w:p w14:paraId="6573D632">
                  <w:pPr>
                    <w:jc w:val="center"/>
                    <w:rPr>
                      <w:rFonts w:hint="default"/>
                      <w:vertAlign w:val="baseline"/>
                      <w:lang w:val="en-US" w:eastAsia="zh-CN"/>
                    </w:rPr>
                  </w:pPr>
                  <w:r>
                    <w:rPr>
                      <w:rFonts w:hint="eastAsia"/>
                      <w:vertAlign w:val="baseline"/>
                      <w:lang w:val="en-US" w:eastAsia="zh-CN"/>
                    </w:rPr>
                    <w:t>5</w:t>
                  </w:r>
                </w:p>
              </w:tc>
              <w:tc>
                <w:tcPr>
                  <w:tcW w:w="1636" w:type="dxa"/>
                  <w:tcBorders>
                    <w:tl2br w:val="nil"/>
                    <w:tr2bl w:val="nil"/>
                  </w:tcBorders>
                  <w:vAlign w:val="center"/>
                </w:tcPr>
                <w:p w14:paraId="610CB797">
                  <w:pPr>
                    <w:jc w:val="center"/>
                    <w:rPr>
                      <w:rFonts w:hint="default"/>
                      <w:vertAlign w:val="baseline"/>
                      <w:lang w:val="en-US" w:eastAsia="zh-CN"/>
                    </w:rPr>
                  </w:pPr>
                  <w:r>
                    <w:rPr>
                      <w:rFonts w:hint="eastAsia"/>
                      <w:vertAlign w:val="baseline"/>
                      <w:lang w:val="en-US" w:eastAsia="zh-CN"/>
                    </w:rPr>
                    <w:t>包装生鲜食品</w:t>
                  </w:r>
                </w:p>
              </w:tc>
              <w:tc>
                <w:tcPr>
                  <w:tcW w:w="2375" w:type="dxa"/>
                  <w:tcBorders>
                    <w:tl2br w:val="nil"/>
                    <w:tr2bl w:val="nil"/>
                  </w:tcBorders>
                  <w:vAlign w:val="center"/>
                </w:tcPr>
                <w:p w14:paraId="16E5E2DE">
                  <w:pPr>
                    <w:jc w:val="center"/>
                    <w:rPr>
                      <w:rFonts w:hint="default"/>
                      <w:vertAlign w:val="baseline"/>
                      <w:lang w:val="en-US" w:eastAsia="zh-CN"/>
                    </w:rPr>
                  </w:pPr>
                  <w:r>
                    <w:rPr>
                      <w:rFonts w:hint="eastAsia"/>
                      <w:vertAlign w:val="baseline"/>
                      <w:lang w:val="en-US" w:eastAsia="zh-CN"/>
                    </w:rPr>
                    <w:t>净菜、牛杂、羊杂等</w:t>
                  </w:r>
                </w:p>
              </w:tc>
              <w:tc>
                <w:tcPr>
                  <w:tcW w:w="1212" w:type="dxa"/>
                  <w:tcBorders>
                    <w:tl2br w:val="nil"/>
                    <w:tr2bl w:val="nil"/>
                  </w:tcBorders>
                  <w:vAlign w:val="center"/>
                </w:tcPr>
                <w:p w14:paraId="3B20704B">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03F8E3BF">
                  <w:pPr>
                    <w:jc w:val="center"/>
                    <w:rPr>
                      <w:rFonts w:hint="default"/>
                      <w:vertAlign w:val="baseline"/>
                      <w:lang w:val="en-US" w:eastAsia="zh-CN"/>
                    </w:rPr>
                  </w:pPr>
                  <w:r>
                    <w:rPr>
                      <w:rFonts w:hint="eastAsia"/>
                      <w:vertAlign w:val="baseline"/>
                      <w:lang w:val="en-US" w:eastAsia="zh-CN"/>
                    </w:rPr>
                    <w:t>600</w:t>
                  </w:r>
                </w:p>
              </w:tc>
            </w:tr>
            <w:tr w14:paraId="1E4AD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4" w:type="dxa"/>
                  <w:tcBorders>
                    <w:tl2br w:val="nil"/>
                    <w:tr2bl w:val="nil"/>
                  </w:tcBorders>
                  <w:vAlign w:val="center"/>
                </w:tcPr>
                <w:p w14:paraId="7758C6F2">
                  <w:pPr>
                    <w:jc w:val="center"/>
                    <w:rPr>
                      <w:rFonts w:hint="default"/>
                      <w:vertAlign w:val="baseline"/>
                      <w:lang w:val="en-US" w:eastAsia="zh-CN"/>
                    </w:rPr>
                  </w:pPr>
                  <w:r>
                    <w:rPr>
                      <w:rFonts w:hint="eastAsia"/>
                      <w:vertAlign w:val="baseline"/>
                      <w:lang w:val="en-US" w:eastAsia="zh-CN"/>
                    </w:rPr>
                    <w:t>6</w:t>
                  </w:r>
                </w:p>
              </w:tc>
              <w:tc>
                <w:tcPr>
                  <w:tcW w:w="1636" w:type="dxa"/>
                  <w:tcBorders>
                    <w:tl2br w:val="nil"/>
                    <w:tr2bl w:val="nil"/>
                  </w:tcBorders>
                  <w:vAlign w:val="center"/>
                </w:tcPr>
                <w:p w14:paraId="51748085">
                  <w:pPr>
                    <w:jc w:val="center"/>
                    <w:rPr>
                      <w:rFonts w:hint="default"/>
                      <w:vertAlign w:val="baseline"/>
                      <w:lang w:val="en-US" w:eastAsia="zh-CN"/>
                    </w:rPr>
                  </w:pPr>
                  <w:r>
                    <w:rPr>
                      <w:rFonts w:hint="eastAsia"/>
                      <w:vertAlign w:val="baseline"/>
                      <w:lang w:val="en-US" w:eastAsia="zh-CN"/>
                    </w:rPr>
                    <w:t>酸奶、乳制品</w:t>
                  </w:r>
                </w:p>
              </w:tc>
              <w:tc>
                <w:tcPr>
                  <w:tcW w:w="2375" w:type="dxa"/>
                  <w:tcBorders>
                    <w:tl2br w:val="nil"/>
                    <w:tr2bl w:val="nil"/>
                  </w:tcBorders>
                  <w:vAlign w:val="center"/>
                </w:tcPr>
                <w:p w14:paraId="08DF9B2C">
                  <w:pPr>
                    <w:jc w:val="center"/>
                    <w:rPr>
                      <w:rFonts w:hint="default"/>
                      <w:vertAlign w:val="baseline"/>
                      <w:lang w:val="en-US" w:eastAsia="zh-CN"/>
                    </w:rPr>
                  </w:pPr>
                  <w:r>
                    <w:rPr>
                      <w:rFonts w:hint="eastAsia"/>
                      <w:vertAlign w:val="baseline"/>
                      <w:lang w:val="en-US" w:eastAsia="zh-CN"/>
                    </w:rPr>
                    <w:t>酸奶、乳制品等</w:t>
                  </w:r>
                </w:p>
              </w:tc>
              <w:tc>
                <w:tcPr>
                  <w:tcW w:w="1212" w:type="dxa"/>
                  <w:tcBorders>
                    <w:tl2br w:val="nil"/>
                    <w:tr2bl w:val="nil"/>
                  </w:tcBorders>
                  <w:vAlign w:val="center"/>
                </w:tcPr>
                <w:p w14:paraId="1AB1143C">
                  <w:pPr>
                    <w:jc w:val="center"/>
                    <w:rPr>
                      <w:rFonts w:hint="default"/>
                      <w:vertAlign w:val="baseline"/>
                      <w:lang w:val="en-US" w:eastAsia="zh-CN"/>
                    </w:rPr>
                  </w:pPr>
                  <w:r>
                    <w:rPr>
                      <w:rFonts w:hint="eastAsia"/>
                      <w:vertAlign w:val="baseline"/>
                      <w:lang w:val="en-US" w:eastAsia="zh-CN"/>
                    </w:rPr>
                    <w:t>t/a</w:t>
                  </w:r>
                </w:p>
              </w:tc>
              <w:tc>
                <w:tcPr>
                  <w:tcW w:w="1932" w:type="dxa"/>
                  <w:tcBorders>
                    <w:tl2br w:val="nil"/>
                    <w:tr2bl w:val="nil"/>
                  </w:tcBorders>
                  <w:vAlign w:val="center"/>
                </w:tcPr>
                <w:p w14:paraId="3F9F9F38">
                  <w:pPr>
                    <w:jc w:val="center"/>
                    <w:rPr>
                      <w:rFonts w:hint="default"/>
                      <w:vertAlign w:val="baseline"/>
                      <w:lang w:val="en-US" w:eastAsia="zh-CN"/>
                    </w:rPr>
                  </w:pPr>
                  <w:r>
                    <w:rPr>
                      <w:rFonts w:hint="eastAsia"/>
                      <w:vertAlign w:val="baseline"/>
                      <w:lang w:val="en-US" w:eastAsia="zh-CN"/>
                    </w:rPr>
                    <w:t>600</w:t>
                  </w:r>
                </w:p>
              </w:tc>
            </w:tr>
          </w:tbl>
          <w:p w14:paraId="2D307179">
            <w:pPr>
              <w:rPr>
                <w:rFonts w:hint="default"/>
                <w:lang w:val="en-US" w:eastAsia="zh-CN"/>
              </w:rPr>
            </w:pPr>
          </w:p>
          <w:p w14:paraId="09A215D4">
            <w:pPr>
              <w:pStyle w:val="5"/>
              <w:ind w:firstLine="482"/>
            </w:pPr>
            <w:r>
              <w:rPr>
                <w:rFonts w:hint="eastAsia"/>
                <w:lang w:val="en-US" w:eastAsia="zh-CN"/>
              </w:rPr>
              <w:t>3</w:t>
            </w:r>
            <w:r>
              <w:t>、原辅材料消耗</w:t>
            </w:r>
          </w:p>
          <w:p w14:paraId="6C867300">
            <w:pPr>
              <w:pStyle w:val="114"/>
              <w:spacing w:before="22" w:line="220" w:lineRule="auto"/>
              <w:ind w:left="596"/>
              <w:rPr>
                <w:rFonts w:hint="default"/>
                <w:sz w:val="24"/>
                <w:lang w:val="en-US"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lang w:val="en-US" w:eastAsia="zh-CN"/>
              </w:rPr>
              <w:t>生产用原辅料</w:t>
            </w:r>
          </w:p>
          <w:p w14:paraId="46CD0353">
            <w:pPr>
              <w:keepNext w:val="0"/>
              <w:keepLines w:val="0"/>
              <w:pageBreakBefore w:val="0"/>
              <w:widowControl w:val="0"/>
              <w:kinsoku/>
              <w:wordWrap/>
              <w:overflowPunct/>
              <w:topLinePunct w:val="0"/>
              <w:autoSpaceDE w:val="0"/>
              <w:autoSpaceDN w:val="0"/>
              <w:bidi w:val="0"/>
              <w:adjustRightInd w:val="0"/>
              <w:snapToGrid w:val="0"/>
              <w:spacing w:before="313" w:beforeLines="100" w:line="360" w:lineRule="auto"/>
              <w:ind w:firstLine="480" w:firstLineChars="200"/>
              <w:textAlignment w:val="auto"/>
              <w:rPr>
                <w:b/>
                <w:bCs/>
                <w:szCs w:val="21"/>
              </w:rPr>
            </w:pPr>
            <w:r>
              <w:rPr>
                <w:sz w:val="24"/>
              </w:rPr>
              <w:t>本项目原辅材料及能源消耗情况见表</w:t>
            </w:r>
            <w:bookmarkStart w:id="2" w:name="_Ref9453"/>
            <w:r>
              <w:rPr>
                <w:sz w:val="24"/>
              </w:rPr>
              <w:t>2-</w:t>
            </w:r>
            <w:r>
              <w:rPr>
                <w:rFonts w:hint="eastAsia"/>
                <w:sz w:val="24"/>
                <w:lang w:val="en-US" w:eastAsia="zh-CN"/>
              </w:rPr>
              <w:t>4</w:t>
            </w:r>
            <w:r>
              <w:rPr>
                <w:sz w:val="24"/>
              </w:rPr>
              <w:t>。</w:t>
            </w:r>
          </w:p>
          <w:p w14:paraId="3BA6EFA4">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w:t>
            </w:r>
            <w:bookmarkEnd w:id="2"/>
            <w:r>
              <w:rPr>
                <w:color w:val="auto"/>
              </w:rPr>
              <w:t>2-</w:t>
            </w:r>
            <w:r>
              <w:rPr>
                <w:rFonts w:hint="eastAsia"/>
                <w:color w:val="auto"/>
                <w:lang w:val="en-US" w:eastAsia="zh-CN"/>
              </w:rPr>
              <w:t xml:space="preserve">4     </w:t>
            </w:r>
            <w:r>
              <w:rPr>
                <w:color w:val="auto"/>
              </w:rPr>
              <w:t>本项目原辅材料及能源消耗一览表</w:t>
            </w:r>
          </w:p>
          <w:tbl>
            <w:tblPr>
              <w:tblStyle w:val="29"/>
              <w:tblW w:w="80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125"/>
              <w:gridCol w:w="866"/>
              <w:gridCol w:w="1061"/>
              <w:gridCol w:w="1391"/>
              <w:gridCol w:w="2046"/>
            </w:tblGrid>
            <w:tr w14:paraId="525FE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352" w:type="pct"/>
                  <w:tcBorders>
                    <w:tl2br w:val="nil"/>
                    <w:tr2bl w:val="nil"/>
                  </w:tcBorders>
                  <w:vAlign w:val="center"/>
                </w:tcPr>
                <w:p w14:paraId="6FB513E9">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序号</w:t>
                  </w:r>
                </w:p>
              </w:tc>
              <w:tc>
                <w:tcPr>
                  <w:tcW w:w="1318" w:type="pct"/>
                  <w:tcBorders>
                    <w:tl2br w:val="nil"/>
                    <w:tr2bl w:val="nil"/>
                  </w:tcBorders>
                  <w:vAlign w:val="center"/>
                </w:tcPr>
                <w:p w14:paraId="1D4E074F">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名称</w:t>
                  </w:r>
                </w:p>
              </w:tc>
              <w:tc>
                <w:tcPr>
                  <w:tcW w:w="537" w:type="pct"/>
                  <w:tcBorders>
                    <w:tl2br w:val="nil"/>
                    <w:tr2bl w:val="nil"/>
                  </w:tcBorders>
                  <w:vAlign w:val="center"/>
                </w:tcPr>
                <w:p w14:paraId="32037943">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单位</w:t>
                  </w:r>
                </w:p>
              </w:tc>
              <w:tc>
                <w:tcPr>
                  <w:tcW w:w="658" w:type="pct"/>
                  <w:tcBorders>
                    <w:tl2br w:val="nil"/>
                    <w:tr2bl w:val="nil"/>
                  </w:tcBorders>
                  <w:vAlign w:val="center"/>
                </w:tcPr>
                <w:p w14:paraId="60D8F3CA">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年用量</w:t>
                  </w:r>
                </w:p>
              </w:tc>
              <w:tc>
                <w:tcPr>
                  <w:tcW w:w="863" w:type="pct"/>
                  <w:tcBorders>
                    <w:tl2br w:val="nil"/>
                    <w:tr2bl w:val="nil"/>
                  </w:tcBorders>
                  <w:vAlign w:val="center"/>
                </w:tcPr>
                <w:p w14:paraId="5F450645">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来源</w:t>
                  </w:r>
                </w:p>
              </w:tc>
              <w:tc>
                <w:tcPr>
                  <w:tcW w:w="1269" w:type="pct"/>
                  <w:tcBorders>
                    <w:tl2br w:val="nil"/>
                    <w:tr2bl w:val="nil"/>
                  </w:tcBorders>
                  <w:vAlign w:val="center"/>
                </w:tcPr>
                <w:p w14:paraId="7B91F7CA">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eastAsia="宋体"/>
                      <w:color w:val="auto"/>
                      <w:lang w:eastAsia="zh-CN"/>
                    </w:rPr>
                  </w:pPr>
                  <w:r>
                    <w:rPr>
                      <w:color w:val="auto"/>
                    </w:rPr>
                    <w:t>储存</w:t>
                  </w:r>
                  <w:r>
                    <w:rPr>
                      <w:rFonts w:hint="eastAsia"/>
                      <w:color w:val="auto"/>
                      <w:lang w:val="en-US" w:eastAsia="zh-CN"/>
                    </w:rPr>
                    <w:t>位置</w:t>
                  </w:r>
                </w:p>
              </w:tc>
            </w:tr>
            <w:tr w14:paraId="46747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5000" w:type="pct"/>
                  <w:gridSpan w:val="6"/>
                  <w:tcBorders>
                    <w:tl2br w:val="nil"/>
                    <w:tr2bl w:val="nil"/>
                  </w:tcBorders>
                  <w:vAlign w:val="center"/>
                </w:tcPr>
                <w:p w14:paraId="7068CB0F">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lang w:val="en-US" w:eastAsia="zh-CN"/>
                    </w:rPr>
                  </w:pPr>
                  <w:r>
                    <w:rPr>
                      <w:rFonts w:hint="eastAsia"/>
                      <w:b/>
                      <w:bCs/>
                      <w:color w:val="auto"/>
                      <w:lang w:val="en-US" w:eastAsia="zh-CN"/>
                    </w:rPr>
                    <w:t>凉皮</w:t>
                  </w:r>
                </w:p>
              </w:tc>
            </w:tr>
            <w:tr w14:paraId="3451A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52" w:type="pct"/>
                  <w:tcBorders>
                    <w:tl2br w:val="nil"/>
                    <w:tr2bl w:val="nil"/>
                  </w:tcBorders>
                  <w:vAlign w:val="center"/>
                </w:tcPr>
                <w:p w14:paraId="0BE321B4">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1</w:t>
                  </w:r>
                </w:p>
              </w:tc>
              <w:tc>
                <w:tcPr>
                  <w:tcW w:w="1318" w:type="pct"/>
                  <w:tcBorders>
                    <w:tl2br w:val="nil"/>
                    <w:tr2bl w:val="nil"/>
                  </w:tcBorders>
                  <w:vAlign w:val="center"/>
                </w:tcPr>
                <w:p w14:paraId="7739410E">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eastAsia="宋体"/>
                      <w:color w:val="auto"/>
                      <w:lang w:eastAsia="zh-CN"/>
                    </w:rPr>
                  </w:pPr>
                  <w:r>
                    <w:rPr>
                      <w:color w:val="auto"/>
                      <w:spacing w:val="-3"/>
                      <w:sz w:val="21"/>
                      <w:szCs w:val="21"/>
                    </w:rPr>
                    <w:t>小麦</w:t>
                  </w:r>
                  <w:r>
                    <w:rPr>
                      <w:rFonts w:hint="eastAsia"/>
                      <w:color w:val="auto"/>
                      <w:spacing w:val="-3"/>
                      <w:sz w:val="21"/>
                      <w:szCs w:val="21"/>
                      <w:lang w:val="en-US" w:eastAsia="zh-CN"/>
                    </w:rPr>
                    <w:t>面粉</w:t>
                  </w:r>
                </w:p>
              </w:tc>
              <w:tc>
                <w:tcPr>
                  <w:tcW w:w="537" w:type="pct"/>
                  <w:tcBorders>
                    <w:tl2br w:val="nil"/>
                    <w:tr2bl w:val="nil"/>
                  </w:tcBorders>
                  <w:vAlign w:val="center"/>
                </w:tcPr>
                <w:p w14:paraId="14E60A88">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vAlign w:val="center"/>
                </w:tcPr>
                <w:p w14:paraId="7D409569">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olor w:val="auto"/>
                      <w:kern w:val="0"/>
                      <w:szCs w:val="21"/>
                      <w:lang w:val="en-US" w:eastAsia="zh-CN"/>
                    </w:rPr>
                  </w:pPr>
                  <w:r>
                    <w:rPr>
                      <w:rFonts w:hint="eastAsia"/>
                      <w:color w:val="auto"/>
                      <w:kern w:val="0"/>
                      <w:szCs w:val="21"/>
                      <w:lang w:val="en-US" w:eastAsia="zh-CN"/>
                    </w:rPr>
                    <w:t>280</w:t>
                  </w:r>
                </w:p>
              </w:tc>
              <w:tc>
                <w:tcPr>
                  <w:tcW w:w="863" w:type="pct"/>
                  <w:tcBorders>
                    <w:tl2br w:val="nil"/>
                    <w:tr2bl w:val="nil"/>
                  </w:tcBorders>
                  <w:vAlign w:val="center"/>
                </w:tcPr>
                <w:p w14:paraId="4FC17C18">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73A72BA6">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rPr>
                  </w:pPr>
                  <w:r>
                    <w:rPr>
                      <w:rFonts w:hint="eastAsia"/>
                      <w:color w:val="auto"/>
                      <w:szCs w:val="21"/>
                      <w:lang w:val="en-US" w:eastAsia="zh-CN"/>
                    </w:rPr>
                    <w:t>原料区</w:t>
                  </w:r>
                </w:p>
              </w:tc>
            </w:tr>
            <w:tr w14:paraId="185C0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352" w:type="pct"/>
                  <w:tcBorders>
                    <w:tl2br w:val="nil"/>
                    <w:tr2bl w:val="nil"/>
                  </w:tcBorders>
                  <w:vAlign w:val="center"/>
                </w:tcPr>
                <w:p w14:paraId="5175471E">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eastAsia="宋体"/>
                      <w:color w:val="auto"/>
                      <w:lang w:eastAsia="zh-CN"/>
                    </w:rPr>
                  </w:pPr>
                  <w:r>
                    <w:rPr>
                      <w:rFonts w:hint="eastAsia"/>
                      <w:color w:val="auto"/>
                      <w:lang w:val="en-US" w:eastAsia="zh-CN"/>
                    </w:rPr>
                    <w:t>2</w:t>
                  </w:r>
                </w:p>
              </w:tc>
              <w:tc>
                <w:tcPr>
                  <w:tcW w:w="1318" w:type="pct"/>
                  <w:tcBorders>
                    <w:tl2br w:val="nil"/>
                    <w:tr2bl w:val="nil"/>
                  </w:tcBorders>
                  <w:vAlign w:val="center"/>
                </w:tcPr>
                <w:p w14:paraId="54D35C07">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eastAsia="宋体"/>
                      <w:color w:val="auto"/>
                      <w:lang w:eastAsia="zh-CN"/>
                    </w:rPr>
                  </w:pPr>
                  <w:r>
                    <w:rPr>
                      <w:color w:val="auto"/>
                      <w:spacing w:val="-2"/>
                      <w:sz w:val="21"/>
                      <w:szCs w:val="21"/>
                    </w:rPr>
                    <w:t>凉皮专用</w:t>
                  </w:r>
                  <w:r>
                    <w:rPr>
                      <w:rFonts w:hint="eastAsia"/>
                      <w:color w:val="auto"/>
                      <w:spacing w:val="-2"/>
                      <w:sz w:val="21"/>
                      <w:szCs w:val="21"/>
                      <w:lang w:val="en-US" w:eastAsia="zh-CN"/>
                    </w:rPr>
                    <w:t>面粉</w:t>
                  </w:r>
                </w:p>
              </w:tc>
              <w:tc>
                <w:tcPr>
                  <w:tcW w:w="537" w:type="pct"/>
                  <w:tcBorders>
                    <w:tl2br w:val="nil"/>
                    <w:tr2bl w:val="nil"/>
                  </w:tcBorders>
                  <w:vAlign w:val="center"/>
                </w:tcPr>
                <w:p w14:paraId="17DCB9A7">
                  <w:pPr>
                    <w:pStyle w:val="93"/>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vAlign w:val="center"/>
                </w:tcPr>
                <w:p w14:paraId="51A9EC5D">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olor w:val="auto"/>
                      <w:szCs w:val="21"/>
                      <w:lang w:val="en-US" w:eastAsia="zh-CN"/>
                    </w:rPr>
                  </w:pPr>
                  <w:r>
                    <w:rPr>
                      <w:rFonts w:hint="eastAsia"/>
                      <w:color w:val="auto"/>
                      <w:szCs w:val="21"/>
                      <w:lang w:val="en-US" w:eastAsia="zh-CN"/>
                    </w:rPr>
                    <w:t>62</w:t>
                  </w:r>
                </w:p>
              </w:tc>
              <w:tc>
                <w:tcPr>
                  <w:tcW w:w="863" w:type="pct"/>
                  <w:tcBorders>
                    <w:tl2br w:val="nil"/>
                    <w:tr2bl w:val="nil"/>
                  </w:tcBorders>
                  <w:vAlign w:val="center"/>
                </w:tcPr>
                <w:p w14:paraId="663F1FC3">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4584CDDE">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原料区</w:t>
                  </w:r>
                </w:p>
              </w:tc>
            </w:tr>
            <w:tr w14:paraId="4BF26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352" w:type="pct"/>
                  <w:tcBorders>
                    <w:tl2br w:val="nil"/>
                    <w:tr2bl w:val="nil"/>
                  </w:tcBorders>
                  <w:shd w:val="clear" w:color="auto" w:fill="auto"/>
                  <w:vAlign w:val="center"/>
                </w:tcPr>
                <w:p w14:paraId="7CE310F3">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eastAsia="宋体"/>
                      <w:color w:val="auto"/>
                      <w:lang w:val="en-US" w:eastAsia="zh-CN"/>
                    </w:rPr>
                    <w:t>3</w:t>
                  </w:r>
                </w:p>
              </w:tc>
              <w:tc>
                <w:tcPr>
                  <w:tcW w:w="1318" w:type="pct"/>
                  <w:tcBorders>
                    <w:tl2br w:val="nil"/>
                    <w:tr2bl w:val="nil"/>
                  </w:tcBorders>
                  <w:shd w:val="clear" w:color="auto" w:fill="auto"/>
                  <w:vAlign w:val="center"/>
                </w:tcPr>
                <w:p w14:paraId="75E634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自来水</w:t>
                  </w:r>
                </w:p>
              </w:tc>
              <w:tc>
                <w:tcPr>
                  <w:tcW w:w="537" w:type="pct"/>
                  <w:tcBorders>
                    <w:tl2br w:val="nil"/>
                    <w:tr2bl w:val="nil"/>
                  </w:tcBorders>
                  <w:vAlign w:val="center"/>
                </w:tcPr>
                <w:p w14:paraId="018CBE24">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shd w:val="clear" w:color="auto" w:fill="auto"/>
                  <w:vAlign w:val="center"/>
                </w:tcPr>
                <w:p w14:paraId="489EDB07">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pacing w:val="-8"/>
                      <w:sz w:val="21"/>
                      <w:szCs w:val="21"/>
                      <w:lang w:val="en-US" w:eastAsia="zh-CN"/>
                    </w:rPr>
                    <w:t>547.2</w:t>
                  </w:r>
                </w:p>
              </w:tc>
              <w:tc>
                <w:tcPr>
                  <w:tcW w:w="863" w:type="pct"/>
                  <w:tcBorders>
                    <w:tl2br w:val="nil"/>
                    <w:tr2bl w:val="nil"/>
                  </w:tcBorders>
                  <w:vAlign w:val="center"/>
                </w:tcPr>
                <w:p w14:paraId="6D225E48">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534936D5">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供水管网</w:t>
                  </w:r>
                </w:p>
              </w:tc>
            </w:tr>
            <w:tr w14:paraId="3092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191045F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lang w:val="en-US" w:eastAsia="zh-CN" w:bidi="ar-SA"/>
                    </w:rPr>
                  </w:pPr>
                  <w:r>
                    <w:rPr>
                      <w:rFonts w:hint="eastAsia" w:eastAsia="Times New Roman" w:cs="Times New Roman"/>
                      <w:color w:val="auto"/>
                      <w:sz w:val="21"/>
                      <w:szCs w:val="21"/>
                      <w:lang w:val="en-US" w:eastAsia="zh-CN"/>
                    </w:rPr>
                    <w:t>4</w:t>
                  </w:r>
                </w:p>
              </w:tc>
              <w:tc>
                <w:tcPr>
                  <w:tcW w:w="1318" w:type="pct"/>
                  <w:tcBorders>
                    <w:tl2br w:val="nil"/>
                    <w:tr2bl w:val="nil"/>
                  </w:tcBorders>
                  <w:shd w:val="clear" w:color="auto" w:fill="auto"/>
                  <w:vAlign w:val="center"/>
                </w:tcPr>
                <w:p w14:paraId="6445A584">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宋体" w:hAnsi="宋体" w:eastAsia="宋体" w:cs="宋体"/>
                      <w:color w:val="auto"/>
                      <w:kern w:val="2"/>
                      <w:sz w:val="21"/>
                      <w:szCs w:val="21"/>
                      <w:lang w:val="en-US" w:eastAsia="zh-CN" w:bidi="ar-SA"/>
                    </w:rPr>
                  </w:pPr>
                  <w:r>
                    <w:rPr>
                      <w:rFonts w:hint="eastAsia"/>
                      <w:color w:val="auto"/>
                      <w:spacing w:val="-3"/>
                      <w:sz w:val="21"/>
                      <w:szCs w:val="21"/>
                      <w:lang w:val="en-US" w:eastAsia="zh-CN"/>
                    </w:rPr>
                    <w:t>配套调味料（</w:t>
                  </w:r>
                  <w:r>
                    <w:rPr>
                      <w:rFonts w:hint="eastAsia" w:cs="Times New Roman"/>
                      <w:sz w:val="21"/>
                      <w:vertAlign w:val="baseline"/>
                      <w:lang w:val="en-US" w:eastAsia="zh-CN"/>
                    </w:rPr>
                    <w:t>包含：芝麻酱1t；果仁酱4t；液体调味汁30t；半固态调味酱10t；辣酱油3t</w:t>
                  </w:r>
                  <w:r>
                    <w:rPr>
                      <w:rFonts w:hint="eastAsia"/>
                      <w:color w:val="auto"/>
                      <w:spacing w:val="-3"/>
                      <w:sz w:val="21"/>
                      <w:szCs w:val="21"/>
                      <w:lang w:val="en-US" w:eastAsia="zh-CN"/>
                    </w:rPr>
                    <w:t>）</w:t>
                  </w:r>
                </w:p>
              </w:tc>
              <w:tc>
                <w:tcPr>
                  <w:tcW w:w="537" w:type="pct"/>
                  <w:tcBorders>
                    <w:tl2br w:val="nil"/>
                    <w:tr2bl w:val="nil"/>
                  </w:tcBorders>
                  <w:vAlign w:val="center"/>
                </w:tcPr>
                <w:p w14:paraId="7E2544F3">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shd w:val="clear" w:color="auto" w:fill="auto"/>
                  <w:vAlign w:val="center"/>
                </w:tcPr>
                <w:p w14:paraId="14217975">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pacing w:val="-6"/>
                      <w:sz w:val="21"/>
                      <w:szCs w:val="21"/>
                      <w:lang w:val="en-US" w:eastAsia="zh-CN"/>
                    </w:rPr>
                    <w:t>38</w:t>
                  </w:r>
                </w:p>
              </w:tc>
              <w:tc>
                <w:tcPr>
                  <w:tcW w:w="863" w:type="pct"/>
                  <w:tcBorders>
                    <w:tl2br w:val="nil"/>
                    <w:tr2bl w:val="nil"/>
                  </w:tcBorders>
                  <w:vAlign w:val="center"/>
                </w:tcPr>
                <w:p w14:paraId="652890A4">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5E14CF48">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冷库</w:t>
                  </w:r>
                </w:p>
              </w:tc>
            </w:tr>
            <w:tr w14:paraId="2608E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33DD5B9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5</w:t>
                  </w:r>
                </w:p>
              </w:tc>
              <w:tc>
                <w:tcPr>
                  <w:tcW w:w="1318" w:type="pct"/>
                  <w:tcBorders>
                    <w:tl2br w:val="nil"/>
                    <w:tr2bl w:val="nil"/>
                  </w:tcBorders>
                  <w:shd w:val="clear" w:color="auto" w:fill="auto"/>
                  <w:vAlign w:val="center"/>
                </w:tcPr>
                <w:p w14:paraId="15729516">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食用盐</w:t>
                  </w:r>
                </w:p>
              </w:tc>
              <w:tc>
                <w:tcPr>
                  <w:tcW w:w="537" w:type="pct"/>
                  <w:tcBorders>
                    <w:tl2br w:val="nil"/>
                    <w:tr2bl w:val="nil"/>
                  </w:tcBorders>
                  <w:vAlign w:val="center"/>
                </w:tcPr>
                <w:p w14:paraId="7BFE38D2">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shd w:val="clear" w:color="auto" w:fill="auto"/>
                  <w:vAlign w:val="center"/>
                </w:tcPr>
                <w:p w14:paraId="7E3B79E1">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6"/>
                      <w:sz w:val="21"/>
                      <w:szCs w:val="21"/>
                      <w:lang w:val="en-US" w:eastAsia="zh-CN"/>
                    </w:rPr>
                  </w:pPr>
                  <w:r>
                    <w:rPr>
                      <w:rFonts w:hint="eastAsia" w:eastAsia="宋体" w:cs="Times New Roman"/>
                      <w:color w:val="auto"/>
                      <w:spacing w:val="-6"/>
                      <w:sz w:val="21"/>
                      <w:szCs w:val="21"/>
                      <w:lang w:val="en-US" w:eastAsia="zh-CN"/>
                    </w:rPr>
                    <w:t>2.8</w:t>
                  </w:r>
                </w:p>
              </w:tc>
              <w:tc>
                <w:tcPr>
                  <w:tcW w:w="863" w:type="pct"/>
                  <w:tcBorders>
                    <w:tl2br w:val="nil"/>
                    <w:tr2bl w:val="nil"/>
                  </w:tcBorders>
                  <w:vAlign w:val="center"/>
                </w:tcPr>
                <w:p w14:paraId="354B01CB">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50155D67">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1AC2E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214903D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Times New Roman" w:cs="Times New Roman"/>
                      <w:color w:val="auto"/>
                      <w:sz w:val="21"/>
                      <w:szCs w:val="21"/>
                      <w:lang w:val="en-US" w:eastAsia="zh-CN"/>
                    </w:rPr>
                  </w:pPr>
                  <w:r>
                    <w:rPr>
                      <w:rFonts w:hint="eastAsia" w:eastAsia="Times New Roman" w:cs="Times New Roman"/>
                      <w:color w:val="auto"/>
                      <w:sz w:val="21"/>
                      <w:szCs w:val="21"/>
                      <w:lang w:val="en-US" w:eastAsia="zh-CN"/>
                    </w:rPr>
                    <w:t>6</w:t>
                  </w:r>
                </w:p>
              </w:tc>
              <w:tc>
                <w:tcPr>
                  <w:tcW w:w="1318" w:type="pct"/>
                  <w:tcBorders>
                    <w:tl2br w:val="nil"/>
                    <w:tr2bl w:val="nil"/>
                  </w:tcBorders>
                  <w:shd w:val="clear" w:color="auto" w:fill="auto"/>
                  <w:vAlign w:val="center"/>
                </w:tcPr>
                <w:p w14:paraId="27427491">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大豆油</w:t>
                  </w:r>
                </w:p>
              </w:tc>
              <w:tc>
                <w:tcPr>
                  <w:tcW w:w="537" w:type="pct"/>
                  <w:tcBorders>
                    <w:tl2br w:val="nil"/>
                    <w:tr2bl w:val="nil"/>
                  </w:tcBorders>
                  <w:vAlign w:val="center"/>
                </w:tcPr>
                <w:p w14:paraId="075593BC">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rPr>
                    <w:t>t/a</w:t>
                  </w:r>
                </w:p>
              </w:tc>
              <w:tc>
                <w:tcPr>
                  <w:tcW w:w="658" w:type="pct"/>
                  <w:tcBorders>
                    <w:tl2br w:val="nil"/>
                    <w:tr2bl w:val="nil"/>
                  </w:tcBorders>
                  <w:shd w:val="clear" w:color="auto" w:fill="auto"/>
                  <w:vAlign w:val="center"/>
                </w:tcPr>
                <w:p w14:paraId="5627E6F8">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s="Times New Roman"/>
                      <w:color w:val="auto"/>
                      <w:spacing w:val="-6"/>
                      <w:sz w:val="21"/>
                      <w:szCs w:val="21"/>
                      <w:lang w:val="en-US" w:eastAsia="zh-CN"/>
                    </w:rPr>
                  </w:pPr>
                  <w:r>
                    <w:rPr>
                      <w:rFonts w:hint="eastAsia" w:cs="Times New Roman"/>
                      <w:color w:val="auto"/>
                      <w:spacing w:val="-6"/>
                      <w:sz w:val="21"/>
                      <w:szCs w:val="21"/>
                      <w:lang w:val="en-US" w:eastAsia="zh-CN"/>
                    </w:rPr>
                    <w:t>1.2</w:t>
                  </w:r>
                </w:p>
              </w:tc>
              <w:tc>
                <w:tcPr>
                  <w:tcW w:w="863" w:type="pct"/>
                  <w:tcBorders>
                    <w:tl2br w:val="nil"/>
                    <w:tr2bl w:val="nil"/>
                  </w:tcBorders>
                  <w:shd w:val="clear" w:color="auto" w:fill="auto"/>
                  <w:vAlign w:val="center"/>
                </w:tcPr>
                <w:p w14:paraId="6CA822C4">
                  <w:pPr>
                    <w:keepNext w:val="0"/>
                    <w:keepLines w:val="0"/>
                    <w:pageBreakBefore w:val="0"/>
                    <w:widowControl w:val="0"/>
                    <w:kinsoku/>
                    <w:wordWrap/>
                    <w:topLinePunct w:val="0"/>
                    <w:autoSpaceDE/>
                    <w:autoSpaceDN/>
                    <w:bidi w:val="0"/>
                    <w:spacing w:line="240" w:lineRule="auto"/>
                    <w:ind w:left="0" w:leftChars="0"/>
                    <w:jc w:val="center"/>
                    <w:textAlignment w:val="auto"/>
                    <w:rPr>
                      <w:rFonts w:ascii="Times New Roman" w:hAnsi="Times New Roman" w:eastAsia="宋体" w:cs="Times New Roman"/>
                      <w:color w:val="auto"/>
                      <w:spacing w:val="-2"/>
                      <w:kern w:val="2"/>
                      <w:sz w:val="21"/>
                      <w:szCs w:val="21"/>
                      <w:lang w:val="en-US" w:eastAsia="zh-CN" w:bidi="ar-SA"/>
                    </w:rPr>
                  </w:pPr>
                  <w:r>
                    <w:rPr>
                      <w:color w:val="auto"/>
                      <w:spacing w:val="-2"/>
                      <w:sz w:val="21"/>
                      <w:szCs w:val="21"/>
                    </w:rPr>
                    <w:t>辅料，外购</w:t>
                  </w:r>
                </w:p>
              </w:tc>
              <w:tc>
                <w:tcPr>
                  <w:tcW w:w="1269" w:type="pct"/>
                  <w:tcBorders>
                    <w:tl2br w:val="nil"/>
                    <w:tr2bl w:val="nil"/>
                  </w:tcBorders>
                  <w:shd w:val="clear" w:color="auto" w:fill="auto"/>
                  <w:vAlign w:val="center"/>
                </w:tcPr>
                <w:p w14:paraId="4863FBCB">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原料区</w:t>
                  </w:r>
                </w:p>
              </w:tc>
            </w:tr>
            <w:tr w14:paraId="114DE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000" w:type="pct"/>
                  <w:gridSpan w:val="6"/>
                  <w:tcBorders>
                    <w:tl2br w:val="nil"/>
                    <w:tr2bl w:val="nil"/>
                  </w:tcBorders>
                  <w:shd w:val="clear" w:color="auto" w:fill="auto"/>
                  <w:vAlign w:val="center"/>
                </w:tcPr>
                <w:p w14:paraId="1F62CE6F">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szCs w:val="21"/>
                      <w:lang w:val="en-US" w:eastAsia="zh-CN"/>
                    </w:rPr>
                  </w:pPr>
                  <w:r>
                    <w:rPr>
                      <w:rFonts w:hint="eastAsia" w:ascii="Times New Roman" w:hAnsi="Times New Roman" w:eastAsia="宋体" w:cs="Times New Roman"/>
                      <w:b/>
                      <w:bCs/>
                      <w:snapToGrid w:val="0"/>
                      <w:color w:val="auto"/>
                      <w:kern w:val="0"/>
                      <w:sz w:val="21"/>
                      <w:szCs w:val="21"/>
                      <w:lang w:val="en-US" w:eastAsia="zh-CN" w:bidi="ar-SA"/>
                    </w:rPr>
                    <w:t>牛筋面</w:t>
                  </w:r>
                </w:p>
              </w:tc>
            </w:tr>
            <w:tr w14:paraId="5425E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4FE184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eastAsia="宋体" w:cs="Times New Roman"/>
                      <w:color w:val="auto"/>
                      <w:spacing w:val="-9"/>
                      <w:sz w:val="21"/>
                      <w:szCs w:val="21"/>
                      <w:lang w:val="en-US" w:eastAsia="zh-CN"/>
                    </w:rPr>
                    <w:t>1</w:t>
                  </w:r>
                </w:p>
              </w:tc>
              <w:tc>
                <w:tcPr>
                  <w:tcW w:w="1318" w:type="pct"/>
                  <w:tcBorders>
                    <w:tl2br w:val="nil"/>
                    <w:tr2bl w:val="nil"/>
                  </w:tcBorders>
                  <w:shd w:val="clear" w:color="auto" w:fill="auto"/>
                  <w:vAlign w:val="center"/>
                </w:tcPr>
                <w:p w14:paraId="7CBEC06E">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小麦粉</w:t>
                  </w:r>
                </w:p>
              </w:tc>
              <w:tc>
                <w:tcPr>
                  <w:tcW w:w="537" w:type="pct"/>
                  <w:tcBorders>
                    <w:tl2br w:val="nil"/>
                    <w:tr2bl w:val="nil"/>
                  </w:tcBorders>
                  <w:vAlign w:val="center"/>
                </w:tcPr>
                <w:p w14:paraId="313027E1">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5C93A57C">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133.5</w:t>
                  </w:r>
                </w:p>
              </w:tc>
              <w:tc>
                <w:tcPr>
                  <w:tcW w:w="863" w:type="pct"/>
                  <w:tcBorders>
                    <w:tl2br w:val="nil"/>
                    <w:tr2bl w:val="nil"/>
                  </w:tcBorders>
                  <w:vAlign w:val="center"/>
                </w:tcPr>
                <w:p w14:paraId="2A7A0EDC">
                  <w:pPr>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spacing w:val="-2"/>
                      <w:sz w:val="21"/>
                      <w:szCs w:val="21"/>
                      <w:lang w:val="en-US" w:eastAsia="zh-CN"/>
                    </w:rPr>
                  </w:pPr>
                  <w:r>
                    <w:rPr>
                      <w:rFonts w:hint="eastAsia"/>
                      <w:color w:val="auto"/>
                      <w:spacing w:val="-2"/>
                      <w:sz w:val="21"/>
                      <w:szCs w:val="21"/>
                      <w:lang w:val="en-US" w:eastAsia="zh-CN"/>
                    </w:rPr>
                    <w:t>原料，外购</w:t>
                  </w:r>
                </w:p>
              </w:tc>
              <w:tc>
                <w:tcPr>
                  <w:tcW w:w="1269" w:type="pct"/>
                  <w:tcBorders>
                    <w:tl2br w:val="nil"/>
                    <w:tr2bl w:val="nil"/>
                  </w:tcBorders>
                  <w:vAlign w:val="center"/>
                </w:tcPr>
                <w:p w14:paraId="386161DD">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44454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76E305B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2</w:t>
                  </w:r>
                </w:p>
              </w:tc>
              <w:tc>
                <w:tcPr>
                  <w:tcW w:w="1318" w:type="pct"/>
                  <w:tcBorders>
                    <w:tl2br w:val="nil"/>
                    <w:tr2bl w:val="nil"/>
                  </w:tcBorders>
                  <w:shd w:val="clear" w:color="auto" w:fill="auto"/>
                  <w:vAlign w:val="center"/>
                </w:tcPr>
                <w:p w14:paraId="6E450BBD">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米粉、淀粉</w:t>
                  </w:r>
                </w:p>
              </w:tc>
              <w:tc>
                <w:tcPr>
                  <w:tcW w:w="537" w:type="pct"/>
                  <w:tcBorders>
                    <w:tl2br w:val="nil"/>
                    <w:tr2bl w:val="nil"/>
                  </w:tcBorders>
                  <w:vAlign w:val="center"/>
                </w:tcPr>
                <w:p w14:paraId="07D87690">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354C72EA">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23</w:t>
                  </w:r>
                </w:p>
              </w:tc>
              <w:tc>
                <w:tcPr>
                  <w:tcW w:w="863" w:type="pct"/>
                  <w:tcBorders>
                    <w:tl2br w:val="nil"/>
                    <w:tr2bl w:val="nil"/>
                  </w:tcBorders>
                  <w:vAlign w:val="center"/>
                </w:tcPr>
                <w:p w14:paraId="05556029">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pacing w:val="-2"/>
                      <w:sz w:val="21"/>
                      <w:szCs w:val="21"/>
                      <w:lang w:val="en-US" w:eastAsia="zh-CN"/>
                    </w:rPr>
                  </w:pPr>
                  <w:r>
                    <w:rPr>
                      <w:color w:val="auto"/>
                      <w:spacing w:val="-2"/>
                      <w:sz w:val="21"/>
                      <w:szCs w:val="21"/>
                    </w:rPr>
                    <w:t>辅料，外购</w:t>
                  </w:r>
                </w:p>
              </w:tc>
              <w:tc>
                <w:tcPr>
                  <w:tcW w:w="1269" w:type="pct"/>
                  <w:tcBorders>
                    <w:tl2br w:val="nil"/>
                    <w:tr2bl w:val="nil"/>
                  </w:tcBorders>
                  <w:vAlign w:val="center"/>
                </w:tcPr>
                <w:p w14:paraId="2CD0953B">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02520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2" w:type="pct"/>
                  <w:tcBorders>
                    <w:tl2br w:val="nil"/>
                    <w:tr2bl w:val="nil"/>
                  </w:tcBorders>
                  <w:shd w:val="clear" w:color="auto" w:fill="auto"/>
                  <w:vAlign w:val="center"/>
                </w:tcPr>
                <w:p w14:paraId="48A726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3</w:t>
                  </w:r>
                </w:p>
              </w:tc>
              <w:tc>
                <w:tcPr>
                  <w:tcW w:w="1318" w:type="pct"/>
                  <w:tcBorders>
                    <w:tl2br w:val="nil"/>
                    <w:tr2bl w:val="nil"/>
                  </w:tcBorders>
                  <w:shd w:val="clear" w:color="auto" w:fill="auto"/>
                  <w:vAlign w:val="center"/>
                </w:tcPr>
                <w:p w14:paraId="107590BB">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自来水</w:t>
                  </w:r>
                </w:p>
              </w:tc>
              <w:tc>
                <w:tcPr>
                  <w:tcW w:w="537" w:type="pct"/>
                  <w:tcBorders>
                    <w:tl2br w:val="nil"/>
                    <w:tr2bl w:val="nil"/>
                  </w:tcBorders>
                  <w:vAlign w:val="center"/>
                </w:tcPr>
                <w:p w14:paraId="6CD7D13A">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7F3DA5B6">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104.3</w:t>
                  </w:r>
                </w:p>
              </w:tc>
              <w:tc>
                <w:tcPr>
                  <w:tcW w:w="863" w:type="pct"/>
                  <w:tcBorders>
                    <w:tl2br w:val="nil"/>
                    <w:tr2bl w:val="nil"/>
                  </w:tcBorders>
                  <w:vAlign w:val="center"/>
                </w:tcPr>
                <w:p w14:paraId="6C962CDD">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6C2A0FD4">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szCs w:val="21"/>
                      <w:lang w:val="en-US" w:eastAsia="zh-CN"/>
                    </w:rPr>
                  </w:pPr>
                  <w:r>
                    <w:rPr>
                      <w:rFonts w:hint="eastAsia"/>
                      <w:color w:val="auto"/>
                      <w:szCs w:val="21"/>
                      <w:lang w:val="en-US" w:eastAsia="zh-CN"/>
                    </w:rPr>
                    <w:t>供水管网</w:t>
                  </w:r>
                </w:p>
              </w:tc>
            </w:tr>
            <w:tr w14:paraId="55C63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0D6C66F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4</w:t>
                  </w:r>
                </w:p>
              </w:tc>
              <w:tc>
                <w:tcPr>
                  <w:tcW w:w="1318" w:type="pct"/>
                  <w:tcBorders>
                    <w:tl2br w:val="nil"/>
                    <w:tr2bl w:val="nil"/>
                  </w:tcBorders>
                  <w:shd w:val="clear" w:color="auto" w:fill="auto"/>
                  <w:vAlign w:val="center"/>
                </w:tcPr>
                <w:p w14:paraId="7EE5C45E">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食用盐</w:t>
                  </w:r>
                </w:p>
              </w:tc>
              <w:tc>
                <w:tcPr>
                  <w:tcW w:w="537" w:type="pct"/>
                  <w:tcBorders>
                    <w:tl2br w:val="nil"/>
                    <w:tr2bl w:val="nil"/>
                  </w:tcBorders>
                  <w:vAlign w:val="center"/>
                </w:tcPr>
                <w:p w14:paraId="12DBEAA2">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64750E06">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1.26</w:t>
                  </w:r>
                </w:p>
              </w:tc>
              <w:tc>
                <w:tcPr>
                  <w:tcW w:w="863" w:type="pct"/>
                  <w:tcBorders>
                    <w:tl2br w:val="nil"/>
                    <w:tr2bl w:val="nil"/>
                  </w:tcBorders>
                  <w:vAlign w:val="center"/>
                </w:tcPr>
                <w:p w14:paraId="26770495">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3DFDAF0B">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345F3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0E3B8311">
                  <w:pPr>
                    <w:pStyle w:val="2"/>
                    <w:ind w:left="0" w:leftChars="0" w:firstLine="0" w:firstLineChars="0"/>
                    <w:jc w:val="center"/>
                    <w:rPr>
                      <w:rFonts w:hint="default"/>
                      <w:lang w:val="en-US" w:eastAsia="zh-CN"/>
                    </w:rPr>
                  </w:pPr>
                  <w:r>
                    <w:rPr>
                      <w:rFonts w:hint="eastAsia"/>
                      <w:lang w:val="en-US" w:eastAsia="zh-CN"/>
                    </w:rPr>
                    <w:t>5</w:t>
                  </w:r>
                </w:p>
              </w:tc>
              <w:tc>
                <w:tcPr>
                  <w:tcW w:w="1318" w:type="pct"/>
                  <w:tcBorders>
                    <w:tl2br w:val="nil"/>
                    <w:tr2bl w:val="nil"/>
                  </w:tcBorders>
                  <w:shd w:val="clear" w:color="auto" w:fill="auto"/>
                  <w:vAlign w:val="center"/>
                </w:tcPr>
                <w:p w14:paraId="62CB223B">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单双甘油脂肪酸酯</w:t>
                  </w:r>
                </w:p>
              </w:tc>
              <w:tc>
                <w:tcPr>
                  <w:tcW w:w="537" w:type="pct"/>
                  <w:tcBorders>
                    <w:tl2br w:val="nil"/>
                    <w:tr2bl w:val="nil"/>
                  </w:tcBorders>
                  <w:vAlign w:val="center"/>
                </w:tcPr>
                <w:p w14:paraId="3E1F526D">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27F31E95">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0.3</w:t>
                  </w:r>
                </w:p>
              </w:tc>
              <w:tc>
                <w:tcPr>
                  <w:tcW w:w="863" w:type="pct"/>
                  <w:tcBorders>
                    <w:tl2br w:val="nil"/>
                    <w:tr2bl w:val="nil"/>
                  </w:tcBorders>
                  <w:vAlign w:val="center"/>
                </w:tcPr>
                <w:p w14:paraId="23286355">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22EABD1A">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08966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6C151E40">
                  <w:pPr>
                    <w:pStyle w:val="2"/>
                    <w:ind w:left="0" w:leftChars="0" w:firstLine="0" w:firstLineChars="0"/>
                    <w:jc w:val="center"/>
                    <w:rPr>
                      <w:rFonts w:hint="default"/>
                      <w:lang w:val="en-US" w:eastAsia="zh-CN"/>
                    </w:rPr>
                  </w:pPr>
                  <w:r>
                    <w:rPr>
                      <w:rFonts w:hint="eastAsia"/>
                      <w:lang w:val="en-US" w:eastAsia="zh-CN"/>
                    </w:rPr>
                    <w:t>6</w:t>
                  </w:r>
                </w:p>
              </w:tc>
              <w:tc>
                <w:tcPr>
                  <w:tcW w:w="1318" w:type="pct"/>
                  <w:tcBorders>
                    <w:tl2br w:val="nil"/>
                    <w:tr2bl w:val="nil"/>
                  </w:tcBorders>
                  <w:shd w:val="clear" w:color="auto" w:fill="auto"/>
                  <w:vAlign w:val="center"/>
                </w:tcPr>
                <w:p w14:paraId="320FA40B">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葡萄糖</w:t>
                  </w:r>
                </w:p>
              </w:tc>
              <w:tc>
                <w:tcPr>
                  <w:tcW w:w="537" w:type="pct"/>
                  <w:tcBorders>
                    <w:tl2br w:val="nil"/>
                    <w:tr2bl w:val="nil"/>
                  </w:tcBorders>
                  <w:vAlign w:val="center"/>
                </w:tcPr>
                <w:p w14:paraId="335BB779">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3982135B">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spacing w:val="-1"/>
                      <w:sz w:val="21"/>
                      <w:szCs w:val="21"/>
                      <w:lang w:val="en-US" w:eastAsia="zh-CN"/>
                    </w:rPr>
                  </w:pPr>
                  <w:r>
                    <w:rPr>
                      <w:rFonts w:hint="eastAsia" w:eastAsia="宋体" w:cs="Times New Roman"/>
                      <w:color w:val="auto"/>
                      <w:spacing w:val="-1"/>
                      <w:sz w:val="21"/>
                      <w:szCs w:val="21"/>
                      <w:lang w:val="en-US" w:eastAsia="zh-CN"/>
                    </w:rPr>
                    <w:t>0.1</w:t>
                  </w:r>
                </w:p>
              </w:tc>
              <w:tc>
                <w:tcPr>
                  <w:tcW w:w="863" w:type="pct"/>
                  <w:tcBorders>
                    <w:tl2br w:val="nil"/>
                    <w:tr2bl w:val="nil"/>
                  </w:tcBorders>
                  <w:vAlign w:val="center"/>
                </w:tcPr>
                <w:p w14:paraId="17C0861D">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746AE98F">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原料区</w:t>
                  </w:r>
                </w:p>
              </w:tc>
            </w:tr>
            <w:tr w14:paraId="51119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52" w:type="pct"/>
                  <w:tcBorders>
                    <w:tl2br w:val="nil"/>
                    <w:tr2bl w:val="nil"/>
                  </w:tcBorders>
                  <w:shd w:val="clear" w:color="auto" w:fill="auto"/>
                  <w:vAlign w:val="center"/>
                </w:tcPr>
                <w:p w14:paraId="076D118F">
                  <w:pPr>
                    <w:pStyle w:val="2"/>
                    <w:ind w:left="0" w:leftChars="0" w:firstLine="0" w:firstLineChars="0"/>
                    <w:jc w:val="center"/>
                    <w:rPr>
                      <w:rFonts w:hint="default"/>
                      <w:lang w:val="en-US" w:eastAsia="zh-CN"/>
                    </w:rPr>
                  </w:pPr>
                  <w:r>
                    <w:rPr>
                      <w:rFonts w:hint="eastAsia"/>
                      <w:lang w:val="en-US" w:eastAsia="zh-CN"/>
                    </w:rPr>
                    <w:t>7</w:t>
                  </w:r>
                </w:p>
              </w:tc>
              <w:tc>
                <w:tcPr>
                  <w:tcW w:w="1318" w:type="pct"/>
                  <w:tcBorders>
                    <w:tl2br w:val="nil"/>
                    <w:tr2bl w:val="nil"/>
                  </w:tcBorders>
                  <w:shd w:val="clear" w:color="auto" w:fill="auto"/>
                  <w:vAlign w:val="center"/>
                </w:tcPr>
                <w:p w14:paraId="3620C049">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3"/>
                      <w:sz w:val="21"/>
                      <w:szCs w:val="21"/>
                      <w:lang w:val="en-US" w:eastAsia="zh-CN"/>
                    </w:rPr>
                  </w:pPr>
                  <w:r>
                    <w:rPr>
                      <w:rFonts w:hint="eastAsia"/>
                      <w:color w:val="auto"/>
                      <w:spacing w:val="-3"/>
                      <w:sz w:val="21"/>
                      <w:szCs w:val="21"/>
                      <w:lang w:val="en-US" w:eastAsia="zh-CN"/>
                    </w:rPr>
                    <w:t>大豆油</w:t>
                  </w:r>
                </w:p>
              </w:tc>
              <w:tc>
                <w:tcPr>
                  <w:tcW w:w="537" w:type="pct"/>
                  <w:tcBorders>
                    <w:tl2br w:val="nil"/>
                    <w:tr2bl w:val="nil"/>
                  </w:tcBorders>
                  <w:vAlign w:val="center"/>
                </w:tcPr>
                <w:p w14:paraId="17CB3611">
                  <w:pPr>
                    <w:pStyle w:val="114"/>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3"/>
                      <w:sz w:val="21"/>
                      <w:szCs w:val="21"/>
                      <w:lang w:val="en-US" w:eastAsia="zh-CN"/>
                    </w:rPr>
                  </w:pPr>
                  <w:r>
                    <w:rPr>
                      <w:rFonts w:hint="eastAsia"/>
                      <w:color w:val="auto"/>
                      <w:spacing w:val="-3"/>
                      <w:sz w:val="21"/>
                      <w:szCs w:val="21"/>
                      <w:lang w:val="en-US" w:eastAsia="zh-CN"/>
                    </w:rPr>
                    <w:t>t/a</w:t>
                  </w:r>
                </w:p>
              </w:tc>
              <w:tc>
                <w:tcPr>
                  <w:tcW w:w="658" w:type="pct"/>
                  <w:tcBorders>
                    <w:tl2br w:val="nil"/>
                    <w:tr2bl w:val="nil"/>
                  </w:tcBorders>
                  <w:shd w:val="clear" w:color="auto" w:fill="auto"/>
                  <w:vAlign w:val="center"/>
                </w:tcPr>
                <w:p w14:paraId="4FC5A616">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s="Times New Roman"/>
                      <w:color w:val="auto"/>
                      <w:spacing w:val="-1"/>
                      <w:sz w:val="21"/>
                      <w:szCs w:val="21"/>
                      <w:lang w:val="en-US" w:eastAsia="zh-CN"/>
                    </w:rPr>
                  </w:pPr>
                  <w:r>
                    <w:rPr>
                      <w:rFonts w:hint="eastAsia" w:cs="Times New Roman"/>
                      <w:color w:val="auto"/>
                      <w:spacing w:val="-1"/>
                      <w:sz w:val="21"/>
                      <w:szCs w:val="21"/>
                      <w:lang w:val="en-US" w:eastAsia="zh-CN"/>
                    </w:rPr>
                    <w:t>0.8</w:t>
                  </w:r>
                </w:p>
              </w:tc>
              <w:tc>
                <w:tcPr>
                  <w:tcW w:w="863" w:type="pct"/>
                  <w:tcBorders>
                    <w:tl2br w:val="nil"/>
                    <w:tr2bl w:val="nil"/>
                  </w:tcBorders>
                  <w:shd w:val="clear" w:color="auto" w:fill="auto"/>
                  <w:vAlign w:val="center"/>
                </w:tcPr>
                <w:p w14:paraId="0F1101B2">
                  <w:pPr>
                    <w:keepNext w:val="0"/>
                    <w:keepLines w:val="0"/>
                    <w:pageBreakBefore w:val="0"/>
                    <w:widowControl w:val="0"/>
                    <w:kinsoku/>
                    <w:wordWrap/>
                    <w:topLinePunct w:val="0"/>
                    <w:autoSpaceDE/>
                    <w:autoSpaceDN/>
                    <w:bidi w:val="0"/>
                    <w:spacing w:line="240" w:lineRule="auto"/>
                    <w:ind w:left="0" w:leftChars="0"/>
                    <w:jc w:val="center"/>
                    <w:textAlignment w:val="auto"/>
                    <w:rPr>
                      <w:rFonts w:ascii="Times New Roman" w:hAnsi="Times New Roman" w:eastAsia="宋体" w:cs="Times New Roman"/>
                      <w:color w:val="auto"/>
                      <w:spacing w:val="-2"/>
                      <w:kern w:val="2"/>
                      <w:sz w:val="21"/>
                      <w:szCs w:val="21"/>
                      <w:lang w:val="en-US" w:eastAsia="zh-CN" w:bidi="ar-SA"/>
                    </w:rPr>
                  </w:pPr>
                  <w:r>
                    <w:rPr>
                      <w:color w:val="auto"/>
                      <w:spacing w:val="-2"/>
                      <w:sz w:val="21"/>
                      <w:szCs w:val="21"/>
                    </w:rPr>
                    <w:t>辅料，外购</w:t>
                  </w:r>
                </w:p>
              </w:tc>
              <w:tc>
                <w:tcPr>
                  <w:tcW w:w="1269" w:type="pct"/>
                  <w:tcBorders>
                    <w:tl2br w:val="nil"/>
                    <w:tr2bl w:val="nil"/>
                  </w:tcBorders>
                  <w:shd w:val="clear" w:color="auto" w:fill="auto"/>
                  <w:vAlign w:val="center"/>
                </w:tcPr>
                <w:p w14:paraId="350C7071">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原料区</w:t>
                  </w:r>
                </w:p>
              </w:tc>
            </w:tr>
            <w:tr w14:paraId="17187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000" w:type="pct"/>
                  <w:gridSpan w:val="6"/>
                  <w:tcBorders>
                    <w:tl2br w:val="nil"/>
                    <w:tr2bl w:val="nil"/>
                  </w:tcBorders>
                  <w:shd w:val="clear" w:color="auto" w:fill="auto"/>
                  <w:vAlign w:val="center"/>
                </w:tcPr>
                <w:p w14:paraId="4C3C85B8">
                  <w:pPr>
                    <w:pStyle w:val="93"/>
                    <w:keepNext w:val="0"/>
                    <w:keepLines w:val="0"/>
                    <w:pageBreakBefore w:val="0"/>
                    <w:widowControl w:val="0"/>
                    <w:kinsoku/>
                    <w:wordWrap/>
                    <w:topLinePunct w:val="0"/>
                    <w:autoSpaceDE/>
                    <w:autoSpaceDN/>
                    <w:bidi w:val="0"/>
                    <w:spacing w:line="240" w:lineRule="auto"/>
                    <w:ind w:left="0"/>
                    <w:jc w:val="both"/>
                    <w:textAlignment w:val="auto"/>
                    <w:rPr>
                      <w:color w:val="auto"/>
                      <w:spacing w:val="-1"/>
                      <w:sz w:val="21"/>
                      <w:szCs w:val="21"/>
                    </w:rPr>
                  </w:pPr>
                  <w:r>
                    <w:rPr>
                      <w:color w:val="auto"/>
                      <w:spacing w:val="-1"/>
                      <w:sz w:val="21"/>
                      <w:szCs w:val="21"/>
                    </w:rPr>
                    <w:t>注：本项目产品均边生产边出售，销售不完的暂时冷藏，隔天销售，故无食品添加剂。</w:t>
                  </w:r>
                </w:p>
                <w:p w14:paraId="5E2BD618">
                  <w:pPr>
                    <w:pStyle w:val="93"/>
                    <w:keepNext w:val="0"/>
                    <w:keepLines w:val="0"/>
                    <w:pageBreakBefore w:val="0"/>
                    <w:widowControl w:val="0"/>
                    <w:kinsoku/>
                    <w:wordWrap/>
                    <w:topLinePunct w:val="0"/>
                    <w:autoSpaceDE/>
                    <w:autoSpaceDN/>
                    <w:bidi w:val="0"/>
                    <w:spacing w:line="240" w:lineRule="auto"/>
                    <w:ind w:left="0"/>
                    <w:jc w:val="both"/>
                    <w:textAlignment w:val="auto"/>
                    <w:rPr>
                      <w:rFonts w:hint="eastAsia"/>
                      <w:color w:val="auto"/>
                      <w:spacing w:val="-5"/>
                      <w:lang w:eastAsia="zh-CN"/>
                    </w:rPr>
                  </w:pPr>
                  <w:r>
                    <w:rPr>
                      <w:color w:val="auto"/>
                    </w:rPr>
                    <w:t>成品冷库</w:t>
                  </w:r>
                  <w:r>
                    <w:rPr>
                      <w:rFonts w:hint="eastAsia"/>
                      <w:color w:val="auto"/>
                      <w:lang w:val="en-US" w:eastAsia="zh-CN"/>
                    </w:rPr>
                    <w:t>区</w:t>
                  </w:r>
                  <w:r>
                    <w:rPr>
                      <w:color w:val="auto"/>
                    </w:rPr>
                    <w:t>库温设置为</w:t>
                  </w:r>
                  <w:r>
                    <w:rPr>
                      <w:rFonts w:ascii="Times New Roman" w:hAnsi="Times New Roman" w:eastAsia="Times New Roman" w:cs="Times New Roman"/>
                      <w:color w:val="auto"/>
                      <w:spacing w:val="-1"/>
                    </w:rPr>
                    <w:t>0-5</w:t>
                  </w:r>
                  <w:r>
                    <w:rPr>
                      <w:color w:val="auto"/>
                      <w:spacing w:val="-1"/>
                    </w:rPr>
                    <w:t>℃</w:t>
                  </w:r>
                  <w:r>
                    <w:rPr>
                      <w:rFonts w:hint="eastAsia"/>
                      <w:color w:val="auto"/>
                      <w:spacing w:val="-1"/>
                      <w:lang w:eastAsia="zh-CN"/>
                    </w:rPr>
                    <w:t>，</w:t>
                  </w:r>
                  <w:r>
                    <w:rPr>
                      <w:color w:val="auto"/>
                      <w:spacing w:val="-1"/>
                    </w:rPr>
                    <w:t>进</w:t>
                  </w:r>
                  <w:r>
                    <w:rPr>
                      <w:color w:val="auto"/>
                      <w:spacing w:val="-5"/>
                    </w:rPr>
                    <w:t>库温度为</w:t>
                  </w:r>
                  <w:r>
                    <w:rPr>
                      <w:rFonts w:ascii="Times New Roman" w:hAnsi="Times New Roman" w:eastAsia="Times New Roman" w:cs="Times New Roman"/>
                      <w:color w:val="auto"/>
                      <w:spacing w:val="-5"/>
                    </w:rPr>
                    <w:t>15</w:t>
                  </w:r>
                  <w:r>
                    <w:rPr>
                      <w:color w:val="auto"/>
                      <w:spacing w:val="-5"/>
                    </w:rPr>
                    <w:t>℃</w:t>
                  </w:r>
                  <w:r>
                    <w:rPr>
                      <w:rFonts w:hint="eastAsia"/>
                      <w:color w:val="auto"/>
                      <w:spacing w:val="-5"/>
                      <w:lang w:eastAsia="zh-CN"/>
                    </w:rPr>
                    <w:t>。</w:t>
                  </w:r>
                </w:p>
              </w:tc>
            </w:tr>
            <w:tr w14:paraId="7DEA6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5000" w:type="pct"/>
                  <w:gridSpan w:val="6"/>
                  <w:tcBorders>
                    <w:tl2br w:val="nil"/>
                    <w:tr2bl w:val="nil"/>
                  </w:tcBorders>
                  <w:vAlign w:val="center"/>
                </w:tcPr>
                <w:p w14:paraId="168A238A">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lang w:val="en-US" w:eastAsia="zh-CN"/>
                    </w:rPr>
                  </w:pPr>
                  <w:r>
                    <w:rPr>
                      <w:rFonts w:hint="eastAsia"/>
                      <w:b/>
                      <w:bCs/>
                      <w:color w:val="auto"/>
                      <w:lang w:val="en-US" w:eastAsia="zh-CN"/>
                    </w:rPr>
                    <w:t>豆制品、卤制品</w:t>
                  </w:r>
                </w:p>
              </w:tc>
            </w:tr>
            <w:tr w14:paraId="2A0B3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vAlign w:val="center"/>
                </w:tcPr>
                <w:p w14:paraId="3225D78E">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eastAsia="宋体"/>
                      <w:color w:val="auto"/>
                      <w:lang w:val="en-US" w:eastAsia="zh-CN"/>
                    </w:rPr>
                  </w:pPr>
                  <w:r>
                    <w:rPr>
                      <w:rFonts w:hint="eastAsia"/>
                      <w:color w:val="auto"/>
                      <w:lang w:val="en-US" w:eastAsia="zh-CN"/>
                    </w:rPr>
                    <w:t>1</w:t>
                  </w:r>
                </w:p>
              </w:tc>
              <w:tc>
                <w:tcPr>
                  <w:tcW w:w="1318" w:type="pct"/>
                  <w:tcBorders>
                    <w:tl2br w:val="nil"/>
                    <w:tr2bl w:val="nil"/>
                  </w:tcBorders>
                  <w:vAlign w:val="center"/>
                </w:tcPr>
                <w:p w14:paraId="5E0E0DD4">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黄豆</w:t>
                  </w:r>
                </w:p>
              </w:tc>
              <w:tc>
                <w:tcPr>
                  <w:tcW w:w="537" w:type="pct"/>
                  <w:tcBorders>
                    <w:tl2br w:val="nil"/>
                    <w:tr2bl w:val="nil"/>
                  </w:tcBorders>
                  <w:vAlign w:val="center"/>
                </w:tcPr>
                <w:p w14:paraId="7381BB99">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5982B074">
                  <w:pPr>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100</w:t>
                  </w:r>
                </w:p>
              </w:tc>
              <w:tc>
                <w:tcPr>
                  <w:tcW w:w="863" w:type="pct"/>
                  <w:tcBorders>
                    <w:tl2br w:val="nil"/>
                    <w:tr2bl w:val="nil"/>
                  </w:tcBorders>
                  <w:vAlign w:val="center"/>
                </w:tcPr>
                <w:p w14:paraId="29C36137">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282DCD24">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原料区</w:t>
                  </w:r>
                </w:p>
              </w:tc>
            </w:tr>
            <w:tr w14:paraId="65001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0D8CEAF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w:t>
                  </w:r>
                </w:p>
              </w:tc>
              <w:tc>
                <w:tcPr>
                  <w:tcW w:w="1318" w:type="pct"/>
                  <w:tcBorders>
                    <w:tl2br w:val="nil"/>
                    <w:tr2bl w:val="nil"/>
                  </w:tcBorders>
                  <w:shd w:val="clear" w:color="auto" w:fill="auto"/>
                  <w:vAlign w:val="center"/>
                </w:tcPr>
                <w:p w14:paraId="6E593CC7">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盐卤</w:t>
                  </w:r>
                </w:p>
              </w:tc>
              <w:tc>
                <w:tcPr>
                  <w:tcW w:w="537" w:type="pct"/>
                  <w:tcBorders>
                    <w:tl2br w:val="nil"/>
                    <w:tr2bl w:val="nil"/>
                  </w:tcBorders>
                  <w:shd w:val="clear" w:color="auto" w:fill="auto"/>
                  <w:vAlign w:val="center"/>
                </w:tcPr>
                <w:p w14:paraId="29010D09">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ascii="Times New Roman" w:hAnsi="Times New Roman" w:eastAsia="宋体" w:cs="Times New Roman"/>
                      <w:color w:val="auto"/>
                      <w:kern w:val="2"/>
                      <w:sz w:val="21"/>
                      <w:szCs w:val="21"/>
                      <w:lang w:val="en-US" w:eastAsia="zh-CN" w:bidi="ar-SA"/>
                    </w:rPr>
                  </w:pPr>
                  <w:r>
                    <w:rPr>
                      <w:color w:val="auto"/>
                    </w:rPr>
                    <w:t>t/a</w:t>
                  </w:r>
                </w:p>
              </w:tc>
              <w:tc>
                <w:tcPr>
                  <w:tcW w:w="658" w:type="pct"/>
                  <w:tcBorders>
                    <w:tl2br w:val="nil"/>
                    <w:tr2bl w:val="nil"/>
                  </w:tcBorders>
                  <w:shd w:val="clear" w:color="auto" w:fill="auto"/>
                  <w:vAlign w:val="center"/>
                </w:tcPr>
                <w:p w14:paraId="3C1FCAF5">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0.3</w:t>
                  </w:r>
                </w:p>
              </w:tc>
              <w:tc>
                <w:tcPr>
                  <w:tcW w:w="863" w:type="pct"/>
                  <w:tcBorders>
                    <w:tl2br w:val="nil"/>
                    <w:tr2bl w:val="nil"/>
                  </w:tcBorders>
                  <w:shd w:val="clear" w:color="auto" w:fill="auto"/>
                  <w:vAlign w:val="center"/>
                </w:tcPr>
                <w:p w14:paraId="04F45EDE">
                  <w:pPr>
                    <w:keepNext w:val="0"/>
                    <w:keepLines w:val="0"/>
                    <w:pageBreakBefore w:val="0"/>
                    <w:widowControl w:val="0"/>
                    <w:kinsoku/>
                    <w:wordWrap/>
                    <w:topLinePunct w:val="0"/>
                    <w:autoSpaceDE/>
                    <w:autoSpaceDN/>
                    <w:bidi w:val="0"/>
                    <w:spacing w:line="240" w:lineRule="auto"/>
                    <w:ind w:left="0" w:leftChars="0"/>
                    <w:jc w:val="center"/>
                    <w:textAlignment w:val="auto"/>
                    <w:rPr>
                      <w:rFonts w:ascii="Times New Roman" w:hAnsi="Times New Roman" w:eastAsia="宋体" w:cs="Times New Roman"/>
                      <w:color w:val="auto"/>
                      <w:kern w:val="2"/>
                      <w:sz w:val="21"/>
                      <w:szCs w:val="24"/>
                      <w:lang w:val="en-US" w:eastAsia="zh-CN" w:bidi="ar-SA"/>
                    </w:rPr>
                  </w:pPr>
                  <w:r>
                    <w:rPr>
                      <w:color w:val="auto"/>
                      <w:spacing w:val="-2"/>
                      <w:sz w:val="21"/>
                      <w:szCs w:val="21"/>
                    </w:rPr>
                    <w:t>辅料，外购</w:t>
                  </w:r>
                </w:p>
              </w:tc>
              <w:tc>
                <w:tcPr>
                  <w:tcW w:w="1269" w:type="pct"/>
                  <w:tcBorders>
                    <w:tl2br w:val="nil"/>
                    <w:tr2bl w:val="nil"/>
                  </w:tcBorders>
                  <w:shd w:val="clear" w:color="auto" w:fill="auto"/>
                  <w:vAlign w:val="center"/>
                </w:tcPr>
                <w:p w14:paraId="1A509E42">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豆制品原料区</w:t>
                  </w:r>
                </w:p>
              </w:tc>
            </w:tr>
            <w:tr w14:paraId="3C2C8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vAlign w:val="center"/>
                </w:tcPr>
                <w:p w14:paraId="1F269A15">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color w:val="auto"/>
                      <w:lang w:val="en-US" w:eastAsia="zh-CN"/>
                    </w:rPr>
                    <w:t>3</w:t>
                  </w:r>
                </w:p>
              </w:tc>
              <w:tc>
                <w:tcPr>
                  <w:tcW w:w="1318" w:type="pct"/>
                  <w:tcBorders>
                    <w:tl2br w:val="nil"/>
                    <w:tr2bl w:val="nil"/>
                  </w:tcBorders>
                  <w:vAlign w:val="center"/>
                </w:tcPr>
                <w:p w14:paraId="3827569A">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color w:val="auto"/>
                      <w:szCs w:val="21"/>
                      <w:lang w:val="en-US" w:eastAsia="zh-CN"/>
                    </w:rPr>
                  </w:pPr>
                  <w:r>
                    <w:rPr>
                      <w:rFonts w:hint="eastAsia"/>
                      <w:color w:val="auto"/>
                      <w:szCs w:val="21"/>
                      <w:lang w:val="en-US" w:eastAsia="zh-CN"/>
                    </w:rPr>
                    <w:t>无水石膏</w:t>
                  </w:r>
                </w:p>
              </w:tc>
              <w:tc>
                <w:tcPr>
                  <w:tcW w:w="537" w:type="pct"/>
                  <w:tcBorders>
                    <w:tl2br w:val="nil"/>
                    <w:tr2bl w:val="nil"/>
                  </w:tcBorders>
                  <w:shd w:val="clear" w:color="auto" w:fill="auto"/>
                  <w:vAlign w:val="center"/>
                </w:tcPr>
                <w:p w14:paraId="650A67C9">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ascii="Times New Roman" w:hAnsi="Times New Roman" w:eastAsia="宋体" w:cs="Times New Roman"/>
                      <w:color w:val="auto"/>
                      <w:kern w:val="2"/>
                      <w:sz w:val="21"/>
                      <w:szCs w:val="21"/>
                      <w:lang w:val="en-US" w:eastAsia="zh-CN" w:bidi="ar-SA"/>
                    </w:rPr>
                  </w:pPr>
                  <w:r>
                    <w:rPr>
                      <w:color w:val="auto"/>
                    </w:rPr>
                    <w:t>t/a</w:t>
                  </w:r>
                </w:p>
              </w:tc>
              <w:tc>
                <w:tcPr>
                  <w:tcW w:w="658" w:type="pct"/>
                  <w:tcBorders>
                    <w:tl2br w:val="nil"/>
                    <w:tr2bl w:val="nil"/>
                  </w:tcBorders>
                  <w:shd w:val="clear" w:color="auto" w:fill="auto"/>
                  <w:vAlign w:val="center"/>
                </w:tcPr>
                <w:p w14:paraId="1830FCE1">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0.3</w:t>
                  </w:r>
                </w:p>
              </w:tc>
              <w:tc>
                <w:tcPr>
                  <w:tcW w:w="863" w:type="pct"/>
                  <w:tcBorders>
                    <w:tl2br w:val="nil"/>
                    <w:tr2bl w:val="nil"/>
                  </w:tcBorders>
                  <w:vAlign w:val="center"/>
                </w:tcPr>
                <w:p w14:paraId="5070709B">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6E9AC651">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豆制品辅料区</w:t>
                  </w:r>
                </w:p>
              </w:tc>
            </w:tr>
            <w:tr w14:paraId="7EE1C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37A1DD95">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Times New Roman" w:cs="Times New Roman"/>
                      <w:snapToGrid w:val="0"/>
                      <w:color w:val="auto"/>
                      <w:kern w:val="2"/>
                      <w:sz w:val="21"/>
                      <w:szCs w:val="21"/>
                      <w:lang w:val="en-US" w:eastAsia="zh-CN" w:bidi="ar-SA"/>
                    </w:rPr>
                  </w:pPr>
                  <w:r>
                    <w:rPr>
                      <w:color w:val="auto"/>
                    </w:rPr>
                    <w:t>4</w:t>
                  </w:r>
                </w:p>
              </w:tc>
              <w:tc>
                <w:tcPr>
                  <w:tcW w:w="1318" w:type="pct"/>
                  <w:tcBorders>
                    <w:tl2br w:val="nil"/>
                    <w:tr2bl w:val="nil"/>
                  </w:tcBorders>
                  <w:vAlign w:val="center"/>
                </w:tcPr>
                <w:p w14:paraId="337903C8">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color w:val="auto"/>
                      <w:szCs w:val="21"/>
                      <w:lang w:val="en-US" w:eastAsia="zh-CN"/>
                    </w:rPr>
                  </w:pPr>
                  <w:r>
                    <w:rPr>
                      <w:rFonts w:hint="eastAsia"/>
                      <w:color w:val="auto"/>
                      <w:szCs w:val="21"/>
                      <w:lang w:val="en-US" w:eastAsia="zh-CN"/>
                    </w:rPr>
                    <w:t>消泡剂</w:t>
                  </w:r>
                </w:p>
              </w:tc>
              <w:tc>
                <w:tcPr>
                  <w:tcW w:w="537" w:type="pct"/>
                  <w:tcBorders>
                    <w:tl2br w:val="nil"/>
                    <w:tr2bl w:val="nil"/>
                  </w:tcBorders>
                  <w:shd w:val="clear" w:color="auto" w:fill="auto"/>
                  <w:vAlign w:val="center"/>
                </w:tcPr>
                <w:p w14:paraId="712C6FFC">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color w:val="auto"/>
                    </w:rPr>
                  </w:pPr>
                  <w:r>
                    <w:rPr>
                      <w:color w:val="auto"/>
                    </w:rPr>
                    <w:t>t/a</w:t>
                  </w:r>
                </w:p>
              </w:tc>
              <w:tc>
                <w:tcPr>
                  <w:tcW w:w="658" w:type="pct"/>
                  <w:tcBorders>
                    <w:tl2br w:val="nil"/>
                    <w:tr2bl w:val="nil"/>
                  </w:tcBorders>
                  <w:shd w:val="clear" w:color="auto" w:fill="auto"/>
                  <w:vAlign w:val="center"/>
                </w:tcPr>
                <w:p w14:paraId="310D958E">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zCs w:val="21"/>
                      <w:lang w:val="en-US" w:eastAsia="zh-CN"/>
                    </w:rPr>
                  </w:pPr>
                  <w:r>
                    <w:rPr>
                      <w:rFonts w:hint="eastAsia"/>
                      <w:color w:val="auto"/>
                      <w:szCs w:val="21"/>
                      <w:lang w:val="en-US" w:eastAsia="zh-CN"/>
                    </w:rPr>
                    <w:t>0.1</w:t>
                  </w:r>
                </w:p>
              </w:tc>
              <w:tc>
                <w:tcPr>
                  <w:tcW w:w="863" w:type="pct"/>
                  <w:tcBorders>
                    <w:tl2br w:val="nil"/>
                    <w:tr2bl w:val="nil"/>
                  </w:tcBorders>
                  <w:vAlign w:val="center"/>
                </w:tcPr>
                <w:p w14:paraId="082C8A19">
                  <w:pPr>
                    <w:keepNext w:val="0"/>
                    <w:keepLines w:val="0"/>
                    <w:pageBreakBefore w:val="0"/>
                    <w:widowControl w:val="0"/>
                    <w:kinsoku/>
                    <w:wordWrap/>
                    <w:topLinePunct w:val="0"/>
                    <w:autoSpaceDE/>
                    <w:autoSpaceDN/>
                    <w:bidi w:val="0"/>
                    <w:spacing w:line="240" w:lineRule="auto"/>
                    <w:ind w:left="0"/>
                    <w:jc w:val="center"/>
                    <w:textAlignment w:val="auto"/>
                    <w:rPr>
                      <w:color w:val="auto"/>
                      <w:spacing w:val="-2"/>
                      <w:sz w:val="21"/>
                      <w:szCs w:val="21"/>
                    </w:rPr>
                  </w:pPr>
                  <w:r>
                    <w:rPr>
                      <w:color w:val="auto"/>
                      <w:spacing w:val="-2"/>
                      <w:sz w:val="21"/>
                      <w:szCs w:val="21"/>
                    </w:rPr>
                    <w:t>辅料，外购</w:t>
                  </w:r>
                </w:p>
              </w:tc>
              <w:tc>
                <w:tcPr>
                  <w:tcW w:w="1269" w:type="pct"/>
                  <w:tcBorders>
                    <w:tl2br w:val="nil"/>
                    <w:tr2bl w:val="nil"/>
                  </w:tcBorders>
                  <w:vAlign w:val="center"/>
                </w:tcPr>
                <w:p w14:paraId="41DB128B">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豆制品辅料区</w:t>
                  </w:r>
                </w:p>
              </w:tc>
            </w:tr>
            <w:tr w14:paraId="155A0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45B66A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sz w:val="21"/>
                      <w:szCs w:val="21"/>
                      <w:lang w:val="en-US" w:eastAsia="zh-CN"/>
                    </w:rPr>
                    <w:t>5</w:t>
                  </w:r>
                </w:p>
              </w:tc>
              <w:tc>
                <w:tcPr>
                  <w:tcW w:w="1318" w:type="pct"/>
                  <w:tcBorders>
                    <w:tl2br w:val="nil"/>
                    <w:tr2bl w:val="nil"/>
                  </w:tcBorders>
                  <w:vAlign w:val="center"/>
                </w:tcPr>
                <w:p w14:paraId="3EB5DB69">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冷冻肉制品</w:t>
                  </w:r>
                </w:p>
              </w:tc>
              <w:tc>
                <w:tcPr>
                  <w:tcW w:w="537" w:type="pct"/>
                  <w:tcBorders>
                    <w:tl2br w:val="nil"/>
                    <w:tr2bl w:val="nil"/>
                  </w:tcBorders>
                  <w:vAlign w:val="center"/>
                </w:tcPr>
                <w:p w14:paraId="28A71767">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601C0F6C">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olor w:val="auto"/>
                      <w:szCs w:val="21"/>
                      <w:lang w:val="en-US" w:eastAsia="zh-CN"/>
                    </w:rPr>
                  </w:pPr>
                  <w:r>
                    <w:rPr>
                      <w:rFonts w:hint="eastAsia"/>
                      <w:color w:val="auto"/>
                      <w:szCs w:val="21"/>
                      <w:lang w:val="en-US" w:eastAsia="zh-CN"/>
                    </w:rPr>
                    <w:t>190</w:t>
                  </w:r>
                </w:p>
              </w:tc>
              <w:tc>
                <w:tcPr>
                  <w:tcW w:w="863" w:type="pct"/>
                  <w:tcBorders>
                    <w:tl2br w:val="nil"/>
                    <w:tr2bl w:val="nil"/>
                  </w:tcBorders>
                  <w:vAlign w:val="center"/>
                </w:tcPr>
                <w:p w14:paraId="380BCC24">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27D28435">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牛杂羊杂原料区</w:t>
                  </w:r>
                </w:p>
              </w:tc>
            </w:tr>
            <w:tr w14:paraId="688F1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705331B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z w:val="21"/>
                      <w:szCs w:val="21"/>
                    </w:rPr>
                    <w:t>6</w:t>
                  </w:r>
                </w:p>
              </w:tc>
              <w:tc>
                <w:tcPr>
                  <w:tcW w:w="1318" w:type="pct"/>
                  <w:tcBorders>
                    <w:tl2br w:val="nil"/>
                    <w:tr2bl w:val="nil"/>
                  </w:tcBorders>
                  <w:vAlign w:val="center"/>
                </w:tcPr>
                <w:p w14:paraId="5EA6C4B7">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卤味酱料、配料</w:t>
                  </w:r>
                </w:p>
              </w:tc>
              <w:tc>
                <w:tcPr>
                  <w:tcW w:w="537" w:type="pct"/>
                  <w:tcBorders>
                    <w:tl2br w:val="nil"/>
                    <w:tr2bl w:val="nil"/>
                  </w:tcBorders>
                  <w:vAlign w:val="center"/>
                </w:tcPr>
                <w:p w14:paraId="4F648E86">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6AC7D23C">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eastAsia="宋体"/>
                      <w:color w:val="auto"/>
                      <w:szCs w:val="21"/>
                      <w:lang w:val="en-US" w:eastAsia="zh-CN"/>
                    </w:rPr>
                  </w:pPr>
                  <w:r>
                    <w:rPr>
                      <w:rFonts w:hint="eastAsia"/>
                      <w:color w:val="auto"/>
                      <w:szCs w:val="21"/>
                      <w:lang w:val="en-US" w:eastAsia="zh-CN"/>
                    </w:rPr>
                    <w:t>3</w:t>
                  </w:r>
                </w:p>
              </w:tc>
              <w:tc>
                <w:tcPr>
                  <w:tcW w:w="863" w:type="pct"/>
                  <w:tcBorders>
                    <w:tl2br w:val="nil"/>
                    <w:tr2bl w:val="nil"/>
                  </w:tcBorders>
                  <w:vAlign w:val="center"/>
                </w:tcPr>
                <w:p w14:paraId="653BE815">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1807A9E5">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卤制品原料区</w:t>
                  </w:r>
                </w:p>
              </w:tc>
            </w:tr>
            <w:tr w14:paraId="277AE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4FECAA5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7</w:t>
                  </w:r>
                </w:p>
              </w:tc>
              <w:tc>
                <w:tcPr>
                  <w:tcW w:w="1318" w:type="pct"/>
                  <w:tcBorders>
                    <w:tl2br w:val="nil"/>
                    <w:tr2bl w:val="nil"/>
                  </w:tcBorders>
                  <w:vAlign w:val="center"/>
                </w:tcPr>
                <w:p w14:paraId="5527D4A5">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食用盐</w:t>
                  </w:r>
                </w:p>
              </w:tc>
              <w:tc>
                <w:tcPr>
                  <w:tcW w:w="537" w:type="pct"/>
                  <w:tcBorders>
                    <w:tl2br w:val="nil"/>
                    <w:tr2bl w:val="nil"/>
                  </w:tcBorders>
                  <w:vAlign w:val="center"/>
                </w:tcPr>
                <w:p w14:paraId="23F42926">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2E1C23D4">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eastAsia="宋体"/>
                      <w:color w:val="auto"/>
                      <w:szCs w:val="21"/>
                      <w:lang w:val="en-US" w:eastAsia="zh-CN"/>
                    </w:rPr>
                  </w:pPr>
                  <w:r>
                    <w:rPr>
                      <w:rFonts w:hint="eastAsia"/>
                      <w:color w:val="auto"/>
                      <w:szCs w:val="21"/>
                      <w:lang w:val="en-US" w:eastAsia="zh-CN"/>
                    </w:rPr>
                    <w:t>2</w:t>
                  </w:r>
                </w:p>
              </w:tc>
              <w:tc>
                <w:tcPr>
                  <w:tcW w:w="863" w:type="pct"/>
                  <w:tcBorders>
                    <w:tl2br w:val="nil"/>
                    <w:tr2bl w:val="nil"/>
                  </w:tcBorders>
                  <w:vAlign w:val="center"/>
                </w:tcPr>
                <w:p w14:paraId="3B7ECC11">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0A6A9878">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卤制品原料区</w:t>
                  </w:r>
                </w:p>
              </w:tc>
            </w:tr>
            <w:tr w14:paraId="6B924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7B3CBC0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kern w:val="2"/>
                      <w:sz w:val="21"/>
                      <w:szCs w:val="21"/>
                      <w:lang w:val="en-US" w:eastAsia="zh-CN" w:bidi="ar-SA"/>
                    </w:rPr>
                  </w:pPr>
                  <w:r>
                    <w:rPr>
                      <w:rFonts w:hint="eastAsia" w:eastAsia="Times New Roman" w:cs="Times New Roman"/>
                      <w:color w:val="auto"/>
                      <w:kern w:val="2"/>
                      <w:sz w:val="21"/>
                      <w:szCs w:val="21"/>
                      <w:lang w:val="en-US" w:eastAsia="zh-CN" w:bidi="ar-SA"/>
                    </w:rPr>
                    <w:t>8</w:t>
                  </w:r>
                </w:p>
              </w:tc>
              <w:tc>
                <w:tcPr>
                  <w:tcW w:w="1318" w:type="pct"/>
                  <w:tcBorders>
                    <w:tl2br w:val="nil"/>
                    <w:tr2bl w:val="nil"/>
                  </w:tcBorders>
                  <w:vAlign w:val="center"/>
                </w:tcPr>
                <w:p w14:paraId="7D357B52">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eastAsia" w:eastAsia="宋体"/>
                      <w:color w:val="auto"/>
                      <w:szCs w:val="21"/>
                      <w:lang w:val="en-US" w:eastAsia="zh-CN"/>
                    </w:rPr>
                  </w:pPr>
                  <w:r>
                    <w:rPr>
                      <w:rFonts w:hint="eastAsia"/>
                      <w:color w:val="auto"/>
                      <w:szCs w:val="21"/>
                      <w:lang w:val="en-US" w:eastAsia="zh-CN"/>
                    </w:rPr>
                    <w:t>味精</w:t>
                  </w:r>
                </w:p>
              </w:tc>
              <w:tc>
                <w:tcPr>
                  <w:tcW w:w="537" w:type="pct"/>
                  <w:tcBorders>
                    <w:tl2br w:val="nil"/>
                    <w:tr2bl w:val="nil"/>
                  </w:tcBorders>
                  <w:vAlign w:val="center"/>
                </w:tcPr>
                <w:p w14:paraId="4F1BF128">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65216557">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olor w:val="auto"/>
                      <w:szCs w:val="21"/>
                      <w:lang w:val="en-US" w:eastAsia="zh-CN"/>
                    </w:rPr>
                  </w:pPr>
                  <w:r>
                    <w:rPr>
                      <w:rFonts w:hint="eastAsia"/>
                      <w:color w:val="auto"/>
                      <w:szCs w:val="21"/>
                      <w:lang w:val="en-US" w:eastAsia="zh-CN"/>
                    </w:rPr>
                    <w:t>0.8</w:t>
                  </w:r>
                </w:p>
              </w:tc>
              <w:tc>
                <w:tcPr>
                  <w:tcW w:w="863" w:type="pct"/>
                  <w:tcBorders>
                    <w:tl2br w:val="nil"/>
                    <w:tr2bl w:val="nil"/>
                  </w:tcBorders>
                  <w:vAlign w:val="center"/>
                </w:tcPr>
                <w:p w14:paraId="6D955140">
                  <w:pPr>
                    <w:keepNext w:val="0"/>
                    <w:keepLines w:val="0"/>
                    <w:pageBreakBefore w:val="0"/>
                    <w:widowControl w:val="0"/>
                    <w:kinsoku/>
                    <w:wordWrap/>
                    <w:topLinePunct w:val="0"/>
                    <w:autoSpaceDE/>
                    <w:autoSpaceDN/>
                    <w:bidi w:val="0"/>
                    <w:spacing w:line="240" w:lineRule="auto"/>
                    <w:ind w:left="0"/>
                    <w:jc w:val="center"/>
                    <w:textAlignment w:val="auto"/>
                    <w:rPr>
                      <w:bCs/>
                      <w:color w:val="auto"/>
                    </w:rPr>
                  </w:pPr>
                  <w:r>
                    <w:rPr>
                      <w:color w:val="auto"/>
                      <w:spacing w:val="-2"/>
                      <w:sz w:val="21"/>
                      <w:szCs w:val="21"/>
                    </w:rPr>
                    <w:t>辅料，外购</w:t>
                  </w:r>
                </w:p>
              </w:tc>
              <w:tc>
                <w:tcPr>
                  <w:tcW w:w="1269" w:type="pct"/>
                  <w:tcBorders>
                    <w:tl2br w:val="nil"/>
                    <w:tr2bl w:val="nil"/>
                  </w:tcBorders>
                  <w:vAlign w:val="center"/>
                </w:tcPr>
                <w:p w14:paraId="2AA6DF1E">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卤制品原料区</w:t>
                  </w:r>
                </w:p>
              </w:tc>
            </w:tr>
            <w:tr w14:paraId="725D3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6C09891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9</w:t>
                  </w:r>
                </w:p>
              </w:tc>
              <w:tc>
                <w:tcPr>
                  <w:tcW w:w="1318" w:type="pct"/>
                  <w:tcBorders>
                    <w:tl2br w:val="nil"/>
                    <w:tr2bl w:val="nil"/>
                  </w:tcBorders>
                  <w:vAlign w:val="center"/>
                </w:tcPr>
                <w:p w14:paraId="25385F39">
                  <w:pPr>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szCs w:val="21"/>
                      <w:lang w:val="en-US" w:eastAsia="zh-CN"/>
                    </w:rPr>
                  </w:pPr>
                  <w:r>
                    <w:rPr>
                      <w:rFonts w:hint="eastAsia"/>
                      <w:color w:val="auto"/>
                      <w:szCs w:val="21"/>
                      <w:lang w:val="en-US" w:eastAsia="zh-CN"/>
                    </w:rPr>
                    <w:t>葡萄糖酸内脂</w:t>
                  </w:r>
                </w:p>
              </w:tc>
              <w:tc>
                <w:tcPr>
                  <w:tcW w:w="537" w:type="pct"/>
                  <w:tcBorders>
                    <w:tl2br w:val="nil"/>
                    <w:tr2bl w:val="nil"/>
                  </w:tcBorders>
                  <w:vAlign w:val="center"/>
                </w:tcPr>
                <w:p w14:paraId="2871CBD3">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309454CD">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eastAsia="宋体"/>
                      <w:color w:val="auto"/>
                      <w:szCs w:val="21"/>
                      <w:lang w:val="en-US" w:eastAsia="zh-CN"/>
                    </w:rPr>
                  </w:pPr>
                  <w:r>
                    <w:rPr>
                      <w:rFonts w:hint="eastAsia"/>
                      <w:color w:val="auto"/>
                      <w:szCs w:val="21"/>
                      <w:lang w:val="en-US" w:eastAsia="zh-CN"/>
                    </w:rPr>
                    <w:t>0.2</w:t>
                  </w:r>
                </w:p>
              </w:tc>
              <w:tc>
                <w:tcPr>
                  <w:tcW w:w="863" w:type="pct"/>
                  <w:tcBorders>
                    <w:tl2br w:val="nil"/>
                    <w:tr2bl w:val="nil"/>
                  </w:tcBorders>
                  <w:vAlign w:val="center"/>
                </w:tcPr>
                <w:p w14:paraId="3632A4A3">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41F7ADA6">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卤制品原料区</w:t>
                  </w:r>
                </w:p>
              </w:tc>
            </w:tr>
            <w:tr w14:paraId="730D5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068AE5F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s="Times New Roman"/>
                      <w:color w:val="auto"/>
                      <w:kern w:val="2"/>
                      <w:sz w:val="21"/>
                      <w:szCs w:val="21"/>
                      <w:lang w:val="en-US" w:eastAsia="zh-CN" w:bidi="ar-SA"/>
                    </w:rPr>
                  </w:pPr>
                </w:p>
              </w:tc>
              <w:tc>
                <w:tcPr>
                  <w:tcW w:w="1318" w:type="pct"/>
                  <w:tcBorders>
                    <w:tl2br w:val="nil"/>
                    <w:tr2bl w:val="nil"/>
                  </w:tcBorders>
                  <w:vAlign w:val="center"/>
                </w:tcPr>
                <w:p w14:paraId="20246280">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szCs w:val="21"/>
                      <w:lang w:val="en-US" w:eastAsia="zh-CN"/>
                    </w:rPr>
                  </w:pPr>
                  <w:r>
                    <w:rPr>
                      <w:rFonts w:hint="eastAsia"/>
                      <w:color w:val="auto"/>
                      <w:szCs w:val="21"/>
                      <w:lang w:val="en-US" w:eastAsia="zh-CN"/>
                    </w:rPr>
                    <w:t>大豆油</w:t>
                  </w:r>
                </w:p>
              </w:tc>
              <w:tc>
                <w:tcPr>
                  <w:tcW w:w="537" w:type="pct"/>
                  <w:tcBorders>
                    <w:tl2br w:val="nil"/>
                    <w:tr2bl w:val="nil"/>
                  </w:tcBorders>
                  <w:shd w:val="clear" w:color="auto" w:fill="auto"/>
                  <w:vAlign w:val="center"/>
                </w:tcPr>
                <w:p w14:paraId="35542301">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ascii="Times New Roman" w:hAnsi="Times New Roman" w:eastAsia="宋体" w:cs="Times New Roman"/>
                      <w:color w:val="auto"/>
                      <w:kern w:val="2"/>
                      <w:sz w:val="21"/>
                      <w:szCs w:val="21"/>
                      <w:lang w:val="en-US" w:eastAsia="zh-CN" w:bidi="ar-SA"/>
                    </w:rPr>
                  </w:pPr>
                  <w:r>
                    <w:rPr>
                      <w:color w:val="auto"/>
                    </w:rPr>
                    <w:t>t/a</w:t>
                  </w:r>
                </w:p>
              </w:tc>
              <w:tc>
                <w:tcPr>
                  <w:tcW w:w="658" w:type="pct"/>
                  <w:tcBorders>
                    <w:tl2br w:val="nil"/>
                    <w:tr2bl w:val="nil"/>
                  </w:tcBorders>
                  <w:shd w:val="clear" w:color="auto" w:fill="auto"/>
                  <w:vAlign w:val="center"/>
                </w:tcPr>
                <w:p w14:paraId="61971DC9">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0.7</w:t>
                  </w:r>
                </w:p>
              </w:tc>
              <w:tc>
                <w:tcPr>
                  <w:tcW w:w="863" w:type="pct"/>
                  <w:tcBorders>
                    <w:tl2br w:val="nil"/>
                    <w:tr2bl w:val="nil"/>
                  </w:tcBorders>
                  <w:shd w:val="clear" w:color="auto" w:fill="auto"/>
                  <w:vAlign w:val="center"/>
                </w:tcPr>
                <w:p w14:paraId="6AD4CEA6">
                  <w:pPr>
                    <w:keepNext w:val="0"/>
                    <w:keepLines w:val="0"/>
                    <w:pageBreakBefore w:val="0"/>
                    <w:widowControl w:val="0"/>
                    <w:kinsoku/>
                    <w:wordWrap/>
                    <w:topLinePunct w:val="0"/>
                    <w:autoSpaceDE/>
                    <w:autoSpaceDN/>
                    <w:bidi w:val="0"/>
                    <w:spacing w:line="240" w:lineRule="auto"/>
                    <w:ind w:left="0" w:leftChars="0"/>
                    <w:jc w:val="center"/>
                    <w:textAlignment w:val="auto"/>
                    <w:rPr>
                      <w:rFonts w:ascii="Times New Roman" w:hAnsi="Times New Roman" w:eastAsia="宋体" w:cs="Times New Roman"/>
                      <w:color w:val="auto"/>
                      <w:kern w:val="2"/>
                      <w:sz w:val="21"/>
                      <w:szCs w:val="24"/>
                      <w:lang w:val="en-US" w:eastAsia="zh-CN" w:bidi="ar-SA"/>
                    </w:rPr>
                  </w:pPr>
                  <w:r>
                    <w:rPr>
                      <w:color w:val="auto"/>
                      <w:spacing w:val="-2"/>
                      <w:sz w:val="21"/>
                      <w:szCs w:val="21"/>
                    </w:rPr>
                    <w:t>辅料，外购</w:t>
                  </w:r>
                </w:p>
              </w:tc>
              <w:tc>
                <w:tcPr>
                  <w:tcW w:w="1269" w:type="pct"/>
                  <w:tcBorders>
                    <w:tl2br w:val="nil"/>
                    <w:tr2bl w:val="nil"/>
                  </w:tcBorders>
                  <w:shd w:val="clear" w:color="auto" w:fill="auto"/>
                  <w:vAlign w:val="center"/>
                </w:tcPr>
                <w:p w14:paraId="504935D6">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卤制品原料区</w:t>
                  </w:r>
                </w:p>
              </w:tc>
            </w:tr>
            <w:tr w14:paraId="5EBF6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4A487F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w:t>
                  </w:r>
                </w:p>
              </w:tc>
              <w:tc>
                <w:tcPr>
                  <w:tcW w:w="1318" w:type="pct"/>
                  <w:tcBorders>
                    <w:tl2br w:val="nil"/>
                    <w:tr2bl w:val="nil"/>
                  </w:tcBorders>
                  <w:vAlign w:val="center"/>
                </w:tcPr>
                <w:p w14:paraId="4D516679">
                  <w:pPr>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bCs/>
                      <w:color w:val="auto"/>
                      <w:szCs w:val="21"/>
                      <w:lang w:val="en-US" w:eastAsia="zh-CN"/>
                    </w:rPr>
                  </w:pPr>
                  <w:r>
                    <w:rPr>
                      <w:rFonts w:hint="eastAsia"/>
                      <w:bCs/>
                      <w:color w:val="auto"/>
                      <w:szCs w:val="21"/>
                      <w:lang w:val="en-US" w:eastAsia="zh-CN"/>
                    </w:rPr>
                    <w:t>包装材料</w:t>
                  </w:r>
                </w:p>
              </w:tc>
              <w:tc>
                <w:tcPr>
                  <w:tcW w:w="537" w:type="pct"/>
                  <w:tcBorders>
                    <w:tl2br w:val="nil"/>
                    <w:tr2bl w:val="nil"/>
                  </w:tcBorders>
                  <w:vAlign w:val="center"/>
                </w:tcPr>
                <w:p w14:paraId="03C05E34">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color w:val="auto"/>
                      <w:szCs w:val="21"/>
                    </w:rPr>
                  </w:pPr>
                  <w:r>
                    <w:rPr>
                      <w:color w:val="auto"/>
                    </w:rPr>
                    <w:t>t/a</w:t>
                  </w:r>
                </w:p>
              </w:tc>
              <w:tc>
                <w:tcPr>
                  <w:tcW w:w="658" w:type="pct"/>
                  <w:tcBorders>
                    <w:tl2br w:val="nil"/>
                    <w:tr2bl w:val="nil"/>
                  </w:tcBorders>
                  <w:vAlign w:val="center"/>
                </w:tcPr>
                <w:p w14:paraId="43DB6D1C">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eastAsia="宋体"/>
                      <w:color w:val="auto"/>
                      <w:szCs w:val="21"/>
                      <w:lang w:val="en-US" w:eastAsia="zh-CN"/>
                    </w:rPr>
                  </w:pPr>
                  <w:r>
                    <w:rPr>
                      <w:rFonts w:hint="eastAsia"/>
                      <w:color w:val="auto"/>
                      <w:szCs w:val="21"/>
                      <w:lang w:val="en-US" w:eastAsia="zh-CN"/>
                    </w:rPr>
                    <w:t>5</w:t>
                  </w:r>
                </w:p>
              </w:tc>
              <w:tc>
                <w:tcPr>
                  <w:tcW w:w="863" w:type="pct"/>
                  <w:tcBorders>
                    <w:tl2br w:val="nil"/>
                    <w:tr2bl w:val="nil"/>
                  </w:tcBorders>
                  <w:vAlign w:val="center"/>
                </w:tcPr>
                <w:p w14:paraId="068A2D48">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color w:val="auto"/>
                      <w:spacing w:val="-2"/>
                      <w:sz w:val="21"/>
                      <w:szCs w:val="21"/>
                    </w:rPr>
                    <w:t>辅料，外购</w:t>
                  </w:r>
                </w:p>
              </w:tc>
              <w:tc>
                <w:tcPr>
                  <w:tcW w:w="1269" w:type="pct"/>
                  <w:tcBorders>
                    <w:tl2br w:val="nil"/>
                    <w:tr2bl w:val="nil"/>
                  </w:tcBorders>
                  <w:vAlign w:val="center"/>
                </w:tcPr>
                <w:p w14:paraId="27C8EF47">
                  <w:pPr>
                    <w:keepNext w:val="0"/>
                    <w:keepLines w:val="0"/>
                    <w:pageBreakBefore w:val="0"/>
                    <w:widowControl w:val="0"/>
                    <w:kinsoku/>
                    <w:wordWrap/>
                    <w:topLinePunct w:val="0"/>
                    <w:autoSpaceDE/>
                    <w:autoSpaceDN/>
                    <w:bidi w:val="0"/>
                    <w:spacing w:line="240" w:lineRule="auto"/>
                    <w:ind w:left="0"/>
                    <w:jc w:val="center"/>
                    <w:textAlignment w:val="auto"/>
                    <w:rPr>
                      <w:color w:val="auto"/>
                    </w:rPr>
                  </w:pPr>
                  <w:r>
                    <w:rPr>
                      <w:rFonts w:hint="eastAsia"/>
                      <w:color w:val="auto"/>
                      <w:szCs w:val="21"/>
                      <w:lang w:val="en-US" w:eastAsia="zh-CN"/>
                    </w:rPr>
                    <w:t>卤制品原料区</w:t>
                  </w:r>
                </w:p>
              </w:tc>
            </w:tr>
            <w:tr w14:paraId="34AFD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5000" w:type="pct"/>
                  <w:gridSpan w:val="6"/>
                  <w:tcBorders>
                    <w:tl2br w:val="nil"/>
                    <w:tr2bl w:val="nil"/>
                  </w:tcBorders>
                  <w:shd w:val="clear" w:color="auto" w:fill="auto"/>
                  <w:vAlign w:val="center"/>
                </w:tcPr>
                <w:p w14:paraId="12E99825">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b/>
                      <w:bCs/>
                      <w:color w:val="auto"/>
                      <w:lang w:val="en-US" w:eastAsia="zh-CN"/>
                    </w:rPr>
                    <w:t>酸奶、乳制品</w:t>
                  </w:r>
                </w:p>
              </w:tc>
            </w:tr>
            <w:tr w14:paraId="72665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3503538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6"/>
                      <w:sz w:val="21"/>
                      <w:szCs w:val="21"/>
                      <w:lang w:val="en-US" w:eastAsia="zh-CN"/>
                    </w:rPr>
                  </w:pPr>
                  <w:r>
                    <w:rPr>
                      <w:rFonts w:hint="eastAsia" w:eastAsia="宋体" w:cs="Times New Roman"/>
                      <w:color w:val="auto"/>
                      <w:spacing w:val="-6"/>
                      <w:sz w:val="21"/>
                      <w:szCs w:val="21"/>
                      <w:lang w:val="en-US" w:eastAsia="zh-CN"/>
                    </w:rPr>
                    <w:t>1</w:t>
                  </w:r>
                </w:p>
              </w:tc>
              <w:tc>
                <w:tcPr>
                  <w:tcW w:w="1318" w:type="pct"/>
                  <w:tcBorders>
                    <w:tl2br w:val="nil"/>
                    <w:tr2bl w:val="nil"/>
                  </w:tcBorders>
                  <w:vAlign w:val="center"/>
                </w:tcPr>
                <w:p w14:paraId="0BC74EBF">
                  <w:pPr>
                    <w:keepNext w:val="0"/>
                    <w:keepLines w:val="0"/>
                    <w:pageBreakBefore w:val="0"/>
                    <w:widowControl w:val="0"/>
                    <w:kinsoku/>
                    <w:wordWrap/>
                    <w:topLinePunct w:val="0"/>
                    <w:autoSpaceDE/>
                    <w:autoSpaceDN/>
                    <w:bidi w:val="0"/>
                    <w:spacing w:line="240" w:lineRule="auto"/>
                    <w:ind w:left="0"/>
                    <w:jc w:val="center"/>
                    <w:textAlignment w:val="auto"/>
                    <w:rPr>
                      <w:rFonts w:hint="default"/>
                      <w:bCs/>
                      <w:color w:val="auto"/>
                      <w:szCs w:val="21"/>
                      <w:lang w:val="en-US" w:eastAsia="zh-CN"/>
                    </w:rPr>
                  </w:pPr>
                  <w:r>
                    <w:rPr>
                      <w:rFonts w:hint="eastAsia"/>
                      <w:bCs/>
                      <w:color w:val="auto"/>
                      <w:szCs w:val="21"/>
                      <w:lang w:val="en-US" w:eastAsia="zh-CN"/>
                    </w:rPr>
                    <w:t>生牛乳</w:t>
                  </w:r>
                </w:p>
              </w:tc>
              <w:tc>
                <w:tcPr>
                  <w:tcW w:w="537" w:type="pct"/>
                  <w:tcBorders>
                    <w:tl2br w:val="nil"/>
                    <w:tr2bl w:val="nil"/>
                  </w:tcBorders>
                  <w:vAlign w:val="center"/>
                </w:tcPr>
                <w:p w14:paraId="478AFB12">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default"/>
                      <w:color w:val="auto"/>
                      <w:szCs w:val="21"/>
                      <w:lang w:val="en-US" w:eastAsia="zh-CN"/>
                    </w:rPr>
                  </w:pPr>
                  <w:r>
                    <w:rPr>
                      <w:rFonts w:hint="eastAsia"/>
                      <w:color w:val="auto"/>
                      <w:szCs w:val="21"/>
                      <w:lang w:val="en-US" w:eastAsia="zh-CN"/>
                    </w:rPr>
                    <w:t>t/a</w:t>
                  </w:r>
                </w:p>
              </w:tc>
              <w:tc>
                <w:tcPr>
                  <w:tcW w:w="658" w:type="pct"/>
                  <w:tcBorders>
                    <w:tl2br w:val="nil"/>
                    <w:tr2bl w:val="nil"/>
                  </w:tcBorders>
                  <w:vAlign w:val="center"/>
                </w:tcPr>
                <w:p w14:paraId="6879E8ED">
                  <w:pPr>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500</w:t>
                  </w:r>
                </w:p>
              </w:tc>
              <w:tc>
                <w:tcPr>
                  <w:tcW w:w="863" w:type="pct"/>
                  <w:tcBorders>
                    <w:tl2br w:val="nil"/>
                    <w:tr2bl w:val="nil"/>
                  </w:tcBorders>
                  <w:vAlign w:val="center"/>
                </w:tcPr>
                <w:p w14:paraId="4590ED95">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eastAsia="宋体"/>
                      <w:color w:val="auto"/>
                      <w:lang w:val="en-US" w:eastAsia="zh-CN"/>
                    </w:rPr>
                  </w:pPr>
                  <w:r>
                    <w:rPr>
                      <w:rFonts w:hint="eastAsia"/>
                      <w:color w:val="auto"/>
                      <w:lang w:val="en-US" w:eastAsia="zh-CN"/>
                    </w:rPr>
                    <w:t>原料</w:t>
                  </w:r>
                </w:p>
              </w:tc>
              <w:tc>
                <w:tcPr>
                  <w:tcW w:w="1269" w:type="pct"/>
                  <w:tcBorders>
                    <w:tl2br w:val="nil"/>
                    <w:tr2bl w:val="nil"/>
                  </w:tcBorders>
                  <w:vAlign w:val="center"/>
                </w:tcPr>
                <w:p w14:paraId="2FD032EE">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color w:val="auto"/>
                      <w:lang w:val="en-US" w:eastAsia="zh-CN"/>
                    </w:rPr>
                    <w:t>酸奶、乳制品生产区</w:t>
                  </w:r>
                </w:p>
              </w:tc>
            </w:tr>
            <w:tr w14:paraId="33DCC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2032CC4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6"/>
                      <w:sz w:val="21"/>
                      <w:szCs w:val="21"/>
                      <w:lang w:val="en-US" w:eastAsia="zh-CN"/>
                    </w:rPr>
                  </w:pPr>
                  <w:r>
                    <w:rPr>
                      <w:rFonts w:hint="eastAsia" w:cs="Times New Roman"/>
                      <w:color w:val="auto"/>
                      <w:spacing w:val="-6"/>
                      <w:sz w:val="21"/>
                      <w:szCs w:val="21"/>
                      <w:lang w:val="en-US" w:eastAsia="zh-CN"/>
                    </w:rPr>
                    <w:t>2</w:t>
                  </w:r>
                </w:p>
              </w:tc>
              <w:tc>
                <w:tcPr>
                  <w:tcW w:w="1318" w:type="pct"/>
                  <w:tcBorders>
                    <w:tl2br w:val="nil"/>
                    <w:tr2bl w:val="nil"/>
                  </w:tcBorders>
                  <w:vAlign w:val="center"/>
                </w:tcPr>
                <w:p w14:paraId="4226CD75">
                  <w:pPr>
                    <w:keepNext w:val="0"/>
                    <w:keepLines w:val="0"/>
                    <w:pageBreakBefore w:val="0"/>
                    <w:widowControl w:val="0"/>
                    <w:kinsoku/>
                    <w:wordWrap/>
                    <w:topLinePunct w:val="0"/>
                    <w:autoSpaceDE/>
                    <w:autoSpaceDN/>
                    <w:bidi w:val="0"/>
                    <w:spacing w:line="240" w:lineRule="auto"/>
                    <w:ind w:left="0"/>
                    <w:jc w:val="center"/>
                    <w:textAlignment w:val="auto"/>
                    <w:rPr>
                      <w:rFonts w:hint="default"/>
                      <w:bCs/>
                      <w:color w:val="auto"/>
                      <w:szCs w:val="21"/>
                      <w:lang w:val="en-US" w:eastAsia="zh-CN"/>
                    </w:rPr>
                  </w:pPr>
                  <w:r>
                    <w:rPr>
                      <w:rFonts w:hint="eastAsia"/>
                      <w:bCs/>
                      <w:color w:val="auto"/>
                      <w:szCs w:val="21"/>
                      <w:lang w:val="en-US" w:eastAsia="zh-CN"/>
                    </w:rPr>
                    <w:t>酸性清洗剂</w:t>
                  </w:r>
                </w:p>
              </w:tc>
              <w:tc>
                <w:tcPr>
                  <w:tcW w:w="537" w:type="pct"/>
                  <w:tcBorders>
                    <w:tl2br w:val="nil"/>
                    <w:tr2bl w:val="nil"/>
                  </w:tcBorders>
                  <w:vAlign w:val="center"/>
                </w:tcPr>
                <w:p w14:paraId="498CFA54">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t/a</w:t>
                  </w:r>
                </w:p>
              </w:tc>
              <w:tc>
                <w:tcPr>
                  <w:tcW w:w="658" w:type="pct"/>
                  <w:tcBorders>
                    <w:tl2br w:val="nil"/>
                    <w:tr2bl w:val="nil"/>
                  </w:tcBorders>
                  <w:vAlign w:val="center"/>
                </w:tcPr>
                <w:p w14:paraId="204EEA2F">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szCs w:val="21"/>
                      <w:lang w:val="en-US" w:eastAsia="zh-CN"/>
                    </w:rPr>
                  </w:pPr>
                  <w:r>
                    <w:rPr>
                      <w:rFonts w:hint="eastAsia"/>
                      <w:color w:val="auto"/>
                      <w:szCs w:val="21"/>
                      <w:lang w:val="en-US" w:eastAsia="zh-CN"/>
                    </w:rPr>
                    <w:t>2.23</w:t>
                  </w:r>
                </w:p>
              </w:tc>
              <w:tc>
                <w:tcPr>
                  <w:tcW w:w="863" w:type="pct"/>
                  <w:tcBorders>
                    <w:tl2br w:val="nil"/>
                    <w:tr2bl w:val="nil"/>
                  </w:tcBorders>
                  <w:vAlign w:val="center"/>
                </w:tcPr>
                <w:p w14:paraId="5D2F5753">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color w:val="auto"/>
                      <w:lang w:val="en-US" w:eastAsia="zh-CN"/>
                    </w:rPr>
                    <w:t>辅料</w:t>
                  </w:r>
                </w:p>
              </w:tc>
              <w:tc>
                <w:tcPr>
                  <w:tcW w:w="1269" w:type="pct"/>
                  <w:tcBorders>
                    <w:tl2br w:val="nil"/>
                    <w:tr2bl w:val="nil"/>
                  </w:tcBorders>
                  <w:vAlign w:val="center"/>
                </w:tcPr>
                <w:p w14:paraId="32399AB9">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color w:val="auto"/>
                      <w:lang w:val="en-US" w:eastAsia="zh-CN"/>
                    </w:rPr>
                    <w:t>CIP清洗区</w:t>
                  </w:r>
                </w:p>
              </w:tc>
            </w:tr>
            <w:tr w14:paraId="0D9E1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6248B92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6"/>
                      <w:sz w:val="21"/>
                      <w:szCs w:val="21"/>
                      <w:lang w:val="en-US" w:eastAsia="zh-CN"/>
                    </w:rPr>
                  </w:pPr>
                  <w:r>
                    <w:rPr>
                      <w:rFonts w:hint="eastAsia" w:cs="Times New Roman"/>
                      <w:color w:val="auto"/>
                      <w:spacing w:val="-6"/>
                      <w:sz w:val="21"/>
                      <w:szCs w:val="21"/>
                      <w:lang w:val="en-US" w:eastAsia="zh-CN"/>
                    </w:rPr>
                    <w:t>3</w:t>
                  </w:r>
                </w:p>
              </w:tc>
              <w:tc>
                <w:tcPr>
                  <w:tcW w:w="1318" w:type="pct"/>
                  <w:tcBorders>
                    <w:tl2br w:val="nil"/>
                    <w:tr2bl w:val="nil"/>
                  </w:tcBorders>
                  <w:vAlign w:val="center"/>
                </w:tcPr>
                <w:p w14:paraId="2EE3BB40">
                  <w:pPr>
                    <w:keepNext w:val="0"/>
                    <w:keepLines w:val="0"/>
                    <w:pageBreakBefore w:val="0"/>
                    <w:widowControl w:val="0"/>
                    <w:kinsoku/>
                    <w:wordWrap/>
                    <w:topLinePunct w:val="0"/>
                    <w:autoSpaceDE/>
                    <w:autoSpaceDN/>
                    <w:bidi w:val="0"/>
                    <w:spacing w:line="240" w:lineRule="auto"/>
                    <w:ind w:left="0"/>
                    <w:jc w:val="center"/>
                    <w:textAlignment w:val="auto"/>
                    <w:rPr>
                      <w:rFonts w:hint="default"/>
                      <w:bCs/>
                      <w:color w:val="auto"/>
                      <w:szCs w:val="21"/>
                      <w:lang w:val="en-US" w:eastAsia="zh-CN"/>
                    </w:rPr>
                  </w:pPr>
                  <w:r>
                    <w:rPr>
                      <w:rFonts w:hint="eastAsia"/>
                      <w:bCs/>
                      <w:color w:val="auto"/>
                      <w:szCs w:val="21"/>
                      <w:lang w:val="en-US" w:eastAsia="zh-CN"/>
                    </w:rPr>
                    <w:t>碱性清洗剂</w:t>
                  </w:r>
                </w:p>
              </w:tc>
              <w:tc>
                <w:tcPr>
                  <w:tcW w:w="537" w:type="pct"/>
                  <w:tcBorders>
                    <w:tl2br w:val="nil"/>
                    <w:tr2bl w:val="nil"/>
                  </w:tcBorders>
                  <w:vAlign w:val="center"/>
                </w:tcPr>
                <w:p w14:paraId="23646D25">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t/a</w:t>
                  </w:r>
                </w:p>
              </w:tc>
              <w:tc>
                <w:tcPr>
                  <w:tcW w:w="658" w:type="pct"/>
                  <w:tcBorders>
                    <w:tl2br w:val="nil"/>
                    <w:tr2bl w:val="nil"/>
                  </w:tcBorders>
                  <w:vAlign w:val="center"/>
                </w:tcPr>
                <w:p w14:paraId="6F6C5BCE">
                  <w:pPr>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szCs w:val="21"/>
                      <w:lang w:val="en-US" w:eastAsia="zh-CN"/>
                    </w:rPr>
                  </w:pPr>
                  <w:r>
                    <w:rPr>
                      <w:rFonts w:hint="eastAsia"/>
                      <w:color w:val="auto"/>
                      <w:szCs w:val="21"/>
                      <w:lang w:val="en-US" w:eastAsia="zh-CN"/>
                    </w:rPr>
                    <w:t>2.25</w:t>
                  </w:r>
                </w:p>
              </w:tc>
              <w:tc>
                <w:tcPr>
                  <w:tcW w:w="863" w:type="pct"/>
                  <w:tcBorders>
                    <w:tl2br w:val="nil"/>
                    <w:tr2bl w:val="nil"/>
                  </w:tcBorders>
                  <w:vAlign w:val="center"/>
                </w:tcPr>
                <w:p w14:paraId="66A1AF37">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lang w:val="en-US" w:eastAsia="zh-CN"/>
                    </w:rPr>
                  </w:pPr>
                  <w:r>
                    <w:rPr>
                      <w:rFonts w:hint="eastAsia"/>
                      <w:color w:val="auto"/>
                      <w:lang w:val="en-US" w:eastAsia="zh-CN"/>
                    </w:rPr>
                    <w:t>辅料</w:t>
                  </w:r>
                </w:p>
              </w:tc>
              <w:tc>
                <w:tcPr>
                  <w:tcW w:w="1269" w:type="pct"/>
                  <w:tcBorders>
                    <w:tl2br w:val="nil"/>
                    <w:tr2bl w:val="nil"/>
                  </w:tcBorders>
                  <w:vAlign w:val="center"/>
                </w:tcPr>
                <w:p w14:paraId="72C45E01">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lang w:val="en-US" w:eastAsia="zh-CN"/>
                    </w:rPr>
                  </w:pPr>
                  <w:r>
                    <w:rPr>
                      <w:rFonts w:hint="eastAsia"/>
                      <w:color w:val="auto"/>
                      <w:lang w:val="en-US" w:eastAsia="zh-CN"/>
                    </w:rPr>
                    <w:t>CIP清洗区</w:t>
                  </w:r>
                </w:p>
              </w:tc>
            </w:tr>
            <w:tr w14:paraId="485C7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5000" w:type="pct"/>
                  <w:gridSpan w:val="6"/>
                  <w:tcBorders>
                    <w:tl2br w:val="nil"/>
                    <w:tr2bl w:val="nil"/>
                  </w:tcBorders>
                  <w:shd w:val="clear" w:color="auto" w:fill="auto"/>
                  <w:vAlign w:val="center"/>
                </w:tcPr>
                <w:p w14:paraId="5EED69FF">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b/>
                      <w:bCs/>
                      <w:color w:val="auto"/>
                      <w:lang w:val="en-US" w:eastAsia="zh-CN"/>
                    </w:rPr>
                    <w:t>牛杂和羊杂</w:t>
                  </w:r>
                </w:p>
              </w:tc>
            </w:tr>
            <w:tr w14:paraId="03CF9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2" w:type="pct"/>
                  <w:tcBorders>
                    <w:tl2br w:val="nil"/>
                    <w:tr2bl w:val="nil"/>
                  </w:tcBorders>
                  <w:shd w:val="clear" w:color="auto" w:fill="auto"/>
                  <w:vAlign w:val="center"/>
                </w:tcPr>
                <w:p w14:paraId="61E9B1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6"/>
                      <w:sz w:val="21"/>
                      <w:szCs w:val="21"/>
                      <w:lang w:val="en-US" w:eastAsia="zh-CN"/>
                    </w:rPr>
                  </w:pPr>
                  <w:r>
                    <w:rPr>
                      <w:rFonts w:hint="eastAsia" w:cs="Times New Roman"/>
                      <w:color w:val="auto"/>
                      <w:spacing w:val="-6"/>
                      <w:sz w:val="21"/>
                      <w:szCs w:val="21"/>
                      <w:lang w:val="en-US" w:eastAsia="zh-CN"/>
                    </w:rPr>
                    <w:t>1</w:t>
                  </w:r>
                </w:p>
              </w:tc>
              <w:tc>
                <w:tcPr>
                  <w:tcW w:w="1318" w:type="pct"/>
                  <w:tcBorders>
                    <w:tl2br w:val="nil"/>
                    <w:tr2bl w:val="nil"/>
                  </w:tcBorders>
                  <w:vAlign w:val="center"/>
                </w:tcPr>
                <w:p w14:paraId="4AF59719">
                  <w:pPr>
                    <w:keepNext w:val="0"/>
                    <w:keepLines w:val="0"/>
                    <w:pageBreakBefore w:val="0"/>
                    <w:widowControl w:val="0"/>
                    <w:kinsoku/>
                    <w:wordWrap/>
                    <w:topLinePunct w:val="0"/>
                    <w:autoSpaceDE/>
                    <w:autoSpaceDN/>
                    <w:bidi w:val="0"/>
                    <w:spacing w:line="240" w:lineRule="auto"/>
                    <w:ind w:left="0"/>
                    <w:jc w:val="center"/>
                    <w:textAlignment w:val="auto"/>
                    <w:rPr>
                      <w:rFonts w:hint="default"/>
                      <w:bCs/>
                      <w:color w:val="auto"/>
                      <w:szCs w:val="21"/>
                      <w:lang w:val="en-US" w:eastAsia="zh-CN"/>
                    </w:rPr>
                  </w:pPr>
                  <w:r>
                    <w:rPr>
                      <w:rFonts w:hint="eastAsia"/>
                      <w:bCs/>
                      <w:color w:val="auto"/>
                      <w:szCs w:val="21"/>
                      <w:lang w:val="en-US" w:eastAsia="zh-CN"/>
                    </w:rPr>
                    <w:t>牛杂、羊杂</w:t>
                  </w:r>
                </w:p>
              </w:tc>
              <w:tc>
                <w:tcPr>
                  <w:tcW w:w="537" w:type="pct"/>
                  <w:tcBorders>
                    <w:tl2br w:val="nil"/>
                    <w:tr2bl w:val="nil"/>
                  </w:tcBorders>
                  <w:vAlign w:val="center"/>
                </w:tcPr>
                <w:p w14:paraId="21110E3E">
                  <w:pPr>
                    <w:keepNext w:val="0"/>
                    <w:keepLines w:val="0"/>
                    <w:pageBreakBefore w:val="0"/>
                    <w:widowControl w:val="0"/>
                    <w:kinsoku/>
                    <w:wordWrap/>
                    <w:topLinePunct w:val="0"/>
                    <w:autoSpaceDE/>
                    <w:autoSpaceDN/>
                    <w:bidi w:val="0"/>
                    <w:adjustRightInd w:val="0"/>
                    <w:snapToGrid w:val="0"/>
                    <w:spacing w:line="240" w:lineRule="auto"/>
                    <w:ind w:left="0"/>
                    <w:jc w:val="center"/>
                    <w:textAlignment w:val="auto"/>
                    <w:rPr>
                      <w:rFonts w:hint="eastAsia"/>
                      <w:color w:val="auto"/>
                      <w:szCs w:val="21"/>
                      <w:lang w:val="en-US" w:eastAsia="zh-CN"/>
                    </w:rPr>
                  </w:pPr>
                  <w:r>
                    <w:rPr>
                      <w:rFonts w:hint="eastAsia"/>
                      <w:color w:val="auto"/>
                      <w:szCs w:val="21"/>
                      <w:lang w:val="en-US" w:eastAsia="zh-CN"/>
                    </w:rPr>
                    <w:t>t/a</w:t>
                  </w:r>
                </w:p>
              </w:tc>
              <w:tc>
                <w:tcPr>
                  <w:tcW w:w="658" w:type="pct"/>
                  <w:tcBorders>
                    <w:tl2br w:val="nil"/>
                    <w:tr2bl w:val="nil"/>
                  </w:tcBorders>
                  <w:vAlign w:val="center"/>
                </w:tcPr>
                <w:p w14:paraId="6A896C80">
                  <w:pPr>
                    <w:keepNext w:val="0"/>
                    <w:keepLines w:val="0"/>
                    <w:pageBreakBefore w:val="0"/>
                    <w:widowControl w:val="0"/>
                    <w:kinsoku/>
                    <w:wordWrap/>
                    <w:topLinePunct w:val="0"/>
                    <w:autoSpaceDE/>
                    <w:autoSpaceDN/>
                    <w:bidi w:val="0"/>
                    <w:spacing w:line="240" w:lineRule="auto"/>
                    <w:ind w:left="0"/>
                    <w:jc w:val="center"/>
                    <w:textAlignment w:val="auto"/>
                    <w:rPr>
                      <w:rFonts w:hint="default" w:eastAsia="宋体"/>
                      <w:color w:val="auto"/>
                      <w:szCs w:val="21"/>
                      <w:lang w:val="en-US" w:eastAsia="zh-CN"/>
                    </w:rPr>
                  </w:pPr>
                  <w:r>
                    <w:rPr>
                      <w:rFonts w:hint="eastAsia"/>
                      <w:color w:val="auto"/>
                      <w:lang w:val="en-US" w:eastAsia="zh-CN"/>
                    </w:rPr>
                    <w:t>612</w:t>
                  </w:r>
                </w:p>
              </w:tc>
              <w:tc>
                <w:tcPr>
                  <w:tcW w:w="863" w:type="pct"/>
                  <w:tcBorders>
                    <w:tl2br w:val="nil"/>
                    <w:tr2bl w:val="nil"/>
                  </w:tcBorders>
                  <w:vAlign w:val="center"/>
                </w:tcPr>
                <w:p w14:paraId="0DCF3D52">
                  <w:pPr>
                    <w:pStyle w:val="93"/>
                    <w:keepNext w:val="0"/>
                    <w:keepLines w:val="0"/>
                    <w:pageBreakBefore w:val="0"/>
                    <w:widowControl w:val="0"/>
                    <w:kinsoku/>
                    <w:wordWrap/>
                    <w:topLinePunct w:val="0"/>
                    <w:autoSpaceDE/>
                    <w:autoSpaceDN/>
                    <w:bidi w:val="0"/>
                    <w:spacing w:line="240" w:lineRule="auto"/>
                    <w:ind w:left="0"/>
                    <w:jc w:val="center"/>
                    <w:textAlignment w:val="auto"/>
                    <w:rPr>
                      <w:rFonts w:hint="eastAsia"/>
                      <w:color w:val="auto"/>
                      <w:lang w:val="en-US" w:eastAsia="zh-CN"/>
                    </w:rPr>
                  </w:pPr>
                  <w:r>
                    <w:rPr>
                      <w:rFonts w:hint="eastAsia"/>
                      <w:color w:val="auto"/>
                      <w:lang w:val="en-US" w:eastAsia="zh-CN"/>
                    </w:rPr>
                    <w:t>原料</w:t>
                  </w:r>
                </w:p>
              </w:tc>
              <w:tc>
                <w:tcPr>
                  <w:tcW w:w="1269" w:type="pct"/>
                  <w:tcBorders>
                    <w:tl2br w:val="nil"/>
                    <w:tr2bl w:val="nil"/>
                  </w:tcBorders>
                  <w:vAlign w:val="center"/>
                </w:tcPr>
                <w:p w14:paraId="11381EBE">
                  <w:pPr>
                    <w:pStyle w:val="93"/>
                    <w:keepNext w:val="0"/>
                    <w:keepLines w:val="0"/>
                    <w:pageBreakBefore w:val="0"/>
                    <w:widowControl w:val="0"/>
                    <w:kinsoku/>
                    <w:wordWrap/>
                    <w:topLinePunct w:val="0"/>
                    <w:autoSpaceDE/>
                    <w:autoSpaceDN/>
                    <w:bidi w:val="0"/>
                    <w:spacing w:line="240" w:lineRule="auto"/>
                    <w:ind w:left="0"/>
                    <w:jc w:val="center"/>
                    <w:textAlignment w:val="auto"/>
                    <w:rPr>
                      <w:rFonts w:hint="default"/>
                      <w:color w:val="auto"/>
                      <w:lang w:val="en-US" w:eastAsia="zh-CN"/>
                    </w:rPr>
                  </w:pPr>
                  <w:r>
                    <w:rPr>
                      <w:rFonts w:hint="eastAsia"/>
                      <w:color w:val="auto"/>
                      <w:lang w:val="en-US" w:eastAsia="zh-CN"/>
                    </w:rPr>
                    <w:t>原料区</w:t>
                  </w:r>
                </w:p>
              </w:tc>
            </w:tr>
            <w:tr w14:paraId="561B7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5000" w:type="pct"/>
                  <w:gridSpan w:val="6"/>
                  <w:tcBorders>
                    <w:tl2br w:val="nil"/>
                    <w:tr2bl w:val="nil"/>
                  </w:tcBorders>
                  <w:shd w:val="clear" w:color="auto" w:fill="auto"/>
                  <w:vAlign w:val="center"/>
                </w:tcPr>
                <w:p w14:paraId="4B61AFF0">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zCs w:val="21"/>
                      <w:lang w:val="en-US" w:eastAsia="zh-CN"/>
                    </w:rPr>
                  </w:pPr>
                  <w:r>
                    <w:rPr>
                      <w:rFonts w:hint="eastAsia"/>
                      <w:color w:val="auto"/>
                      <w:szCs w:val="21"/>
                      <w:lang w:val="en-US" w:eastAsia="zh-CN"/>
                    </w:rPr>
                    <w:t>合计</w:t>
                  </w:r>
                </w:p>
              </w:tc>
            </w:tr>
            <w:tr w14:paraId="3BACC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0F5ED67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1</w:t>
                  </w:r>
                </w:p>
              </w:tc>
              <w:tc>
                <w:tcPr>
                  <w:tcW w:w="1318" w:type="pct"/>
                  <w:tcBorders>
                    <w:tl2br w:val="nil"/>
                    <w:tr2bl w:val="nil"/>
                  </w:tcBorders>
                  <w:shd w:val="clear" w:color="auto" w:fill="auto"/>
                  <w:vAlign w:val="center"/>
                </w:tcPr>
                <w:p w14:paraId="7E1604ED">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水</w:t>
                  </w:r>
                </w:p>
              </w:tc>
              <w:tc>
                <w:tcPr>
                  <w:tcW w:w="537" w:type="pct"/>
                  <w:tcBorders>
                    <w:tl2br w:val="nil"/>
                    <w:tr2bl w:val="nil"/>
                  </w:tcBorders>
                  <w:shd w:val="clear" w:color="auto" w:fill="auto"/>
                  <w:vAlign w:val="center"/>
                </w:tcPr>
                <w:p w14:paraId="783B4839">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t/a</w:t>
                  </w:r>
                </w:p>
              </w:tc>
              <w:tc>
                <w:tcPr>
                  <w:tcW w:w="658" w:type="pct"/>
                  <w:tcBorders>
                    <w:tl2br w:val="nil"/>
                    <w:tr2bl w:val="nil"/>
                  </w:tcBorders>
                  <w:shd w:val="clear" w:color="auto" w:fill="auto"/>
                  <w:vAlign w:val="center"/>
                </w:tcPr>
                <w:p w14:paraId="164B3B8A">
                  <w:pPr>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42880</w:t>
                  </w:r>
                </w:p>
              </w:tc>
              <w:tc>
                <w:tcPr>
                  <w:tcW w:w="863" w:type="pct"/>
                  <w:tcBorders>
                    <w:tl2br w:val="nil"/>
                    <w:tr2bl w:val="nil"/>
                  </w:tcBorders>
                  <w:shd w:val="clear" w:color="auto" w:fill="auto"/>
                  <w:vAlign w:val="center"/>
                </w:tcPr>
                <w:p w14:paraId="355FC29E">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olor w:val="auto"/>
                      <w:lang w:val="en-US" w:eastAsia="zh-CN"/>
                    </w:rPr>
                    <w:t>供水管网</w:t>
                  </w:r>
                </w:p>
              </w:tc>
              <w:tc>
                <w:tcPr>
                  <w:tcW w:w="1269" w:type="pct"/>
                  <w:tcBorders>
                    <w:tl2br w:val="nil"/>
                    <w:tr2bl w:val="nil"/>
                  </w:tcBorders>
                  <w:shd w:val="clear" w:color="auto" w:fill="auto"/>
                  <w:vAlign w:val="center"/>
                </w:tcPr>
                <w:p w14:paraId="69B35E69">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lang w:val="en-US" w:eastAsia="zh-CN"/>
                    </w:rPr>
                    <w:t>-</w:t>
                  </w:r>
                </w:p>
              </w:tc>
            </w:tr>
            <w:tr w14:paraId="3DDB5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549BE19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pacing w:val="-6"/>
                      <w:sz w:val="21"/>
                      <w:szCs w:val="21"/>
                      <w:lang w:val="en-US" w:eastAsia="zh-CN"/>
                    </w:rPr>
                    <w:t>2</w:t>
                  </w:r>
                </w:p>
              </w:tc>
              <w:tc>
                <w:tcPr>
                  <w:tcW w:w="1318" w:type="pct"/>
                  <w:tcBorders>
                    <w:tl2br w:val="nil"/>
                    <w:tr2bl w:val="nil"/>
                  </w:tcBorders>
                  <w:shd w:val="clear" w:color="auto" w:fill="auto"/>
                  <w:vAlign w:val="center"/>
                </w:tcPr>
                <w:p w14:paraId="5B502567">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电</w:t>
                  </w:r>
                </w:p>
              </w:tc>
              <w:tc>
                <w:tcPr>
                  <w:tcW w:w="537" w:type="pct"/>
                  <w:tcBorders>
                    <w:tl2br w:val="nil"/>
                    <w:tr2bl w:val="nil"/>
                  </w:tcBorders>
                  <w:shd w:val="clear" w:color="auto" w:fill="auto"/>
                  <w:vAlign w:val="center"/>
                </w:tcPr>
                <w:p w14:paraId="320D71F4">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万KWh</w:t>
                  </w:r>
                </w:p>
              </w:tc>
              <w:tc>
                <w:tcPr>
                  <w:tcW w:w="658" w:type="pct"/>
                  <w:tcBorders>
                    <w:tl2br w:val="nil"/>
                    <w:tr2bl w:val="nil"/>
                  </w:tcBorders>
                  <w:shd w:val="clear" w:color="auto" w:fill="auto"/>
                  <w:vAlign w:val="center"/>
                </w:tcPr>
                <w:p w14:paraId="00C37F9C">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863" w:type="pct"/>
                  <w:tcBorders>
                    <w:tl2br w:val="nil"/>
                    <w:tr2bl w:val="nil"/>
                  </w:tcBorders>
                  <w:shd w:val="clear" w:color="auto" w:fill="auto"/>
                  <w:vAlign w:val="center"/>
                </w:tcPr>
                <w:p w14:paraId="74E3A8B2">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olor w:val="auto"/>
                      <w:lang w:val="en-US" w:eastAsia="zh-CN"/>
                    </w:rPr>
                    <w:t>供电管网</w:t>
                  </w:r>
                </w:p>
              </w:tc>
              <w:tc>
                <w:tcPr>
                  <w:tcW w:w="1269" w:type="pct"/>
                  <w:tcBorders>
                    <w:tl2br w:val="nil"/>
                    <w:tr2bl w:val="nil"/>
                  </w:tcBorders>
                  <w:shd w:val="clear" w:color="auto" w:fill="auto"/>
                  <w:vAlign w:val="center"/>
                </w:tcPr>
                <w:p w14:paraId="6CD7E17F">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r>
            <w:tr w14:paraId="3593A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3C67C1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9"/>
                      <w:kern w:val="2"/>
                      <w:sz w:val="21"/>
                      <w:szCs w:val="21"/>
                      <w:lang w:val="en-US" w:eastAsia="zh-CN" w:bidi="ar-SA"/>
                    </w:rPr>
                  </w:pPr>
                  <w:r>
                    <w:rPr>
                      <w:rFonts w:hint="eastAsia" w:eastAsia="宋体" w:cs="Times New Roman"/>
                      <w:color w:val="auto"/>
                      <w:spacing w:val="-9"/>
                      <w:sz w:val="21"/>
                      <w:szCs w:val="21"/>
                      <w:lang w:val="en-US" w:eastAsia="zh-CN"/>
                    </w:rPr>
                    <w:t>3</w:t>
                  </w:r>
                </w:p>
              </w:tc>
              <w:tc>
                <w:tcPr>
                  <w:tcW w:w="1318" w:type="pct"/>
                  <w:tcBorders>
                    <w:tl2br w:val="nil"/>
                    <w:tr2bl w:val="nil"/>
                  </w:tcBorders>
                  <w:shd w:val="clear" w:color="auto" w:fill="auto"/>
                  <w:vAlign w:val="center"/>
                </w:tcPr>
                <w:p w14:paraId="5DAE4B72">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天然气</w:t>
                  </w:r>
                </w:p>
              </w:tc>
              <w:tc>
                <w:tcPr>
                  <w:tcW w:w="537" w:type="pct"/>
                  <w:tcBorders>
                    <w:tl2br w:val="nil"/>
                    <w:tr2bl w:val="nil"/>
                  </w:tcBorders>
                  <w:shd w:val="clear" w:color="auto" w:fill="auto"/>
                  <w:vAlign w:val="center"/>
                </w:tcPr>
                <w:p w14:paraId="00AC72A8">
                  <w:pPr>
                    <w:pStyle w:val="11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1"/>
                      <w:kern w:val="2"/>
                      <w:sz w:val="21"/>
                      <w:szCs w:val="21"/>
                      <w:lang w:val="en-US" w:eastAsia="zh-CN" w:bidi="ar-SA"/>
                    </w:rPr>
                  </w:pPr>
                  <w:r>
                    <w:rPr>
                      <w:rFonts w:hint="eastAsia" w:ascii="Times New Roman" w:hAnsi="Times New Roman" w:eastAsia="宋体" w:cs="Times New Roman"/>
                      <w:color w:val="auto"/>
                      <w:spacing w:val="-1"/>
                      <w:sz w:val="21"/>
                      <w:szCs w:val="21"/>
                      <w:lang w:val="en-US" w:eastAsia="zh-CN"/>
                    </w:rPr>
                    <w:t>Nm</w:t>
                  </w:r>
                  <w:r>
                    <w:rPr>
                      <w:rFonts w:hint="eastAsia" w:ascii="Times New Roman" w:hAnsi="Times New Roman" w:eastAsia="宋体" w:cs="Times New Roman"/>
                      <w:color w:val="auto"/>
                      <w:spacing w:val="-1"/>
                      <w:sz w:val="21"/>
                      <w:szCs w:val="21"/>
                      <w:vertAlign w:val="superscript"/>
                      <w:lang w:val="en-US" w:eastAsia="zh-CN"/>
                    </w:rPr>
                    <w:t>3</w:t>
                  </w:r>
                  <w:r>
                    <w:rPr>
                      <w:rFonts w:hint="eastAsia" w:ascii="Times New Roman" w:hAnsi="Times New Roman" w:eastAsia="宋体" w:cs="Times New Roman"/>
                      <w:color w:val="auto"/>
                      <w:spacing w:val="-1"/>
                      <w:sz w:val="21"/>
                      <w:szCs w:val="21"/>
                      <w:lang w:val="en-US" w:eastAsia="zh-CN"/>
                    </w:rPr>
                    <w:t>/a</w:t>
                  </w:r>
                </w:p>
              </w:tc>
              <w:tc>
                <w:tcPr>
                  <w:tcW w:w="658" w:type="pct"/>
                  <w:tcBorders>
                    <w:tl2br w:val="nil"/>
                    <w:tr2bl w:val="nil"/>
                  </w:tcBorders>
                  <w:shd w:val="clear" w:color="auto" w:fill="auto"/>
                  <w:vAlign w:val="center"/>
                </w:tcPr>
                <w:p w14:paraId="29E0465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3"/>
                      <w:kern w:val="2"/>
                      <w:sz w:val="21"/>
                      <w:szCs w:val="21"/>
                      <w:lang w:val="en-US" w:eastAsia="zh-CN" w:bidi="ar-SA"/>
                    </w:rPr>
                  </w:pPr>
                  <w:r>
                    <w:rPr>
                      <w:rFonts w:hint="eastAsia" w:cs="Times New Roman"/>
                      <w:color w:val="auto"/>
                      <w:spacing w:val="-3"/>
                      <w:sz w:val="21"/>
                      <w:szCs w:val="21"/>
                      <w:lang w:val="en-US" w:eastAsia="zh-CN"/>
                    </w:rPr>
                    <w:t>12</w:t>
                  </w:r>
                  <w:r>
                    <w:rPr>
                      <w:rFonts w:hint="eastAsia" w:eastAsia="宋体" w:cs="Times New Roman"/>
                      <w:color w:val="auto"/>
                      <w:spacing w:val="-3"/>
                      <w:sz w:val="21"/>
                      <w:szCs w:val="21"/>
                      <w:lang w:val="en-US" w:eastAsia="zh-CN"/>
                    </w:rPr>
                    <w:t>万</w:t>
                  </w:r>
                </w:p>
              </w:tc>
              <w:tc>
                <w:tcPr>
                  <w:tcW w:w="863" w:type="pct"/>
                  <w:tcBorders>
                    <w:tl2br w:val="nil"/>
                    <w:tr2bl w:val="nil"/>
                  </w:tcBorders>
                  <w:shd w:val="clear" w:color="auto" w:fill="auto"/>
                  <w:vAlign w:val="center"/>
                </w:tcPr>
                <w:p w14:paraId="4E754A00">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snapToGrid w:val="0"/>
                      <w:color w:val="auto"/>
                      <w:spacing w:val="-2"/>
                      <w:kern w:val="0"/>
                      <w:sz w:val="21"/>
                      <w:szCs w:val="21"/>
                      <w:lang w:val="en-US" w:eastAsia="zh-CN" w:bidi="ar-SA"/>
                    </w:rPr>
                  </w:pPr>
                  <w:r>
                    <w:rPr>
                      <w:rFonts w:hint="eastAsia"/>
                      <w:color w:val="auto"/>
                      <w:spacing w:val="-2"/>
                      <w:sz w:val="21"/>
                      <w:szCs w:val="21"/>
                      <w:lang w:val="en-US" w:eastAsia="zh-CN"/>
                    </w:rPr>
                    <w:t>供气管网</w:t>
                  </w:r>
                </w:p>
              </w:tc>
              <w:tc>
                <w:tcPr>
                  <w:tcW w:w="1269" w:type="pct"/>
                  <w:tcBorders>
                    <w:tl2br w:val="nil"/>
                    <w:tr2bl w:val="nil"/>
                  </w:tcBorders>
                  <w:shd w:val="clear" w:color="auto" w:fill="auto"/>
                  <w:vAlign w:val="center"/>
                </w:tcPr>
                <w:p w14:paraId="6ABA03A3">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lang w:val="en-US" w:eastAsia="zh-CN"/>
                    </w:rPr>
                    <w:t>-</w:t>
                  </w:r>
                </w:p>
              </w:tc>
            </w:tr>
            <w:tr w14:paraId="4C0C9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5000" w:type="pct"/>
                  <w:gridSpan w:val="6"/>
                  <w:tcBorders>
                    <w:tl2br w:val="nil"/>
                    <w:tr2bl w:val="nil"/>
                  </w:tcBorders>
                  <w:shd w:val="clear" w:color="auto" w:fill="auto"/>
                  <w:vAlign w:val="center"/>
                </w:tcPr>
                <w:p w14:paraId="6C46A9E6">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lang w:val="en-US" w:eastAsia="zh-CN"/>
                    </w:rPr>
                  </w:pPr>
                  <w:r>
                    <w:rPr>
                      <w:rFonts w:hint="eastAsia"/>
                      <w:b/>
                      <w:bCs/>
                      <w:color w:val="auto"/>
                      <w:lang w:val="en-US" w:eastAsia="zh-CN"/>
                    </w:rPr>
                    <w:t>污水处理站</w:t>
                  </w:r>
                </w:p>
              </w:tc>
            </w:tr>
            <w:tr w14:paraId="39D1A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722C661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1</w:t>
                  </w:r>
                </w:p>
              </w:tc>
              <w:tc>
                <w:tcPr>
                  <w:tcW w:w="1318" w:type="pct"/>
                  <w:tcBorders>
                    <w:tl2br w:val="nil"/>
                    <w:tr2bl w:val="nil"/>
                  </w:tcBorders>
                  <w:shd w:val="clear" w:color="auto" w:fill="auto"/>
                  <w:vAlign w:val="center"/>
                </w:tcPr>
                <w:p w14:paraId="38A6894E">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聚丙烯酰胺（PAM</w:t>
                  </w:r>
                  <w:r>
                    <w:rPr>
                      <w:rFonts w:hint="eastAsia" w:cs="Times New Roman"/>
                      <w:color w:val="auto"/>
                      <w:kern w:val="2"/>
                      <w:sz w:val="21"/>
                      <w:szCs w:val="24"/>
                      <w:lang w:val="en-US" w:eastAsia="zh-CN" w:bidi="ar-SA"/>
                    </w:rPr>
                    <w:t>）</w:t>
                  </w:r>
                </w:p>
              </w:tc>
              <w:tc>
                <w:tcPr>
                  <w:tcW w:w="537" w:type="pct"/>
                  <w:tcBorders>
                    <w:tl2br w:val="nil"/>
                    <w:tr2bl w:val="nil"/>
                  </w:tcBorders>
                  <w:shd w:val="clear" w:color="auto" w:fill="auto"/>
                  <w:vAlign w:val="center"/>
                </w:tcPr>
                <w:p w14:paraId="40E50795">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t/a</w:t>
                  </w:r>
                </w:p>
              </w:tc>
              <w:tc>
                <w:tcPr>
                  <w:tcW w:w="658" w:type="pct"/>
                  <w:tcBorders>
                    <w:tl2br w:val="nil"/>
                    <w:tr2bl w:val="nil"/>
                  </w:tcBorders>
                  <w:shd w:val="clear" w:color="auto" w:fill="auto"/>
                  <w:vAlign w:val="center"/>
                </w:tcPr>
                <w:p w14:paraId="6361CE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pacing w:val="-3"/>
                      <w:sz w:val="21"/>
                      <w:szCs w:val="21"/>
                      <w:lang w:val="en-US" w:eastAsia="zh-CN"/>
                    </w:rPr>
                  </w:pPr>
                  <w:r>
                    <w:rPr>
                      <w:rFonts w:hint="eastAsia" w:cs="Times New Roman"/>
                      <w:color w:val="auto"/>
                      <w:spacing w:val="-3"/>
                      <w:sz w:val="21"/>
                      <w:szCs w:val="21"/>
                      <w:lang w:val="en-US" w:eastAsia="zh-CN"/>
                    </w:rPr>
                    <w:t>0.0273</w:t>
                  </w:r>
                </w:p>
              </w:tc>
              <w:tc>
                <w:tcPr>
                  <w:tcW w:w="863" w:type="pct"/>
                  <w:tcBorders>
                    <w:tl2br w:val="nil"/>
                    <w:tr2bl w:val="nil"/>
                  </w:tcBorders>
                  <w:shd w:val="clear" w:color="auto" w:fill="auto"/>
                  <w:vAlign w:val="center"/>
                </w:tcPr>
                <w:p w14:paraId="34A70D56">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spacing w:val="-2"/>
                      <w:sz w:val="21"/>
                      <w:szCs w:val="21"/>
                      <w:lang w:val="en-US" w:eastAsia="zh-CN"/>
                    </w:rPr>
                  </w:pPr>
                  <w:r>
                    <w:rPr>
                      <w:rFonts w:hint="eastAsia"/>
                      <w:color w:val="auto"/>
                      <w:spacing w:val="-2"/>
                      <w:sz w:val="21"/>
                      <w:szCs w:val="21"/>
                      <w:lang w:val="en-US" w:eastAsia="zh-CN"/>
                    </w:rPr>
                    <w:t>外购</w:t>
                  </w:r>
                </w:p>
              </w:tc>
              <w:tc>
                <w:tcPr>
                  <w:tcW w:w="1269" w:type="pct"/>
                  <w:tcBorders>
                    <w:tl2br w:val="nil"/>
                    <w:tr2bl w:val="nil"/>
                  </w:tcBorders>
                  <w:shd w:val="clear" w:color="auto" w:fill="auto"/>
                  <w:vAlign w:val="center"/>
                </w:tcPr>
                <w:p w14:paraId="268D1928">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lang w:val="en-US" w:eastAsia="zh-CN"/>
                    </w:rPr>
                  </w:pPr>
                  <w:r>
                    <w:rPr>
                      <w:rFonts w:hint="eastAsia"/>
                      <w:color w:val="auto"/>
                      <w:lang w:val="en-US" w:eastAsia="zh-CN"/>
                    </w:rPr>
                    <w:t>-</w:t>
                  </w:r>
                </w:p>
              </w:tc>
            </w:tr>
            <w:tr w14:paraId="60FEF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2F6BA4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2</w:t>
                  </w:r>
                </w:p>
              </w:tc>
              <w:tc>
                <w:tcPr>
                  <w:tcW w:w="1318" w:type="pct"/>
                  <w:tcBorders>
                    <w:tl2br w:val="nil"/>
                    <w:tr2bl w:val="nil"/>
                  </w:tcBorders>
                  <w:shd w:val="clear" w:color="auto" w:fill="auto"/>
                  <w:vAlign w:val="center"/>
                </w:tcPr>
                <w:p w14:paraId="1CB22649">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聚合氯化铝（PAC</w:t>
                  </w:r>
                  <w:r>
                    <w:rPr>
                      <w:rFonts w:hint="eastAsia" w:cs="Times New Roman"/>
                      <w:color w:val="auto"/>
                      <w:kern w:val="2"/>
                      <w:sz w:val="21"/>
                      <w:szCs w:val="24"/>
                      <w:lang w:val="en-US" w:eastAsia="zh-CN" w:bidi="ar-SA"/>
                    </w:rPr>
                    <w:t>）</w:t>
                  </w:r>
                </w:p>
              </w:tc>
              <w:tc>
                <w:tcPr>
                  <w:tcW w:w="537" w:type="pct"/>
                  <w:tcBorders>
                    <w:tl2br w:val="nil"/>
                    <w:tr2bl w:val="nil"/>
                  </w:tcBorders>
                  <w:shd w:val="clear" w:color="auto" w:fill="auto"/>
                  <w:vAlign w:val="center"/>
                </w:tcPr>
                <w:p w14:paraId="4AFA891A">
                  <w:pPr>
                    <w:keepNext w:val="0"/>
                    <w:keepLines w:val="0"/>
                    <w:pageBreakBefore w:val="0"/>
                    <w:widowControl w:val="0"/>
                    <w:kinsoku/>
                    <w:wordWrap/>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lang w:val="en-US" w:eastAsia="zh-CN" w:bidi="ar-SA"/>
                    </w:rPr>
                  </w:pPr>
                  <w:r>
                    <w:rPr>
                      <w:color w:val="auto"/>
                    </w:rPr>
                    <w:t>t/a</w:t>
                  </w:r>
                </w:p>
              </w:tc>
              <w:tc>
                <w:tcPr>
                  <w:tcW w:w="658" w:type="pct"/>
                  <w:tcBorders>
                    <w:tl2br w:val="nil"/>
                    <w:tr2bl w:val="nil"/>
                  </w:tcBorders>
                  <w:shd w:val="clear" w:color="auto" w:fill="auto"/>
                  <w:vAlign w:val="center"/>
                </w:tcPr>
                <w:p w14:paraId="2306A34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pacing w:val="-3"/>
                      <w:sz w:val="21"/>
                      <w:szCs w:val="21"/>
                      <w:lang w:val="en-US" w:eastAsia="zh-CN"/>
                    </w:rPr>
                  </w:pPr>
                  <w:r>
                    <w:rPr>
                      <w:rFonts w:hint="eastAsia" w:cs="Times New Roman"/>
                      <w:color w:val="auto"/>
                      <w:spacing w:val="-3"/>
                      <w:sz w:val="21"/>
                      <w:szCs w:val="21"/>
                      <w:lang w:val="en-US" w:eastAsia="zh-CN"/>
                    </w:rPr>
                    <w:t>4.3</w:t>
                  </w:r>
                </w:p>
              </w:tc>
              <w:tc>
                <w:tcPr>
                  <w:tcW w:w="863" w:type="pct"/>
                  <w:tcBorders>
                    <w:tl2br w:val="nil"/>
                    <w:tr2bl w:val="nil"/>
                  </w:tcBorders>
                  <w:shd w:val="clear" w:color="auto" w:fill="auto"/>
                  <w:vAlign w:val="center"/>
                </w:tcPr>
                <w:p w14:paraId="7062E685">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2"/>
                      <w:sz w:val="21"/>
                      <w:szCs w:val="21"/>
                      <w:lang w:val="en-US" w:eastAsia="zh-CN"/>
                    </w:rPr>
                  </w:pPr>
                  <w:r>
                    <w:rPr>
                      <w:rFonts w:hint="eastAsia"/>
                      <w:color w:val="auto"/>
                      <w:spacing w:val="-2"/>
                      <w:sz w:val="21"/>
                      <w:szCs w:val="21"/>
                      <w:lang w:val="en-US" w:eastAsia="zh-CN"/>
                    </w:rPr>
                    <w:t>外购</w:t>
                  </w:r>
                </w:p>
              </w:tc>
              <w:tc>
                <w:tcPr>
                  <w:tcW w:w="1269" w:type="pct"/>
                  <w:tcBorders>
                    <w:tl2br w:val="nil"/>
                    <w:tr2bl w:val="nil"/>
                  </w:tcBorders>
                  <w:shd w:val="clear" w:color="auto" w:fill="auto"/>
                  <w:vAlign w:val="center"/>
                </w:tcPr>
                <w:p w14:paraId="4B2DFE44">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lang w:val="en-US" w:eastAsia="zh-CN"/>
                    </w:rPr>
                  </w:pPr>
                  <w:r>
                    <w:rPr>
                      <w:rFonts w:hint="eastAsia"/>
                      <w:color w:val="auto"/>
                      <w:lang w:val="en-US" w:eastAsia="zh-CN"/>
                    </w:rPr>
                    <w:t>-</w:t>
                  </w:r>
                </w:p>
              </w:tc>
            </w:tr>
            <w:tr w14:paraId="7CBFB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352" w:type="pct"/>
                  <w:tcBorders>
                    <w:tl2br w:val="nil"/>
                    <w:tr2bl w:val="nil"/>
                  </w:tcBorders>
                  <w:shd w:val="clear" w:color="auto" w:fill="auto"/>
                  <w:vAlign w:val="center"/>
                </w:tcPr>
                <w:p w14:paraId="5D60744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9"/>
                      <w:sz w:val="21"/>
                      <w:szCs w:val="21"/>
                      <w:lang w:val="en-US" w:eastAsia="zh-CN"/>
                    </w:rPr>
                  </w:pPr>
                  <w:r>
                    <w:rPr>
                      <w:rFonts w:hint="eastAsia" w:cs="Times New Roman"/>
                      <w:color w:val="auto"/>
                      <w:spacing w:val="-9"/>
                      <w:sz w:val="21"/>
                      <w:szCs w:val="21"/>
                      <w:lang w:val="en-US" w:eastAsia="zh-CN"/>
                    </w:rPr>
                    <w:t>3</w:t>
                  </w:r>
                </w:p>
              </w:tc>
              <w:tc>
                <w:tcPr>
                  <w:tcW w:w="1318" w:type="pct"/>
                  <w:tcBorders>
                    <w:tl2br w:val="nil"/>
                    <w:tr2bl w:val="nil"/>
                  </w:tcBorders>
                  <w:shd w:val="clear" w:color="auto" w:fill="auto"/>
                  <w:vAlign w:val="center"/>
                </w:tcPr>
                <w:p w14:paraId="5AF5EB5B">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kern w:val="2"/>
                      <w:sz w:val="21"/>
                      <w:szCs w:val="24"/>
                      <w:lang w:val="en-US" w:eastAsia="zh-CN" w:bidi="ar-SA"/>
                    </w:rPr>
                    <w:t>去油脂药剂</w:t>
                  </w:r>
                </w:p>
              </w:tc>
              <w:tc>
                <w:tcPr>
                  <w:tcW w:w="537" w:type="pct"/>
                  <w:tcBorders>
                    <w:tl2br w:val="nil"/>
                    <w:tr2bl w:val="nil"/>
                  </w:tcBorders>
                  <w:shd w:val="clear" w:color="auto" w:fill="auto"/>
                  <w:vAlign w:val="center"/>
                </w:tcPr>
                <w:p w14:paraId="2BD43E8D">
                  <w:pPr>
                    <w:pStyle w:val="114"/>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1"/>
                      <w:sz w:val="21"/>
                      <w:szCs w:val="21"/>
                      <w:lang w:val="en-US" w:eastAsia="zh-CN"/>
                    </w:rPr>
                  </w:pPr>
                  <w:r>
                    <w:rPr>
                      <w:color w:val="auto"/>
                    </w:rPr>
                    <w:t>t/a</w:t>
                  </w:r>
                </w:p>
              </w:tc>
              <w:tc>
                <w:tcPr>
                  <w:tcW w:w="658" w:type="pct"/>
                  <w:tcBorders>
                    <w:tl2br w:val="nil"/>
                    <w:tr2bl w:val="nil"/>
                  </w:tcBorders>
                  <w:shd w:val="clear" w:color="auto" w:fill="auto"/>
                  <w:vAlign w:val="center"/>
                </w:tcPr>
                <w:p w14:paraId="3CF52DC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pacing w:val="-3"/>
                      <w:sz w:val="21"/>
                      <w:szCs w:val="21"/>
                      <w:lang w:val="en-US" w:eastAsia="zh-CN"/>
                    </w:rPr>
                  </w:pPr>
                  <w:r>
                    <w:rPr>
                      <w:rFonts w:hint="eastAsia" w:cs="Times New Roman"/>
                      <w:color w:val="auto"/>
                      <w:spacing w:val="-3"/>
                      <w:sz w:val="21"/>
                      <w:szCs w:val="21"/>
                      <w:lang w:val="en-US" w:eastAsia="zh-CN"/>
                    </w:rPr>
                    <w:t>0.0035</w:t>
                  </w:r>
                </w:p>
              </w:tc>
              <w:tc>
                <w:tcPr>
                  <w:tcW w:w="863" w:type="pct"/>
                  <w:tcBorders>
                    <w:tl2br w:val="nil"/>
                    <w:tr2bl w:val="nil"/>
                  </w:tcBorders>
                  <w:shd w:val="clear" w:color="auto" w:fill="auto"/>
                  <w:vAlign w:val="center"/>
                </w:tcPr>
                <w:p w14:paraId="640E642F">
                  <w:pPr>
                    <w:keepNext w:val="0"/>
                    <w:keepLines w:val="0"/>
                    <w:pageBreakBefore w:val="0"/>
                    <w:widowControl w:val="0"/>
                    <w:kinsoku/>
                    <w:wordWrap/>
                    <w:topLinePunct w:val="0"/>
                    <w:autoSpaceDE/>
                    <w:autoSpaceDN/>
                    <w:bidi w:val="0"/>
                    <w:spacing w:line="240" w:lineRule="auto"/>
                    <w:ind w:left="0" w:leftChars="0"/>
                    <w:jc w:val="center"/>
                    <w:textAlignment w:val="auto"/>
                    <w:rPr>
                      <w:rFonts w:hint="eastAsia"/>
                      <w:color w:val="auto"/>
                      <w:spacing w:val="-2"/>
                      <w:sz w:val="21"/>
                      <w:szCs w:val="21"/>
                      <w:lang w:val="en-US" w:eastAsia="zh-CN"/>
                    </w:rPr>
                  </w:pPr>
                  <w:r>
                    <w:rPr>
                      <w:rFonts w:hint="eastAsia"/>
                      <w:color w:val="auto"/>
                      <w:spacing w:val="-2"/>
                      <w:sz w:val="21"/>
                      <w:szCs w:val="21"/>
                      <w:lang w:val="en-US" w:eastAsia="zh-CN"/>
                    </w:rPr>
                    <w:t>外购</w:t>
                  </w:r>
                </w:p>
              </w:tc>
              <w:tc>
                <w:tcPr>
                  <w:tcW w:w="1269" w:type="pct"/>
                  <w:tcBorders>
                    <w:tl2br w:val="nil"/>
                    <w:tr2bl w:val="nil"/>
                  </w:tcBorders>
                  <w:shd w:val="clear" w:color="auto" w:fill="auto"/>
                  <w:vAlign w:val="center"/>
                </w:tcPr>
                <w:p w14:paraId="434F4C7C">
                  <w:pPr>
                    <w:pStyle w:val="93"/>
                    <w:keepNext w:val="0"/>
                    <w:keepLines w:val="0"/>
                    <w:pageBreakBefore w:val="0"/>
                    <w:widowControl w:val="0"/>
                    <w:kinsoku/>
                    <w:wordWrap/>
                    <w:topLinePunct w:val="0"/>
                    <w:autoSpaceDE/>
                    <w:autoSpaceDN/>
                    <w:bidi w:val="0"/>
                    <w:spacing w:line="240" w:lineRule="auto"/>
                    <w:ind w:left="0" w:leftChars="0"/>
                    <w:jc w:val="center"/>
                    <w:textAlignment w:val="auto"/>
                    <w:rPr>
                      <w:rFonts w:hint="default"/>
                      <w:color w:val="auto"/>
                      <w:lang w:val="en-US" w:eastAsia="zh-CN"/>
                    </w:rPr>
                  </w:pPr>
                  <w:r>
                    <w:rPr>
                      <w:rFonts w:hint="eastAsia"/>
                      <w:color w:val="auto"/>
                      <w:lang w:val="en-US" w:eastAsia="zh-CN"/>
                    </w:rPr>
                    <w:t>-</w:t>
                  </w:r>
                </w:p>
              </w:tc>
            </w:tr>
          </w:tbl>
          <w:p w14:paraId="4D215106">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color w:val="auto"/>
                <w:kern w:val="2"/>
                <w:sz w:val="24"/>
                <w:szCs w:val="24"/>
                <w:lang w:val="en-US" w:eastAsia="zh-CN" w:bidi="ar-SA"/>
              </w:rPr>
            </w:pPr>
          </w:p>
          <w:p w14:paraId="4E7D8DD4">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default"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kern w:val="2"/>
                <w:sz w:val="24"/>
                <w:szCs w:val="24"/>
                <w:lang w:val="en-US" w:eastAsia="zh-CN" w:bidi="ar-SA"/>
              </w:rPr>
              <w:t>）</w:t>
            </w:r>
            <w:r>
              <w:rPr>
                <w:rFonts w:hint="eastAsia" w:asciiTheme="majorEastAsia" w:hAnsiTheme="majorEastAsia" w:eastAsiaTheme="majorEastAsia" w:cstheme="majorEastAsia"/>
                <w:color w:val="auto"/>
                <w:sz w:val="24"/>
                <w:szCs w:val="24"/>
                <w:lang w:val="en-US" w:eastAsia="zh-CN"/>
              </w:rPr>
              <w:t>无水石膏</w:t>
            </w:r>
          </w:p>
          <w:p w14:paraId="2E94072A">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本项目</w:t>
            </w:r>
            <w:r>
              <w:rPr>
                <w:rFonts w:hint="eastAsia" w:asciiTheme="majorEastAsia" w:hAnsiTheme="majorEastAsia" w:eastAsiaTheme="majorEastAsia" w:cstheme="majorEastAsia"/>
                <w:color w:val="auto"/>
                <w:sz w:val="24"/>
                <w:szCs w:val="24"/>
              </w:rPr>
              <w:t>中无水石膏为食品添加剂硫酸钙，在制作豆腐的过程中，起的作用是使豆浆中的大豆蛋白凝结，从而制作成豆腐。</w:t>
            </w:r>
          </w:p>
          <w:p w14:paraId="525C9ABB">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lang w:eastAsia="zh-CN"/>
              </w:rPr>
            </w:pPr>
            <w:r>
              <w:rPr>
                <w:rFonts w:hint="default" w:asciiTheme="majorEastAsia" w:hAnsiTheme="majorEastAsia" w:eastAsiaTheme="majorEastAsia" w:cstheme="majorEastAsia"/>
                <w:color w:val="auto"/>
                <w:kern w:val="2"/>
                <w:sz w:val="24"/>
                <w:szCs w:val="24"/>
                <w:lang w:val="en-US" w:eastAsia="zh-CN" w:bidi="ar-SA"/>
              </w:rPr>
              <w:t>（</w:t>
            </w:r>
            <w:r>
              <w:rPr>
                <w:rFonts w:hint="eastAsia" w:asciiTheme="majorEastAsia" w:hAnsiTheme="majorEastAsia" w:eastAsiaTheme="majorEastAsia" w:cstheme="majorEastAsia"/>
                <w:color w:val="auto"/>
                <w:kern w:val="2"/>
                <w:sz w:val="24"/>
                <w:szCs w:val="24"/>
                <w:lang w:val="en-US" w:eastAsia="zh-CN" w:bidi="ar-SA"/>
              </w:rPr>
              <w:t>2）</w:t>
            </w:r>
            <w:r>
              <w:rPr>
                <w:rFonts w:hint="eastAsia" w:asciiTheme="majorEastAsia" w:hAnsiTheme="majorEastAsia" w:eastAsiaTheme="majorEastAsia" w:cstheme="majorEastAsia"/>
                <w:color w:val="auto"/>
                <w:sz w:val="24"/>
                <w:szCs w:val="24"/>
              </w:rPr>
              <w:t>凝固剂 （盐卤</w:t>
            </w:r>
            <w:r>
              <w:rPr>
                <w:rFonts w:hint="eastAsia" w:asciiTheme="majorEastAsia" w:hAnsiTheme="majorEastAsia" w:eastAsiaTheme="majorEastAsia" w:cstheme="majorEastAsia"/>
                <w:color w:val="auto"/>
                <w:sz w:val="24"/>
                <w:szCs w:val="24"/>
                <w:lang w:eastAsia="zh-CN"/>
              </w:rPr>
              <w:t>）</w:t>
            </w:r>
          </w:p>
          <w:p w14:paraId="480D63E7">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盐卤又叫苦卤、卤碱，成分为氯化镁、单双硬脂酸甘油酯、大豆油、水。盐卤是将海水或盐湖水制盐后残留于盐池内的母液蒸发冷却后析出氯化镁结晶而形成的卤块，味苦，有毒。盐卤能使蛋白质溶液凝结成凝胶，是中国北方制豆腐常用的凝固剂，但对皮肤、粘膜有很强的刺激作用，并对中枢神经系统有抑制作用。</w:t>
            </w:r>
          </w:p>
          <w:p w14:paraId="30610984">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rPr>
            </w:pPr>
            <w:r>
              <w:rPr>
                <w:rFonts w:hint="default" w:asciiTheme="majorEastAsia" w:hAnsiTheme="majorEastAsia" w:eastAsiaTheme="majorEastAsia" w:cstheme="majorEastAsia"/>
                <w:color w:val="auto"/>
                <w:kern w:val="2"/>
                <w:sz w:val="24"/>
                <w:szCs w:val="24"/>
                <w:lang w:val="en-US" w:eastAsia="zh-CN" w:bidi="ar-SA"/>
              </w:rPr>
              <w:t>（</w:t>
            </w:r>
            <w:r>
              <w:rPr>
                <w:rFonts w:hint="eastAsia" w:asciiTheme="majorEastAsia" w:hAnsiTheme="majorEastAsia" w:eastAsiaTheme="majorEastAsia" w:cstheme="majorEastAsia"/>
                <w:color w:val="auto"/>
                <w:kern w:val="2"/>
                <w:sz w:val="24"/>
                <w:szCs w:val="24"/>
                <w:lang w:val="en-US" w:eastAsia="zh-CN" w:bidi="ar-SA"/>
              </w:rPr>
              <w:t>3）</w:t>
            </w:r>
            <w:r>
              <w:rPr>
                <w:rFonts w:hint="eastAsia" w:asciiTheme="majorEastAsia" w:hAnsiTheme="majorEastAsia" w:eastAsiaTheme="majorEastAsia" w:cstheme="majorEastAsia"/>
                <w:color w:val="auto"/>
                <w:sz w:val="24"/>
                <w:szCs w:val="24"/>
              </w:rPr>
              <w:t>消泡剂</w:t>
            </w:r>
          </w:p>
          <w:p w14:paraId="413348B5">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消泡剂，也称消沫剂，是在食品加工过程中降低表面张力，抑制泡沫产生或消除已产生泡沫的食品添加剂。以每千克黄豆的使用量 计，使用量0.1%左右。</w:t>
            </w:r>
          </w:p>
          <w:p w14:paraId="1A3380BE">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 xml:space="preserve">（4）聚合氯化铝（PAC） </w:t>
            </w:r>
          </w:p>
          <w:p w14:paraId="173BC8FD">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 xml:space="preserve">聚合氯化铝（PAC）呈白色或黄色树脂状固体，是一种无机高分子混凝剂， </w:t>
            </w:r>
          </w:p>
          <w:p w14:paraId="1F7B4D99">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 xml:space="preserve">其主要特点主要为絮凝体成型快、活性好、过滤性好，适应 pH 值宽、适应性强、用途广泛，处理后的水中盐分少，能除去重金属及放射性物质对水的污染，有效成分高、便于储存运输等特点。根据设计方提供数据，聚合氯化铝在本项目污水处理中使用量为 80g/t。 </w:t>
            </w:r>
          </w:p>
          <w:p w14:paraId="2FF8CD75">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 xml:space="preserve">（5）聚丙烯酰胺（PAM） </w:t>
            </w:r>
          </w:p>
          <w:p w14:paraId="1893B2CB">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Cs w:val="24"/>
                <w:lang w:val="en-US" w:eastAsia="zh-CN"/>
              </w:rPr>
            </w:pPr>
            <w:r>
              <w:rPr>
                <w:rFonts w:hint="eastAsia" w:asciiTheme="majorEastAsia" w:hAnsiTheme="majorEastAsia" w:eastAsiaTheme="majorEastAsia" w:cstheme="majorEastAsia"/>
                <w:color w:val="auto"/>
                <w:sz w:val="24"/>
                <w:szCs w:val="24"/>
                <w:lang w:val="en-US" w:eastAsia="zh-CN"/>
              </w:rPr>
              <w:t>聚丙烯酰胺为水溶性高分子聚合物，白色粉末状颗粒，不溶于大多数有机溶剂，具有良好的絮凝性，可以降低液体之间的摩擦阻力。项目使用 PAM 作为絮凝剂，对废水内的油脂等悬浮物进行凝结。根据设计方提供数据，聚丙烯酰胺在本项目污水处理中使用量为 5g/t</w:t>
            </w:r>
            <w:r>
              <w:rPr>
                <w:rFonts w:hint="eastAsia" w:ascii="宋体" w:hAnsi="宋体" w:eastAsia="宋体" w:cs="宋体"/>
                <w:color w:val="auto"/>
                <w:szCs w:val="24"/>
                <w:lang w:val="en-US" w:eastAsia="zh-CN"/>
              </w:rPr>
              <w:t>。</w:t>
            </w:r>
          </w:p>
          <w:p w14:paraId="52C46A21">
            <w:pPr>
              <w:pStyle w:val="122"/>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制冷剂</w:t>
            </w:r>
          </w:p>
          <w:p w14:paraId="6FB7BC54">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项目冷库采用507制冷剂。507是一种新型环保制冷剂，产品名称：</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"https://baike.baidu.com/item/%E5%85%B1%E6%B2%B8%E5%89%82/9307840?fromModule=lemma_inlink"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共沸剂</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R507；产品类别：HFC类；化学成分：R125</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"https://baike.baidu.com/item/%E4%BA%94%E6%B0%9F%E4%B9%99%E7%83%B7/5526494?fromModule=lemma_inlink"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五氟乙烷</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 R143三</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"https://baike.baidu.com/item/%E6%B0%9F%E4%B9%99%E7%83%B7/8354899?fromModule=lemma_inlink"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氟乙烷</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）；外观与性状</w:t>
            </w:r>
            <w:r>
              <w:rPr>
                <w:rFonts w:hint="default" w:ascii="宋体" w:hAnsi="宋体" w:eastAsia="宋体" w:cs="宋体"/>
                <w:color w:val="auto"/>
                <w:sz w:val="24"/>
                <w:szCs w:val="24"/>
                <w:lang w:val="en-US" w:eastAsia="zh-CN"/>
              </w:rPr>
              <w:t>：常温常压下为无色气体，贮存在钢瓶内是被压缩的液化气体</w:t>
            </w:r>
            <w:r>
              <w:rPr>
                <w:rFonts w:hint="eastAsia" w:ascii="宋体" w:hAnsi="宋体" w:eastAsia="宋体" w:cs="宋体"/>
                <w:color w:val="auto"/>
                <w:sz w:val="24"/>
                <w:szCs w:val="24"/>
                <w:lang w:val="en-US" w:eastAsia="zh-CN"/>
              </w:rPr>
              <w:t>；R507由R125和R143a两种制冷剂按照50%/50%的质量比例混合而成。由于507属于HFC型非共沸环保制冷剂（完全不含破坏臭层的CFC、HCFC），得到目前世界绝大多数国家的认可并推荐的主流低温环保制冷剂，广泛用于中低温的新型商用</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"https://baike.baidu.com/item/%E5%88%B6%E5%86%B7%E8%AE%BE%E5%A4%87/476333?fromModule=lemma_inlink"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制冷设备</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（超市冷冻冷藏柜、冷库、陈列</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"https://baike.baidu.com/item/%E5%B1%95%E7%A4%BA%E6%9F%9C/6865346?fromModule=lemma_inlink"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展示柜</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、运输）、制冰设备、</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"https://baike.baidu.com/item/%E4%BA%A4%E9%80%9A%E8%BF%90%E8%BE%93/9649723?fromModule=lemma_inlink" \t "https://baike.baidu.com/item/R507/_blank"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交通运输</w: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制冷设备、船用制冷设备或更新设备，适用于所有R502可正常运作的环境。</w:t>
            </w:r>
          </w:p>
          <w:p w14:paraId="2EF80A6F">
            <w:pPr>
              <w:pStyle w:val="1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通过对照环境保护部、国家发展和改革委员会、工业和信息化部“关于发布《中国受控消耗臭氧层物质清单》的公告”，其中“HFC”不在受控消耗臭氧层物质清单中，因此本项目采用R507制冷剂符合相关规定。</w:t>
            </w:r>
          </w:p>
          <w:p w14:paraId="0AA4D7E9">
            <w:pPr>
              <w:pStyle w:val="5"/>
              <w:keepNext/>
              <w:keepLines/>
              <w:pageBreakBefore w:val="0"/>
              <w:widowControl w:val="0"/>
              <w:kinsoku/>
              <w:wordWrap/>
              <w:overflowPunct/>
              <w:topLinePunct w:val="0"/>
              <w:autoSpaceDE/>
              <w:autoSpaceDN/>
              <w:bidi w:val="0"/>
              <w:adjustRightInd/>
              <w:snapToGrid/>
              <w:spacing w:before="313" w:beforeLines="100"/>
              <w:ind w:firstLine="482"/>
              <w:textAlignment w:val="auto"/>
              <w:rPr>
                <w:rFonts w:hint="default" w:eastAsia="宋体"/>
                <w:color w:val="auto"/>
                <w:lang w:val="en-US" w:eastAsia="zh-CN"/>
              </w:rPr>
            </w:pPr>
            <w:r>
              <w:rPr>
                <w:color w:val="auto"/>
              </w:rPr>
              <w:t>3、项目总平面布置</w:t>
            </w:r>
            <w:r>
              <w:rPr>
                <w:rFonts w:hint="eastAsia"/>
                <w:color w:val="auto"/>
                <w:lang w:val="en-US" w:eastAsia="zh-CN"/>
              </w:rPr>
              <w:t>及合理性分析</w:t>
            </w:r>
          </w:p>
          <w:p w14:paraId="7E9FEA21">
            <w:pPr>
              <w:pStyle w:val="121"/>
              <w:ind w:firstLine="480"/>
              <w:rPr>
                <w:rFonts w:hAnsi="Times New Roman" w:cs="Times New Roman"/>
                <w:color w:val="auto"/>
              </w:rPr>
            </w:pPr>
            <w:r>
              <w:rPr>
                <w:color w:val="auto"/>
                <w:sz w:val="24"/>
              </w:rPr>
              <w:t>项目区东侧</w:t>
            </w:r>
            <w:r>
              <w:rPr>
                <w:rFonts w:hint="eastAsia"/>
                <w:color w:val="auto"/>
                <w:sz w:val="24"/>
                <w:lang w:val="en-US" w:eastAsia="zh-CN"/>
              </w:rPr>
              <w:t>为香梨园</w:t>
            </w:r>
            <w:r>
              <w:rPr>
                <w:color w:val="auto"/>
                <w:sz w:val="24"/>
              </w:rPr>
              <w:t>、南侧</w:t>
            </w:r>
            <w:r>
              <w:rPr>
                <w:rFonts w:hint="eastAsia"/>
                <w:color w:val="auto"/>
                <w:sz w:val="24"/>
                <w:lang w:val="en-US" w:eastAsia="zh-CN"/>
              </w:rPr>
              <w:t>为香梨园</w:t>
            </w:r>
            <w:r>
              <w:rPr>
                <w:color w:val="auto"/>
                <w:sz w:val="24"/>
              </w:rPr>
              <w:t>、西侧</w:t>
            </w:r>
            <w:r>
              <w:rPr>
                <w:rFonts w:hint="eastAsia"/>
                <w:color w:val="auto"/>
                <w:sz w:val="24"/>
                <w:lang w:val="en-US" w:eastAsia="zh-CN"/>
              </w:rPr>
              <w:t>为闲置板房</w:t>
            </w:r>
            <w:r>
              <w:rPr>
                <w:color w:val="auto"/>
                <w:sz w:val="24"/>
              </w:rPr>
              <w:t>，北侧</w:t>
            </w:r>
            <w:r>
              <w:rPr>
                <w:rFonts w:hint="eastAsia"/>
                <w:color w:val="auto"/>
                <w:sz w:val="24"/>
                <w:lang w:val="en-US" w:eastAsia="zh-CN"/>
              </w:rPr>
              <w:t>为库尔勒市兰干乡精酿啤酒厂</w:t>
            </w:r>
            <w:r>
              <w:rPr>
                <w:color w:val="auto"/>
                <w:sz w:val="24"/>
              </w:rPr>
              <w:t>。</w:t>
            </w:r>
            <w:r>
              <w:rPr>
                <w:color w:val="auto"/>
              </w:rPr>
              <w:t>项目平面布置图详见附图</w:t>
            </w:r>
            <w:r>
              <w:rPr>
                <w:rFonts w:hint="eastAsia"/>
                <w:color w:val="auto"/>
                <w:lang w:val="en-US" w:eastAsia="zh-CN"/>
              </w:rPr>
              <w:t>3</w:t>
            </w:r>
            <w:r>
              <w:rPr>
                <w:color w:val="auto"/>
              </w:rPr>
              <w:t>。</w:t>
            </w:r>
            <w:r>
              <w:rPr>
                <w:rFonts w:hAnsi="Times New Roman" w:cs="Times New Roman"/>
                <w:color w:val="auto"/>
              </w:rPr>
              <w:t>本项目按照生产装置尽可能联合集中布置、满足生产工艺流程流畅的原则，为贮运及管理等创造有利条件，满足到节约用地，节约投资，经济合理的要求。</w:t>
            </w:r>
          </w:p>
          <w:p w14:paraId="5EC89926">
            <w:pPr>
              <w:pStyle w:val="5"/>
              <w:ind w:firstLine="482"/>
              <w:rPr>
                <w:color w:val="auto"/>
              </w:rPr>
            </w:pPr>
            <w:r>
              <w:rPr>
                <w:color w:val="auto"/>
              </w:rPr>
              <w:t>4、劳动定员及工作制度</w:t>
            </w:r>
          </w:p>
          <w:p w14:paraId="6C9A3BB3">
            <w:pPr>
              <w:adjustRightInd w:val="0"/>
              <w:snapToGrid w:val="0"/>
              <w:spacing w:line="360" w:lineRule="auto"/>
              <w:ind w:firstLine="480" w:firstLineChars="200"/>
              <w:rPr>
                <w:rFonts w:hint="eastAsia" w:eastAsia="宋体"/>
                <w:bCs/>
                <w:color w:val="auto"/>
                <w:kern w:val="0"/>
                <w:sz w:val="24"/>
                <w:lang w:eastAsia="zh-CN"/>
              </w:rPr>
            </w:pPr>
            <w:r>
              <w:rPr>
                <w:bCs/>
                <w:color w:val="auto"/>
                <w:kern w:val="0"/>
                <w:sz w:val="24"/>
              </w:rPr>
              <w:t>本项目</w:t>
            </w:r>
            <w:r>
              <w:rPr>
                <w:rFonts w:hint="eastAsia"/>
                <w:bCs/>
                <w:color w:val="auto"/>
                <w:kern w:val="0"/>
                <w:sz w:val="24"/>
                <w:lang w:val="en-US" w:eastAsia="zh-CN"/>
              </w:rPr>
              <w:t>计划配置人员120</w:t>
            </w:r>
            <w:r>
              <w:rPr>
                <w:bCs/>
                <w:color w:val="auto"/>
                <w:kern w:val="0"/>
                <w:sz w:val="24"/>
              </w:rPr>
              <w:t>人</w:t>
            </w:r>
            <w:r>
              <w:rPr>
                <w:rFonts w:hint="eastAsia"/>
                <w:bCs/>
                <w:color w:val="auto"/>
                <w:kern w:val="0"/>
                <w:sz w:val="24"/>
                <w:lang w:val="en-US" w:eastAsia="zh-CN"/>
              </w:rPr>
              <w:t>，一班制，每班工作</w:t>
            </w:r>
            <w:r>
              <w:rPr>
                <w:rFonts w:hint="default"/>
                <w:bCs/>
                <w:color w:val="auto"/>
                <w:kern w:val="0"/>
                <w:sz w:val="24"/>
                <w:lang w:val="en-US" w:eastAsia="zh-CN"/>
              </w:rPr>
              <w:t>8</w:t>
            </w:r>
            <w:r>
              <w:rPr>
                <w:rFonts w:hint="eastAsia"/>
                <w:bCs/>
                <w:color w:val="auto"/>
                <w:kern w:val="0"/>
                <w:sz w:val="24"/>
                <w:lang w:val="en-US" w:eastAsia="zh-CN"/>
              </w:rPr>
              <w:t>小时，年工作</w:t>
            </w:r>
            <w:r>
              <w:rPr>
                <w:rFonts w:hint="default"/>
                <w:bCs/>
                <w:color w:val="auto"/>
                <w:kern w:val="0"/>
                <w:sz w:val="24"/>
                <w:lang w:val="en-US" w:eastAsia="zh-CN"/>
              </w:rPr>
              <w:t>300</w:t>
            </w:r>
            <w:r>
              <w:rPr>
                <w:rFonts w:hint="eastAsia"/>
                <w:bCs/>
                <w:color w:val="auto"/>
                <w:kern w:val="0"/>
                <w:sz w:val="24"/>
                <w:lang w:val="en-US" w:eastAsia="zh-CN"/>
              </w:rPr>
              <w:t>天，项目不设置员工宿舍。</w:t>
            </w:r>
          </w:p>
          <w:p w14:paraId="7F330884">
            <w:pPr>
              <w:pStyle w:val="5"/>
              <w:ind w:firstLine="482"/>
              <w:rPr>
                <w:color w:val="auto"/>
              </w:rPr>
            </w:pPr>
            <w:r>
              <w:rPr>
                <w:color w:val="auto"/>
              </w:rPr>
              <w:t>5、公用工程</w:t>
            </w:r>
          </w:p>
          <w:p w14:paraId="40896961">
            <w:pPr>
              <w:pStyle w:val="38"/>
              <w:spacing w:line="360" w:lineRule="auto"/>
              <w:ind w:firstLine="480" w:firstLineChars="200"/>
              <w:jc w:val="both"/>
              <w:rPr>
                <w:rFonts w:hint="default" w:ascii="Times New Roman"/>
                <w:b w:val="0"/>
                <w:bCs/>
                <w:color w:val="auto"/>
              </w:rPr>
            </w:pPr>
            <w:r>
              <w:rPr>
                <w:rFonts w:hint="eastAsia" w:ascii="Times New Roman"/>
                <w:b w:val="0"/>
                <w:bCs/>
                <w:color w:val="auto"/>
                <w:lang w:val="en-US" w:eastAsia="zh-CN"/>
              </w:rPr>
              <w:t>（1）</w:t>
            </w:r>
            <w:r>
              <w:rPr>
                <w:rFonts w:hint="default" w:ascii="Times New Roman"/>
                <w:b w:val="0"/>
                <w:bCs/>
                <w:color w:val="auto"/>
              </w:rPr>
              <w:t>供水</w:t>
            </w:r>
          </w:p>
          <w:p w14:paraId="50D60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lang w:val="en-US" w:eastAsia="zh-CN"/>
              </w:rPr>
            </w:pPr>
            <w:r>
              <w:rPr>
                <w:rFonts w:hint="default" w:ascii="Times New Roman" w:hAnsi="Times New Roman" w:eastAsia="宋体" w:cs="Times New Roman"/>
                <w:color w:val="auto"/>
                <w:sz w:val="24"/>
                <w:szCs w:val="24"/>
              </w:rPr>
              <w:t>本项目用水来自</w:t>
            </w:r>
            <w:r>
              <w:rPr>
                <w:rFonts w:hint="default" w:ascii="Times New Roman" w:hAnsi="Times New Roman" w:eastAsia="宋体" w:cs="Times New Roman"/>
                <w:color w:val="auto"/>
                <w:sz w:val="24"/>
                <w:szCs w:val="24"/>
                <w:lang w:val="en-US" w:eastAsia="zh-CN"/>
              </w:rPr>
              <w:t>兰干乡</w:t>
            </w:r>
            <w:r>
              <w:rPr>
                <w:rFonts w:hint="default" w:ascii="Times New Roman" w:hAnsi="Times New Roman" w:eastAsia="宋体" w:cs="Times New Roman"/>
                <w:color w:val="auto"/>
                <w:sz w:val="24"/>
                <w:szCs w:val="24"/>
              </w:rPr>
              <w:t>供水系统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用水环节主要为</w:t>
            </w:r>
            <w:r>
              <w:rPr>
                <w:rFonts w:hint="eastAsia" w:cs="Times New Roman"/>
                <w:color w:val="auto"/>
                <w:sz w:val="24"/>
                <w:szCs w:val="24"/>
                <w:lang w:val="en-US" w:eastAsia="zh-CN"/>
              </w:rPr>
              <w:t>职工</w:t>
            </w:r>
            <w:r>
              <w:rPr>
                <w:rFonts w:hint="default" w:ascii="Times New Roman" w:hAnsi="Times New Roman" w:eastAsia="宋体" w:cs="Times New Roman"/>
                <w:color w:val="auto"/>
                <w:sz w:val="24"/>
                <w:szCs w:val="24"/>
              </w:rPr>
              <w:t>生活用水</w:t>
            </w:r>
            <w:r>
              <w:rPr>
                <w:rFonts w:hint="eastAsia" w:cs="Times New Roman"/>
                <w:color w:val="auto"/>
                <w:sz w:val="24"/>
                <w:szCs w:val="24"/>
                <w:lang w:eastAsia="zh-CN"/>
              </w:rPr>
              <w:t>、</w:t>
            </w:r>
            <w:r>
              <w:rPr>
                <w:rFonts w:hint="eastAsia" w:cs="Times New Roman"/>
                <w:color w:val="auto"/>
                <w:sz w:val="24"/>
                <w:szCs w:val="24"/>
                <w:lang w:val="en-US" w:eastAsia="zh-CN"/>
              </w:rPr>
              <w:t>原料清洗用水、食品浸泡用水、蒸煮用水、豆制品磨浆用水、和面用水、锅炉补充用水、软水制备用水、纯水制备用水、</w:t>
            </w:r>
            <w:r>
              <w:rPr>
                <w:rFonts w:hint="default" w:cs="Times New Roman"/>
                <w:color w:val="auto"/>
                <w:sz w:val="24"/>
                <w:szCs w:val="24"/>
                <w:lang w:val="en-US" w:eastAsia="zh-CN"/>
              </w:rPr>
              <w:t>CIP清洗（定位清洗</w:t>
            </w:r>
            <w:r>
              <w:rPr>
                <w:rFonts w:hint="eastAsia" w:cs="Times New Roman"/>
                <w:color w:val="auto"/>
                <w:sz w:val="24"/>
                <w:szCs w:val="24"/>
                <w:lang w:val="en-US" w:eastAsia="zh-CN"/>
              </w:rPr>
              <w:t>）</w:t>
            </w:r>
            <w:r>
              <w:rPr>
                <w:rFonts w:hint="default" w:cs="Times New Roman"/>
                <w:color w:val="auto"/>
                <w:sz w:val="24"/>
                <w:szCs w:val="24"/>
                <w:lang w:val="en-US" w:eastAsia="zh-CN"/>
              </w:rPr>
              <w:t>用水</w:t>
            </w:r>
            <w:r>
              <w:rPr>
                <w:rFonts w:hint="eastAsia" w:cs="Times New Roman"/>
                <w:color w:val="auto"/>
                <w:sz w:val="24"/>
                <w:szCs w:val="24"/>
                <w:lang w:val="en-US" w:eastAsia="zh-CN"/>
              </w:rPr>
              <w:t>和</w:t>
            </w:r>
            <w:r>
              <w:rPr>
                <w:rFonts w:hint="default" w:cs="Times New Roman"/>
                <w:color w:val="auto"/>
                <w:sz w:val="24"/>
                <w:szCs w:val="24"/>
                <w:lang w:val="en-US" w:eastAsia="zh-CN"/>
              </w:rPr>
              <w:t>地面清洗用水</w:t>
            </w:r>
            <w:r>
              <w:rPr>
                <w:rFonts w:hint="eastAsia" w:cs="Times New Roman"/>
                <w:color w:val="auto"/>
                <w:sz w:val="24"/>
                <w:szCs w:val="24"/>
                <w:lang w:val="en-US" w:eastAsia="zh-CN"/>
              </w:rPr>
              <w:t>等，</w:t>
            </w:r>
            <w:r>
              <w:rPr>
                <w:rFonts w:hint="default" w:cs="Times New Roman"/>
                <w:color w:val="auto"/>
                <w:sz w:val="24"/>
                <w:szCs w:val="24"/>
                <w:lang w:val="en-US" w:eastAsia="zh-CN"/>
              </w:rPr>
              <w:t>主要污染物为COD</w:t>
            </w:r>
            <w:r>
              <w:rPr>
                <w:rFonts w:hint="default" w:cs="Times New Roman"/>
                <w:color w:val="auto"/>
                <w:sz w:val="24"/>
                <w:szCs w:val="24"/>
                <w:vertAlign w:val="subscript"/>
                <w:lang w:val="en-US" w:eastAsia="zh-CN"/>
              </w:rPr>
              <w:t>Cr</w:t>
            </w:r>
            <w:r>
              <w:rPr>
                <w:rFonts w:hint="default" w:cs="Times New Roman"/>
                <w:color w:val="auto"/>
                <w:sz w:val="24"/>
                <w:szCs w:val="24"/>
                <w:lang w:val="en-US" w:eastAsia="zh-CN"/>
              </w:rPr>
              <w:t>、BOD</w:t>
            </w:r>
            <w:r>
              <w:rPr>
                <w:rFonts w:hint="default" w:cs="Times New Roman"/>
                <w:color w:val="auto"/>
                <w:sz w:val="24"/>
                <w:szCs w:val="24"/>
                <w:vertAlign w:val="subscript"/>
                <w:lang w:val="en-US" w:eastAsia="zh-CN"/>
              </w:rPr>
              <w:t>5</w:t>
            </w:r>
            <w:r>
              <w:rPr>
                <w:rFonts w:hint="default" w:cs="Times New Roman"/>
                <w:color w:val="auto"/>
                <w:sz w:val="24"/>
                <w:szCs w:val="24"/>
                <w:lang w:val="en-US" w:eastAsia="zh-CN"/>
              </w:rPr>
              <w:t>、SS、氨氮和动植物油等。</w:t>
            </w:r>
          </w:p>
          <w:p w14:paraId="5CBB798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职工</w:t>
            </w:r>
            <w:r>
              <w:rPr>
                <w:rFonts w:hint="default" w:ascii="Times New Roman" w:hAnsi="Times New Roman" w:eastAsia="宋体" w:cs="Times New Roman"/>
                <w:b/>
                <w:bCs/>
                <w:color w:val="auto"/>
                <w:sz w:val="24"/>
                <w:szCs w:val="24"/>
              </w:rPr>
              <w:t>生活</w:t>
            </w:r>
            <w:r>
              <w:rPr>
                <w:rFonts w:hint="default" w:ascii="Times New Roman" w:hAnsi="Times New Roman" w:eastAsia="宋体" w:cs="Times New Roman"/>
                <w:b/>
                <w:bCs/>
                <w:color w:val="auto"/>
                <w:sz w:val="24"/>
                <w:szCs w:val="24"/>
                <w:lang w:val="en-US" w:eastAsia="zh-CN"/>
              </w:rPr>
              <w:t>用水</w:t>
            </w:r>
            <w:r>
              <w:rPr>
                <w:rFonts w:hint="default" w:ascii="Times New Roman" w:hAnsi="Times New Roman" w:eastAsia="宋体" w:cs="Times New Roman"/>
                <w:color w:val="auto"/>
                <w:sz w:val="24"/>
                <w:szCs w:val="24"/>
              </w:rPr>
              <w:t>：该企业运行生产过程</w:t>
            </w:r>
            <w:r>
              <w:rPr>
                <w:rFonts w:hint="default" w:ascii="Times New Roman" w:hAnsi="Times New Roman" w:eastAsia="宋体" w:cs="Times New Roman"/>
                <w:color w:val="auto"/>
                <w:sz w:val="24"/>
                <w:szCs w:val="24"/>
                <w:lang w:val="en-US" w:eastAsia="zh-CN"/>
              </w:rPr>
              <w:t>预计</w:t>
            </w:r>
            <w:r>
              <w:rPr>
                <w:rFonts w:hint="default" w:ascii="Times New Roman" w:hAnsi="Times New Roman" w:eastAsia="宋体" w:cs="Times New Roman"/>
                <w:color w:val="auto"/>
                <w:sz w:val="24"/>
                <w:szCs w:val="24"/>
              </w:rPr>
              <w:t>共有</w:t>
            </w:r>
            <w:r>
              <w:rPr>
                <w:rFonts w:hint="eastAsia" w:cs="Times New Roman"/>
                <w:color w:val="auto"/>
                <w:sz w:val="24"/>
                <w:szCs w:val="24"/>
                <w:lang w:val="en-US" w:eastAsia="zh-CN"/>
              </w:rPr>
              <w:t>120</w:t>
            </w:r>
            <w:r>
              <w:rPr>
                <w:rFonts w:hint="default" w:ascii="Times New Roman" w:hAnsi="Times New Roman" w:eastAsia="宋体" w:cs="Times New Roman"/>
                <w:color w:val="auto"/>
                <w:sz w:val="24"/>
                <w:szCs w:val="24"/>
              </w:rPr>
              <w:t>名职工，均</w:t>
            </w:r>
            <w:r>
              <w:rPr>
                <w:rFonts w:hint="default" w:ascii="Times New Roman" w:hAnsi="Times New Roman" w:eastAsia="宋体" w:cs="Times New Roman"/>
                <w:color w:val="auto"/>
                <w:sz w:val="24"/>
                <w:szCs w:val="24"/>
                <w:lang w:val="en-US" w:eastAsia="zh-CN"/>
              </w:rPr>
              <w:t>不</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lang w:val="en-US" w:eastAsia="zh-CN"/>
              </w:rPr>
              <w:t>项目区</w:t>
            </w:r>
            <w:r>
              <w:rPr>
                <w:rFonts w:hint="default" w:ascii="Times New Roman" w:hAnsi="Times New Roman" w:eastAsia="宋体" w:cs="Times New Roman"/>
                <w:color w:val="auto"/>
                <w:sz w:val="24"/>
                <w:szCs w:val="24"/>
              </w:rPr>
              <w:t>内食宿，</w:t>
            </w:r>
            <w:r>
              <w:rPr>
                <w:rFonts w:hint="default" w:ascii="Times New Roman" w:hAnsi="Times New Roman" w:eastAsia="宋体" w:cs="Times New Roman"/>
                <w:color w:val="auto"/>
                <w:sz w:val="24"/>
                <w:szCs w:val="24"/>
                <w:lang w:val="en-US" w:eastAsia="zh-CN"/>
              </w:rPr>
              <w:t>办公</w:t>
            </w:r>
            <w:r>
              <w:rPr>
                <w:rFonts w:hint="default" w:ascii="Times New Roman" w:hAnsi="Times New Roman" w:eastAsia="宋体" w:cs="Times New Roman"/>
                <w:color w:val="auto"/>
                <w:sz w:val="24"/>
                <w:szCs w:val="24"/>
              </w:rPr>
              <w:t>职工用水量参考《新疆维吾尔自治区生活用水定额》（新政办发</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2007</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rPr>
              <w:t>105号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规定以及2010年新疆巴州城镇统计人均用水指标，职工均不在厂区内食宿，用水量按每人平均</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L/d计算，则生活用水量为</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810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14:paraId="391A27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color w:val="auto"/>
                <w:sz w:val="24"/>
                <w:szCs w:val="24"/>
                <w:lang w:eastAsia="zh-CN"/>
              </w:rPr>
            </w:pPr>
            <w:r>
              <w:rPr>
                <w:rFonts w:hint="default" w:ascii="Times New Roman" w:hAnsi="Times New Roman" w:eastAsia="宋体" w:cs="Times New Roman"/>
                <w:b/>
                <w:bCs/>
                <w:color w:val="auto"/>
                <w:sz w:val="24"/>
                <w:szCs w:val="24"/>
              </w:rPr>
              <w:t>原料清洗用水</w:t>
            </w:r>
            <w:r>
              <w:rPr>
                <w:rFonts w:hint="default" w:ascii="Times New Roman" w:hAnsi="Times New Roman" w:eastAsia="宋体" w:cs="Times New Roman"/>
                <w:color w:val="auto"/>
                <w:sz w:val="24"/>
                <w:szCs w:val="24"/>
              </w:rPr>
              <w:t>：主要为羊杂、牛杂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辣椒、大蒜、姜</w:t>
            </w:r>
            <w:r>
              <w:rPr>
                <w:rFonts w:hint="eastAsia" w:cs="Times New Roman"/>
                <w:color w:val="auto"/>
                <w:sz w:val="24"/>
                <w:szCs w:val="24"/>
                <w:lang w:val="en-US" w:eastAsia="zh-CN"/>
              </w:rPr>
              <w:t>和蔬菜</w:t>
            </w:r>
            <w:r>
              <w:rPr>
                <w:rFonts w:hint="default" w:ascii="Times New Roman" w:hAnsi="Times New Roman" w:eastAsia="宋体" w:cs="Times New Roman"/>
                <w:color w:val="auto"/>
                <w:sz w:val="24"/>
                <w:szCs w:val="24"/>
              </w:rPr>
              <w:t>等原料的清洗废水和</w:t>
            </w:r>
            <w:r>
              <w:rPr>
                <w:rFonts w:hint="eastAsia" w:cs="Times New Roman"/>
                <w:color w:val="auto"/>
                <w:sz w:val="24"/>
                <w:szCs w:val="24"/>
                <w:lang w:val="en-US" w:eastAsia="zh-CN"/>
              </w:rPr>
              <w:t>生产</w:t>
            </w:r>
            <w:r>
              <w:rPr>
                <w:rFonts w:hint="default" w:ascii="Times New Roman" w:hAnsi="Times New Roman" w:eastAsia="宋体" w:cs="Times New Roman"/>
                <w:color w:val="auto"/>
                <w:sz w:val="24"/>
                <w:szCs w:val="24"/>
              </w:rPr>
              <w:t>设备清洗废水，清洗用水为50m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/d，则年用水量为18250t</w:t>
            </w:r>
            <w:r>
              <w:rPr>
                <w:rFonts w:hint="eastAsia" w:cs="Times New Roman"/>
                <w:color w:val="auto"/>
                <w:sz w:val="24"/>
                <w:szCs w:val="24"/>
                <w:lang w:eastAsia="zh-CN"/>
              </w:rPr>
              <w:t>。</w:t>
            </w:r>
          </w:p>
          <w:p w14:paraId="286A64A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食品浸泡用水</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根据建设单位提供的经验数据，</w:t>
            </w:r>
            <w:r>
              <w:rPr>
                <w:rFonts w:hint="eastAsia" w:cs="Times New Roman"/>
                <w:color w:val="auto"/>
                <w:sz w:val="24"/>
                <w:szCs w:val="24"/>
                <w:lang w:val="en-US" w:eastAsia="zh-CN"/>
              </w:rPr>
              <w:t>1kg豆类浸泡后的质量约为2.2kg，则100t豆类浸泡后的质量为220t，计算出豆制品浸泡后含水率在20%~50%之间，含水率取50%，则豆制品浸泡用水为110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a（0.37</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14:paraId="12A2BC0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蒸煮用水</w:t>
            </w:r>
            <w:r>
              <w:rPr>
                <w:rFonts w:hint="default" w:ascii="Times New Roman" w:hAnsi="Times New Roman" w:eastAsia="宋体" w:cs="Times New Roman"/>
                <w:color w:val="auto"/>
                <w:sz w:val="24"/>
                <w:szCs w:val="24"/>
                <w:lang w:val="en-US" w:eastAsia="zh-CN"/>
              </w:rPr>
              <w:t>：根据建设单位提供资料，本项目蒸煮用水量约为0.5m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/d（150m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2BF00F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豆制品</w:t>
            </w:r>
            <w:r>
              <w:rPr>
                <w:rFonts w:hint="eastAsia" w:ascii="Times New Roman" w:hAnsi="Times New Roman" w:eastAsia="宋体" w:cs="Times New Roman"/>
                <w:b/>
                <w:bCs/>
                <w:color w:val="auto"/>
                <w:sz w:val="24"/>
                <w:szCs w:val="24"/>
                <w:lang w:val="en-US" w:eastAsia="zh-CN"/>
              </w:rPr>
              <w:t>磨浆</w:t>
            </w:r>
            <w:r>
              <w:rPr>
                <w:rFonts w:hint="default" w:ascii="Times New Roman" w:hAnsi="Times New Roman" w:eastAsia="宋体" w:cs="Times New Roman"/>
                <w:b/>
                <w:bCs/>
                <w:color w:val="auto"/>
                <w:sz w:val="24"/>
                <w:szCs w:val="24"/>
                <w:lang w:val="en-US" w:eastAsia="zh-CN"/>
              </w:rPr>
              <w:t>用水：</w:t>
            </w:r>
            <w:r>
              <w:rPr>
                <w:rFonts w:hint="eastAsia" w:ascii="Times New Roman" w:hAnsi="Times New Roman" w:eastAsia="宋体" w:cs="Times New Roman"/>
                <w:b w:val="0"/>
                <w:bCs w:val="0"/>
                <w:color w:val="auto"/>
                <w:sz w:val="24"/>
                <w:szCs w:val="24"/>
                <w:lang w:val="en-US" w:eastAsia="zh-CN"/>
              </w:rPr>
              <w:t>磨浆用水按照原材料和水的比例1:5，则用水量为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ascii="Times New Roman" w:hAnsi="Times New Roman" w:eastAsia="宋体" w:cs="Times New Roman"/>
                <w:b w:val="0"/>
                <w:bCs w:val="0"/>
                <w:color w:val="auto"/>
                <w:sz w:val="24"/>
                <w:szCs w:val="24"/>
                <w:lang w:val="en-US" w:eastAsia="zh-CN"/>
              </w:rPr>
              <w:t>。</w:t>
            </w:r>
          </w:p>
          <w:p w14:paraId="524C7A5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凉皮、牛筋面</w:t>
            </w:r>
            <w:r>
              <w:rPr>
                <w:rFonts w:hint="default" w:ascii="Times New Roman" w:hAnsi="Times New Roman" w:eastAsia="宋体" w:cs="Times New Roman"/>
                <w:b/>
                <w:bCs/>
                <w:color w:val="auto"/>
                <w:sz w:val="24"/>
                <w:szCs w:val="24"/>
              </w:rPr>
              <w:t>和面用水</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根据业主提供的资料，本项目生产凉皮用粉料342t，</w:t>
            </w:r>
            <w:r>
              <w:rPr>
                <w:rFonts w:hint="default" w:ascii="Times New Roman" w:hAnsi="Times New Roman" w:eastAsia="宋体" w:cs="Times New Roman"/>
                <w:color w:val="auto"/>
                <w:sz w:val="24"/>
                <w:szCs w:val="24"/>
              </w:rPr>
              <w:t>按粉料和水平均比例</w:t>
            </w:r>
            <w:r>
              <w:rPr>
                <w:rFonts w:hint="eastAsia" w:cs="Times New Roman"/>
                <w:color w:val="auto"/>
                <w:sz w:val="24"/>
                <w:szCs w:val="24"/>
                <w:lang w:val="en-US" w:eastAsia="zh-CN"/>
              </w:rPr>
              <w:t>1:1.6</w:t>
            </w:r>
            <w:r>
              <w:rPr>
                <w:rFonts w:hint="default" w:ascii="Times New Roman" w:hAnsi="Times New Roman" w:eastAsia="宋体" w:cs="Times New Roman"/>
                <w:color w:val="auto"/>
                <w:sz w:val="24"/>
                <w:szCs w:val="24"/>
              </w:rPr>
              <w:t>计</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则生产凉皮用水547.2t；生产牛筋面用粉料156.5t，用水比例为2:1则用水量为104.3t；合计</w:t>
            </w:r>
            <w:r>
              <w:rPr>
                <w:rFonts w:hint="default" w:ascii="Times New Roman" w:hAnsi="Times New Roman" w:eastAsia="宋体" w:cs="Times New Roman"/>
                <w:color w:val="auto"/>
                <w:sz w:val="24"/>
                <w:szCs w:val="24"/>
              </w:rPr>
              <w:t>和面用水量为</w:t>
            </w:r>
            <w:r>
              <w:rPr>
                <w:rFonts w:hint="eastAsia" w:cs="Times New Roman"/>
                <w:color w:val="auto"/>
                <w:sz w:val="24"/>
                <w:szCs w:val="24"/>
                <w:highlight w:val="none"/>
                <w:lang w:val="en-US" w:eastAsia="zh-CN"/>
              </w:rPr>
              <w:t>2.17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651.5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lang w:eastAsia="zh-CN"/>
              </w:rPr>
              <w:t>；</w:t>
            </w:r>
          </w:p>
          <w:p w14:paraId="377A38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auto"/>
                <w:sz w:val="24"/>
                <w:szCs w:val="24"/>
                <w:lang w:val="en-US" w:eastAsia="zh-CN"/>
              </w:rPr>
              <w:t>锅炉补充用水</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本项目电锅炉补水为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/h，锅炉工作时间为8h/</w:t>
            </w:r>
            <w:r>
              <w:rPr>
                <w:rFonts w:hint="default" w:ascii="Times New Roman" w:hAnsi="Times New Roman" w:eastAsia="宋体" w:cs="Times New Roman"/>
                <w:sz w:val="24"/>
                <w:szCs w:val="24"/>
                <w:highlight w:val="none"/>
                <w:lang w:val="en-US" w:eastAsia="zh-CN"/>
              </w:rPr>
              <w:t>d，锅炉软水补充量为</w:t>
            </w:r>
            <w:r>
              <w:rPr>
                <w:rFonts w:hint="eastAsia" w:cs="Times New Roman"/>
                <w:sz w:val="24"/>
                <w:szCs w:val="24"/>
                <w:highlight w:val="none"/>
                <w:lang w:val="en-US" w:eastAsia="zh-CN"/>
              </w:rPr>
              <w:t>40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w:t>
            </w:r>
            <w:r>
              <w:rPr>
                <w:rFonts w:hint="eastAsia" w:cs="Times New Roman"/>
                <w:sz w:val="24"/>
                <w:szCs w:val="24"/>
                <w:highlight w:val="none"/>
                <w:lang w:val="en-US" w:eastAsia="zh-CN"/>
              </w:rPr>
              <w:t>1200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/a</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；本项目锅炉用水为软水，企业自建一套软水制备系统，软水制备率为80%，采用反渗透处理工艺。则新鲜水补充量为</w:t>
            </w:r>
            <w:r>
              <w:rPr>
                <w:rFonts w:hint="eastAsia" w:cs="Times New Roman"/>
                <w:sz w:val="24"/>
                <w:szCs w:val="24"/>
                <w:highlight w:val="none"/>
                <w:lang w:val="en-US" w:eastAsia="zh-CN"/>
              </w:rPr>
              <w:t>50</w:t>
            </w:r>
            <w:r>
              <w:rPr>
                <w:rFonts w:hint="default" w:ascii="Times New Roman" w:hAnsi="Times New Roman" w:eastAsia="宋体" w:cs="Times New Roman"/>
                <w:sz w:val="24"/>
                <w:szCs w:val="24"/>
                <w:highlight w:val="none"/>
                <w:lang w:val="en-US" w:eastAsia="zh-CN"/>
              </w:rPr>
              <w:t>m³/d（</w:t>
            </w:r>
            <w:r>
              <w:rPr>
                <w:rFonts w:hint="eastAsia" w:cs="Times New Roman"/>
                <w:sz w:val="24"/>
                <w:szCs w:val="24"/>
                <w:highlight w:val="none"/>
                <w:lang w:val="en-US" w:eastAsia="zh-CN"/>
              </w:rPr>
              <w:t>1500</w:t>
            </w:r>
            <w:r>
              <w:rPr>
                <w:rFonts w:hint="default" w:ascii="Times New Roman" w:hAnsi="Times New Roman" w:eastAsia="宋体" w:cs="Times New Roman"/>
                <w:sz w:val="24"/>
                <w:szCs w:val="24"/>
                <w:highlight w:val="none"/>
                <w:lang w:val="en-US" w:eastAsia="zh-CN"/>
              </w:rPr>
              <w:t>m³/a</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p>
          <w:p w14:paraId="3243D0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sz w:val="24"/>
                <w:szCs w:val="24"/>
                <w:lang w:val="en-US" w:eastAsia="zh-CN"/>
              </w:rPr>
              <w:t>纯水制备用水</w:t>
            </w:r>
            <w:r>
              <w:rPr>
                <w:rFonts w:hint="default" w:ascii="Times New Roman" w:hAnsi="Times New Roman" w:eastAsia="宋体" w:cs="Times New Roman"/>
                <w:sz w:val="24"/>
                <w:szCs w:val="24"/>
                <w:lang w:val="en-US" w:eastAsia="zh-CN"/>
              </w:rPr>
              <w:t>：根据建设单位提供资料，CIP清洗需使用纯水，项目拟设1套纯水处理装置，采用反渗透处理工艺，产水率约为80%，本项目CIP清洗用纯水量</w:t>
            </w:r>
            <w:r>
              <w:rPr>
                <w:rFonts w:hint="default" w:ascii="Times New Roman" w:hAnsi="Times New Roman" w:eastAsia="宋体" w:cs="Times New Roman"/>
                <w:sz w:val="24"/>
                <w:szCs w:val="24"/>
                <w:highlight w:val="none"/>
                <w:lang w:val="en-US" w:eastAsia="zh-CN"/>
              </w:rPr>
              <w:t>为2</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4m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/d（720m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/a</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，则纯水制备环节需消耗新鲜水量为3</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/d（900m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/a</w:t>
            </w:r>
            <w:r>
              <w:rPr>
                <w:rFonts w:hint="eastAsia" w:cs="Times New Roman"/>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0D8104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lang w:val="en-US" w:eastAsia="zh-CN"/>
              </w:rPr>
              <w:t>CIP清洗（定位清洗</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用水</w:t>
            </w:r>
            <w:r>
              <w:rPr>
                <w:rFonts w:hint="default" w:ascii="Times New Roman" w:hAnsi="Times New Roman" w:eastAsia="宋体" w:cs="Times New Roman"/>
                <w:color w:val="auto"/>
                <w:sz w:val="24"/>
                <w:szCs w:val="24"/>
                <w:lang w:val="en-US" w:eastAsia="zh-CN"/>
              </w:rPr>
              <w:t>：根据建设单位提供资料，生产线每天需对生产设备及管道进行一次清洗，根据建设单位提供数据，设备及管道清洗用纯水用量为</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/d（720m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37AC5CD0">
            <w:pPr>
              <w:pStyle w:val="13"/>
              <w:spacing w:line="360" w:lineRule="auto"/>
              <w:ind w:firstLine="482" w:firstLineChars="200"/>
              <w:rPr>
                <w:color w:val="auto"/>
                <w:kern w:val="0"/>
                <w:sz w:val="24"/>
                <w:highlight w:val="yellow"/>
              </w:rPr>
            </w:pPr>
            <w:r>
              <w:rPr>
                <w:rFonts w:hint="eastAsia" w:cs="Times New Roman"/>
                <w:b/>
                <w:bCs/>
                <w:color w:val="auto"/>
                <w:sz w:val="24"/>
                <w:szCs w:val="24"/>
                <w:highlight w:val="none"/>
                <w:lang w:val="en-US" w:eastAsia="zh-CN"/>
              </w:rPr>
              <w:t>设备擦洗用水：</w:t>
            </w:r>
            <w:r>
              <w:rPr>
                <w:color w:val="auto"/>
                <w:kern w:val="0"/>
                <w:sz w:val="24"/>
                <w:highlight w:val="none"/>
              </w:rPr>
              <w:t>本项目</w:t>
            </w:r>
            <w:r>
              <w:rPr>
                <w:rFonts w:hint="eastAsia"/>
                <w:color w:val="auto"/>
                <w:kern w:val="0"/>
                <w:sz w:val="24"/>
                <w:highlight w:val="none"/>
                <w:lang w:eastAsia="zh-CN"/>
              </w:rPr>
              <w:t>凉皮</w:t>
            </w:r>
            <w:r>
              <w:rPr>
                <w:color w:val="auto"/>
                <w:kern w:val="0"/>
                <w:sz w:val="24"/>
                <w:highlight w:val="none"/>
              </w:rPr>
              <w:t>机</w:t>
            </w:r>
            <w:r>
              <w:rPr>
                <w:rFonts w:hint="eastAsia"/>
                <w:color w:val="auto"/>
                <w:kern w:val="0"/>
                <w:sz w:val="24"/>
                <w:highlight w:val="none"/>
                <w:lang w:eastAsia="zh-CN"/>
              </w:rPr>
              <w:t>、</w:t>
            </w:r>
            <w:r>
              <w:rPr>
                <w:rFonts w:hint="eastAsia"/>
                <w:color w:val="auto"/>
                <w:kern w:val="0"/>
                <w:sz w:val="24"/>
                <w:highlight w:val="none"/>
                <w:lang w:val="en-US" w:eastAsia="zh-CN"/>
              </w:rPr>
              <w:t>面筋机、</w:t>
            </w:r>
            <w:r>
              <w:rPr>
                <w:color w:val="auto"/>
                <w:sz w:val="24"/>
                <w:szCs w:val="24"/>
                <w:highlight w:val="none"/>
              </w:rPr>
              <w:t>搅拌罐</w:t>
            </w:r>
            <w:r>
              <w:rPr>
                <w:color w:val="auto"/>
                <w:kern w:val="0"/>
                <w:sz w:val="24"/>
                <w:highlight w:val="none"/>
              </w:rPr>
              <w:t>需每日</w:t>
            </w:r>
            <w:r>
              <w:rPr>
                <w:rFonts w:hint="eastAsia"/>
                <w:color w:val="auto"/>
                <w:kern w:val="0"/>
                <w:sz w:val="24"/>
                <w:highlight w:val="none"/>
                <w:lang w:val="en-US" w:eastAsia="zh-CN"/>
              </w:rPr>
              <w:t>擦</w:t>
            </w:r>
            <w:r>
              <w:rPr>
                <w:color w:val="auto"/>
                <w:kern w:val="0"/>
                <w:sz w:val="24"/>
                <w:highlight w:val="none"/>
              </w:rPr>
              <w:t>洗，根据建设单位提供的资料，设备</w:t>
            </w:r>
            <w:r>
              <w:rPr>
                <w:rFonts w:hint="eastAsia"/>
                <w:color w:val="auto"/>
                <w:kern w:val="0"/>
                <w:sz w:val="24"/>
                <w:highlight w:val="none"/>
                <w:lang w:val="en-US" w:eastAsia="zh-CN"/>
              </w:rPr>
              <w:t>擦</w:t>
            </w:r>
            <w:r>
              <w:rPr>
                <w:color w:val="auto"/>
                <w:kern w:val="0"/>
                <w:sz w:val="24"/>
                <w:highlight w:val="none"/>
              </w:rPr>
              <w:t>洗每日需用水</w:t>
            </w:r>
            <w:r>
              <w:rPr>
                <w:rFonts w:hint="eastAsia"/>
                <w:color w:val="auto"/>
                <w:kern w:val="0"/>
                <w:sz w:val="24"/>
                <w:highlight w:val="none"/>
                <w:lang w:val="en-US" w:eastAsia="zh-CN"/>
              </w:rPr>
              <w:t>1</w:t>
            </w:r>
            <w:r>
              <w:rPr>
                <w:color w:val="auto"/>
                <w:kern w:val="0"/>
                <w:sz w:val="24"/>
                <w:highlight w:val="none"/>
              </w:rPr>
              <w:t>t，每年工作时间</w:t>
            </w:r>
            <w:r>
              <w:rPr>
                <w:rFonts w:hint="eastAsia"/>
                <w:color w:val="auto"/>
                <w:kern w:val="0"/>
                <w:sz w:val="24"/>
                <w:highlight w:val="none"/>
                <w:lang w:val="en-US" w:eastAsia="zh-CN"/>
              </w:rPr>
              <w:t>300</w:t>
            </w:r>
            <w:r>
              <w:rPr>
                <w:color w:val="auto"/>
                <w:kern w:val="0"/>
                <w:sz w:val="24"/>
                <w:highlight w:val="none"/>
              </w:rPr>
              <w:t>天，则设备清洗用水量为</w:t>
            </w:r>
            <w:r>
              <w:rPr>
                <w:rFonts w:hint="eastAsia"/>
                <w:color w:val="auto"/>
                <w:kern w:val="0"/>
                <w:sz w:val="24"/>
                <w:highlight w:val="none"/>
                <w:lang w:val="en-US" w:eastAsia="zh-CN"/>
              </w:rPr>
              <w:t>1</w:t>
            </w:r>
            <w:r>
              <w:rPr>
                <w:color w:val="auto"/>
                <w:sz w:val="24"/>
                <w:highlight w:val="none"/>
              </w:rPr>
              <w:t>m</w:t>
            </w:r>
            <w:r>
              <w:rPr>
                <w:color w:val="auto"/>
                <w:sz w:val="24"/>
                <w:highlight w:val="none"/>
                <w:vertAlign w:val="superscript"/>
              </w:rPr>
              <w:t>3</w:t>
            </w:r>
            <w:r>
              <w:rPr>
                <w:rFonts w:hint="eastAsia"/>
                <w:color w:val="auto"/>
                <w:kern w:val="0"/>
                <w:sz w:val="24"/>
                <w:highlight w:val="none"/>
              </w:rPr>
              <w:t>/d（</w:t>
            </w:r>
            <w:r>
              <w:rPr>
                <w:rFonts w:hint="eastAsia"/>
                <w:color w:val="auto"/>
                <w:kern w:val="0"/>
                <w:sz w:val="24"/>
                <w:highlight w:val="none"/>
                <w:lang w:val="en-US" w:eastAsia="zh-CN"/>
              </w:rPr>
              <w:t>300</w:t>
            </w:r>
            <w:r>
              <w:rPr>
                <w:color w:val="auto"/>
                <w:sz w:val="24"/>
                <w:highlight w:val="none"/>
              </w:rPr>
              <w:t>m</w:t>
            </w:r>
            <w:r>
              <w:rPr>
                <w:color w:val="auto"/>
                <w:sz w:val="24"/>
                <w:highlight w:val="none"/>
                <w:vertAlign w:val="superscript"/>
              </w:rPr>
              <w:t>3</w:t>
            </w:r>
            <w:r>
              <w:rPr>
                <w:rFonts w:hint="eastAsia"/>
                <w:color w:val="auto"/>
                <w:kern w:val="0"/>
                <w:sz w:val="24"/>
                <w:highlight w:val="none"/>
              </w:rPr>
              <w:t>/a</w:t>
            </w:r>
            <w:r>
              <w:rPr>
                <w:rFonts w:hint="eastAsia"/>
                <w:color w:val="auto"/>
                <w:kern w:val="0"/>
                <w:sz w:val="24"/>
                <w:highlight w:val="none"/>
                <w:lang w:eastAsia="zh-CN"/>
              </w:rPr>
              <w:t>）</w:t>
            </w:r>
            <w:r>
              <w:rPr>
                <w:color w:val="auto"/>
                <w:kern w:val="0"/>
                <w:sz w:val="24"/>
                <w:highlight w:val="none"/>
              </w:rPr>
              <w:t>。</w:t>
            </w:r>
          </w:p>
          <w:p w14:paraId="289DE4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地面</w:t>
            </w:r>
            <w:r>
              <w:rPr>
                <w:rFonts w:hint="eastAsia" w:cs="Times New Roman"/>
                <w:b/>
                <w:bCs/>
                <w:color w:val="auto"/>
                <w:sz w:val="24"/>
                <w:szCs w:val="24"/>
                <w:highlight w:val="none"/>
                <w:lang w:val="en-US" w:eastAsia="zh-CN"/>
              </w:rPr>
              <w:t>擦洗</w:t>
            </w:r>
            <w:r>
              <w:rPr>
                <w:rFonts w:hint="default" w:ascii="Times New Roman" w:hAnsi="Times New Roman" w:eastAsia="宋体" w:cs="Times New Roman"/>
                <w:b/>
                <w:bCs/>
                <w:color w:val="auto"/>
                <w:sz w:val="24"/>
                <w:szCs w:val="24"/>
                <w:highlight w:val="none"/>
                <w:lang w:val="en-US" w:eastAsia="zh-CN"/>
              </w:rPr>
              <w:t>用水：</w:t>
            </w:r>
            <w:r>
              <w:rPr>
                <w:color w:val="auto"/>
                <w:kern w:val="0"/>
                <w:sz w:val="24"/>
                <w:highlight w:val="none"/>
              </w:rPr>
              <w:t>本项目车间地面每日</w:t>
            </w:r>
            <w:r>
              <w:rPr>
                <w:rFonts w:hint="eastAsia"/>
                <w:color w:val="auto"/>
                <w:kern w:val="0"/>
                <w:sz w:val="24"/>
                <w:highlight w:val="none"/>
                <w:lang w:val="en-US" w:eastAsia="zh-CN"/>
              </w:rPr>
              <w:t>擦</w:t>
            </w:r>
            <w:r>
              <w:rPr>
                <w:color w:val="auto"/>
                <w:kern w:val="0"/>
                <w:sz w:val="24"/>
                <w:highlight w:val="none"/>
              </w:rPr>
              <w:t>洗一次，根据《建筑给水排水设计规范》</w:t>
            </w:r>
            <w:r>
              <w:rPr>
                <w:rFonts w:hint="eastAsia"/>
                <w:color w:val="auto"/>
                <w:kern w:val="0"/>
                <w:sz w:val="24"/>
                <w:highlight w:val="none"/>
                <w:lang w:eastAsia="zh-CN"/>
              </w:rPr>
              <w:t>（</w:t>
            </w:r>
            <w:r>
              <w:rPr>
                <w:color w:val="auto"/>
                <w:kern w:val="0"/>
                <w:sz w:val="24"/>
                <w:highlight w:val="none"/>
              </w:rPr>
              <w:t>GB50015-2003</w:t>
            </w:r>
            <w:r>
              <w:rPr>
                <w:rFonts w:hint="eastAsia"/>
                <w:color w:val="auto"/>
                <w:kern w:val="0"/>
                <w:sz w:val="24"/>
                <w:highlight w:val="none"/>
                <w:lang w:eastAsia="zh-CN"/>
              </w:rPr>
              <w:t>）</w:t>
            </w:r>
            <w:r>
              <w:rPr>
                <w:color w:val="auto"/>
                <w:kern w:val="0"/>
                <w:sz w:val="24"/>
                <w:highlight w:val="none"/>
              </w:rPr>
              <w:t>，本项目</w:t>
            </w:r>
            <w:r>
              <w:rPr>
                <w:rFonts w:hint="eastAsia"/>
                <w:color w:val="auto"/>
                <w:kern w:val="0"/>
                <w:sz w:val="24"/>
                <w:highlight w:val="none"/>
                <w:lang w:val="en-US" w:eastAsia="zh-CN"/>
              </w:rPr>
              <w:t>为擦洗故</w:t>
            </w:r>
            <w:r>
              <w:rPr>
                <w:color w:val="auto"/>
                <w:kern w:val="0"/>
                <w:sz w:val="24"/>
                <w:highlight w:val="none"/>
              </w:rPr>
              <w:t>取</w:t>
            </w:r>
            <w:r>
              <w:rPr>
                <w:rFonts w:hint="eastAsia"/>
                <w:color w:val="auto"/>
                <w:kern w:val="0"/>
                <w:sz w:val="24"/>
                <w:highlight w:val="none"/>
                <w:lang w:val="en-US" w:eastAsia="zh-CN"/>
              </w:rPr>
              <w:t>1</w:t>
            </w:r>
            <w:r>
              <w:rPr>
                <w:color w:val="auto"/>
                <w:kern w:val="0"/>
                <w:sz w:val="24"/>
                <w:highlight w:val="none"/>
              </w:rPr>
              <w:t>L/m</w:t>
            </w:r>
            <w:r>
              <w:rPr>
                <w:color w:val="auto"/>
                <w:kern w:val="0"/>
                <w:sz w:val="24"/>
                <w:highlight w:val="none"/>
                <w:vertAlign w:val="superscript"/>
              </w:rPr>
              <w:t>2</w:t>
            </w:r>
            <w:r>
              <w:rPr>
                <w:rFonts w:hint="eastAsia"/>
                <w:color w:val="auto"/>
                <w:kern w:val="0"/>
                <w:sz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本项目建筑面积为2394.69m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，每天</w:t>
            </w:r>
            <w:r>
              <w:rPr>
                <w:rFonts w:hint="eastAsia" w:cs="Times New Roman"/>
                <w:color w:val="auto"/>
                <w:sz w:val="24"/>
                <w:szCs w:val="24"/>
                <w:highlight w:val="none"/>
                <w:lang w:val="en-US" w:eastAsia="zh-CN"/>
              </w:rPr>
              <w:t>擦洗</w:t>
            </w:r>
            <w:r>
              <w:rPr>
                <w:rFonts w:hint="default" w:ascii="Times New Roman" w:hAnsi="Times New Roman" w:eastAsia="宋体" w:cs="Times New Roman"/>
                <w:color w:val="auto"/>
                <w:sz w:val="24"/>
                <w:szCs w:val="24"/>
                <w:highlight w:val="none"/>
                <w:lang w:val="en-US" w:eastAsia="zh-CN"/>
              </w:rPr>
              <w:t>1次，用水量</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/d。全年</w:t>
            </w:r>
            <w:r>
              <w:rPr>
                <w:rFonts w:hint="eastAsia" w:cs="Times New Roman"/>
                <w:color w:val="auto"/>
                <w:sz w:val="24"/>
                <w:szCs w:val="24"/>
                <w:highlight w:val="none"/>
                <w:lang w:val="en-US" w:eastAsia="zh-CN"/>
              </w:rPr>
              <w:t>擦洗</w:t>
            </w:r>
            <w:r>
              <w:rPr>
                <w:rFonts w:hint="default" w:ascii="Times New Roman" w:hAnsi="Times New Roman" w:eastAsia="宋体" w:cs="Times New Roman"/>
                <w:color w:val="auto"/>
                <w:sz w:val="24"/>
                <w:szCs w:val="24"/>
                <w:highlight w:val="none"/>
                <w:lang w:val="en-US" w:eastAsia="zh-CN"/>
              </w:rPr>
              <w:t>300</w:t>
            </w:r>
            <w:r>
              <w:rPr>
                <w:rFonts w:hint="eastAsia"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，则年用水量为</w:t>
            </w:r>
            <w:r>
              <w:rPr>
                <w:rFonts w:hint="eastAsia" w:cs="Times New Roman"/>
                <w:color w:val="auto"/>
                <w:sz w:val="24"/>
                <w:szCs w:val="24"/>
                <w:highlight w:val="none"/>
                <w:lang w:val="en-US" w:eastAsia="zh-CN"/>
              </w:rPr>
              <w:t>720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p>
          <w:p w14:paraId="6AB6B29C">
            <w:pPr>
              <w:numPr>
                <w:ilvl w:val="0"/>
                <w:numId w:val="3"/>
              </w:numPr>
              <w:adjustRightInd w:val="0"/>
              <w:snapToGrid w:val="0"/>
              <w:spacing w:line="360" w:lineRule="auto"/>
              <w:ind w:firstLine="482" w:firstLineChars="200"/>
              <w:rPr>
                <w:rFonts w:hint="eastAsia"/>
                <w:b/>
                <w:bCs w:val="0"/>
                <w:sz w:val="24"/>
                <w:highlight w:val="none"/>
                <w:lang w:val="en-US" w:eastAsia="zh-CN"/>
              </w:rPr>
            </w:pPr>
            <w:r>
              <w:rPr>
                <w:rFonts w:hint="eastAsia"/>
                <w:b/>
                <w:bCs w:val="0"/>
                <w:sz w:val="24"/>
                <w:highlight w:val="none"/>
                <w:lang w:val="en-US" w:eastAsia="zh-CN"/>
              </w:rPr>
              <w:t>排水</w:t>
            </w:r>
          </w:p>
          <w:p w14:paraId="5956C81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职工</w:t>
            </w:r>
            <w:r>
              <w:rPr>
                <w:rFonts w:hint="default" w:ascii="Times New Roman" w:hAnsi="Times New Roman" w:eastAsia="宋体" w:cs="Times New Roman"/>
                <w:b/>
                <w:bCs/>
                <w:sz w:val="24"/>
                <w:szCs w:val="24"/>
              </w:rPr>
              <w:t>生活</w:t>
            </w:r>
            <w:r>
              <w:rPr>
                <w:rFonts w:hint="eastAsia" w:cs="Times New Roman"/>
                <w:b/>
                <w:bCs/>
                <w:sz w:val="24"/>
                <w:szCs w:val="24"/>
                <w:lang w:val="en-US" w:eastAsia="zh-CN"/>
              </w:rPr>
              <w:t>污水</w:t>
            </w:r>
            <w:r>
              <w:rPr>
                <w:rFonts w:hint="default" w:ascii="Times New Roman" w:hAnsi="Times New Roman" w:eastAsia="宋体" w:cs="Times New Roman"/>
                <w:sz w:val="24"/>
                <w:szCs w:val="24"/>
              </w:rPr>
              <w:t>：</w:t>
            </w:r>
            <w:r>
              <w:rPr>
                <w:rFonts w:hint="eastAsia" w:cs="Times New Roman"/>
                <w:sz w:val="24"/>
                <w:szCs w:val="24"/>
                <w:lang w:val="en-US" w:eastAsia="zh-CN"/>
              </w:rPr>
              <w:t>职工生活污水排放量</w:t>
            </w:r>
            <w:r>
              <w:rPr>
                <w:rFonts w:hint="default" w:ascii="Times New Roman" w:hAnsi="Times New Roman" w:eastAsia="宋体" w:cs="Times New Roman"/>
                <w:sz w:val="24"/>
                <w:szCs w:val="24"/>
              </w:rPr>
              <w:t>按用水量的80%计，则为</w:t>
            </w:r>
            <w:r>
              <w:rPr>
                <w:rFonts w:hint="eastAsia" w:cs="Times New Roman"/>
                <w:sz w:val="24"/>
                <w:szCs w:val="24"/>
                <w:lang w:val="en-US" w:eastAsia="zh-CN"/>
              </w:rPr>
              <w:t>2.16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cs="Times New Roman"/>
                <w:sz w:val="24"/>
                <w:szCs w:val="24"/>
                <w:lang w:val="en-US" w:eastAsia="zh-CN"/>
              </w:rPr>
              <w:t>648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14:paraId="3F75AE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原料清洗</w:t>
            </w:r>
            <w:r>
              <w:rPr>
                <w:rFonts w:hint="eastAsia" w:cs="Times New Roman"/>
                <w:b/>
                <w:bCs/>
                <w:sz w:val="24"/>
                <w:szCs w:val="24"/>
                <w:lang w:val="en-US" w:eastAsia="zh-CN"/>
              </w:rPr>
              <w:t>废水</w:t>
            </w:r>
            <w:r>
              <w:rPr>
                <w:rFonts w:hint="default" w:ascii="Times New Roman" w:hAnsi="Times New Roman" w:eastAsia="宋体" w:cs="Times New Roman"/>
                <w:sz w:val="24"/>
                <w:szCs w:val="24"/>
              </w:rPr>
              <w:t>：根据企业提供资料，</w:t>
            </w:r>
            <w:r>
              <w:rPr>
                <w:rFonts w:hint="eastAsia" w:cs="Times New Roman"/>
                <w:sz w:val="24"/>
                <w:szCs w:val="24"/>
                <w:lang w:val="en-US" w:eastAsia="zh-CN"/>
              </w:rPr>
              <w:t>项目清洗</w:t>
            </w:r>
            <w:r>
              <w:rPr>
                <w:rFonts w:hint="default" w:ascii="Times New Roman" w:hAnsi="Times New Roman" w:eastAsia="宋体" w:cs="Times New Roman"/>
                <w:sz w:val="24"/>
                <w:szCs w:val="24"/>
              </w:rPr>
              <w:t>废水产生量按用水量的80%计，废水产生量为</w:t>
            </w:r>
            <w:r>
              <w:rPr>
                <w:rFonts w:hint="eastAsia" w:cs="Times New Roman"/>
                <w:sz w:val="24"/>
                <w:szCs w:val="24"/>
                <w:lang w:val="en-US" w:eastAsia="zh-CN"/>
              </w:rPr>
              <w:t>40m</w:t>
            </w:r>
            <w:r>
              <w:rPr>
                <w:rFonts w:hint="eastAsia" w:cs="Times New Roman"/>
                <w:sz w:val="24"/>
                <w:szCs w:val="24"/>
                <w:vertAlign w:val="superscript"/>
                <w:lang w:val="en-US" w:eastAsia="zh-CN"/>
              </w:rPr>
              <w:t>3</w:t>
            </w:r>
            <w:r>
              <w:rPr>
                <w:rFonts w:hint="eastAsia" w:cs="Times New Roman"/>
                <w:sz w:val="24"/>
                <w:szCs w:val="24"/>
                <w:lang w:val="en-US" w:eastAsia="zh-CN"/>
              </w:rPr>
              <w:t>/d（</w:t>
            </w:r>
            <w:r>
              <w:rPr>
                <w:rFonts w:hint="default" w:ascii="Times New Roman" w:hAnsi="Times New Roman" w:eastAsia="宋体" w:cs="Times New Roman"/>
                <w:sz w:val="24"/>
                <w:szCs w:val="24"/>
              </w:rPr>
              <w:t>14600t/a</w:t>
            </w:r>
            <w:r>
              <w:rPr>
                <w:rFonts w:hint="eastAsia" w:cs="Times New Roman"/>
                <w:sz w:val="24"/>
                <w:szCs w:val="24"/>
                <w:lang w:val="en-US" w:eastAsia="zh-CN"/>
              </w:rPr>
              <w:t>）</w:t>
            </w:r>
            <w:r>
              <w:rPr>
                <w:rFonts w:hint="default" w:ascii="Times New Roman" w:hAnsi="Times New Roman" w:eastAsia="宋体" w:cs="Times New Roman"/>
                <w:sz w:val="24"/>
                <w:szCs w:val="24"/>
              </w:rPr>
              <w:t>，这部分排污水含有少量的悬浮物和油类，</w:t>
            </w:r>
            <w:r>
              <w:rPr>
                <w:rFonts w:hint="eastAsia" w:cs="Times New Roman"/>
                <w:sz w:val="24"/>
                <w:szCs w:val="24"/>
                <w:lang w:val="en-US" w:eastAsia="zh-CN"/>
              </w:rPr>
              <w:t>经油水分离器分离后</w:t>
            </w:r>
            <w:r>
              <w:rPr>
                <w:rFonts w:hint="default" w:ascii="Times New Roman" w:hAnsi="Times New Roman" w:eastAsia="宋体" w:cs="Times New Roman"/>
                <w:sz w:val="24"/>
                <w:szCs w:val="24"/>
              </w:rPr>
              <w:t>进入</w:t>
            </w:r>
            <w:r>
              <w:rPr>
                <w:rFonts w:hint="default" w:ascii="Times New Roman" w:hAnsi="Times New Roman" w:eastAsia="宋体" w:cs="Times New Roman"/>
                <w:sz w:val="24"/>
                <w:szCs w:val="24"/>
                <w:lang w:val="en-US" w:eastAsia="zh-CN"/>
              </w:rPr>
              <w:t>项目区配套</w:t>
            </w:r>
            <w:r>
              <w:rPr>
                <w:rFonts w:hint="default" w:ascii="Times New Roman" w:hAnsi="Times New Roman" w:eastAsia="宋体" w:cs="Times New Roman"/>
                <w:sz w:val="24"/>
                <w:szCs w:val="24"/>
              </w:rPr>
              <w:t>污水处理设施处理。</w:t>
            </w:r>
          </w:p>
          <w:p w14:paraId="1A5F38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食品浸泡</w:t>
            </w:r>
            <w:r>
              <w:rPr>
                <w:rFonts w:hint="eastAsia" w:cs="Times New Roman"/>
                <w:b/>
                <w:bCs/>
                <w:color w:val="auto"/>
                <w:sz w:val="24"/>
                <w:szCs w:val="24"/>
                <w:lang w:val="en-US" w:eastAsia="zh-CN"/>
              </w:rPr>
              <w:t>废</w:t>
            </w:r>
            <w:r>
              <w:rPr>
                <w:rFonts w:hint="default" w:ascii="Times New Roman" w:hAnsi="Times New Roman" w:eastAsia="宋体" w:cs="Times New Roman"/>
                <w:b/>
                <w:bCs/>
                <w:color w:val="auto"/>
                <w:sz w:val="24"/>
                <w:szCs w:val="24"/>
                <w:lang w:val="en-US" w:eastAsia="zh-CN"/>
              </w:rPr>
              <w:t>水</w:t>
            </w: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业主提供的信息，食品浸泡废水约为60%，即66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（0.22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w:t>
            </w:r>
          </w:p>
          <w:p w14:paraId="17FF79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蒸煮</w:t>
            </w:r>
            <w:r>
              <w:rPr>
                <w:rFonts w:hint="eastAsia" w:cs="Times New Roman"/>
                <w:b/>
                <w:bCs/>
                <w:color w:val="auto"/>
                <w:sz w:val="24"/>
                <w:szCs w:val="24"/>
                <w:lang w:val="en-US" w:eastAsia="zh-CN"/>
              </w:rPr>
              <w:t>废</w:t>
            </w:r>
            <w:r>
              <w:rPr>
                <w:rFonts w:hint="default" w:ascii="Times New Roman" w:hAnsi="Times New Roman" w:eastAsia="宋体" w:cs="Times New Roman"/>
                <w:b/>
                <w:bCs/>
                <w:color w:val="auto"/>
                <w:sz w:val="24"/>
                <w:szCs w:val="24"/>
                <w:lang w:val="en-US" w:eastAsia="zh-CN"/>
              </w:rPr>
              <w:t>水</w:t>
            </w:r>
            <w:r>
              <w:rPr>
                <w:rFonts w:hint="default" w:ascii="Times New Roman" w:hAnsi="Times New Roman" w:eastAsia="宋体" w:cs="Times New Roman"/>
                <w:color w:val="auto"/>
                <w:sz w:val="24"/>
                <w:szCs w:val="24"/>
                <w:lang w:val="en-US" w:eastAsia="zh-CN"/>
              </w:rPr>
              <w:t>：根据建设单位提供资料，</w:t>
            </w:r>
            <w:r>
              <w:rPr>
                <w:rFonts w:hint="eastAsia" w:cs="Times New Roman"/>
                <w:color w:val="auto"/>
                <w:sz w:val="24"/>
                <w:szCs w:val="24"/>
                <w:lang w:val="en-US" w:eastAsia="zh-CN"/>
              </w:rPr>
              <w:t>蒸煮过程中蒸发损耗约为30%，经自带的冷凝器冷凝后作为废水排入配套污水处理站；废水产生量为0.35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105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762C993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豆制品</w:t>
            </w:r>
            <w:r>
              <w:rPr>
                <w:rFonts w:hint="eastAsia" w:ascii="Times New Roman" w:hAnsi="Times New Roman" w:eastAsia="宋体" w:cs="Times New Roman"/>
                <w:b/>
                <w:bCs/>
                <w:color w:val="auto"/>
                <w:sz w:val="24"/>
                <w:szCs w:val="24"/>
                <w:lang w:val="en-US" w:eastAsia="zh-CN"/>
              </w:rPr>
              <w:t>磨浆</w:t>
            </w:r>
            <w:r>
              <w:rPr>
                <w:rFonts w:hint="eastAsia" w:cs="Times New Roman"/>
                <w:b/>
                <w:bCs/>
                <w:color w:val="auto"/>
                <w:sz w:val="24"/>
                <w:szCs w:val="24"/>
                <w:lang w:val="en-US" w:eastAsia="zh-CN"/>
              </w:rPr>
              <w:t>废水</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lang w:val="en-US" w:eastAsia="zh-CN"/>
              </w:rPr>
              <w:t>根据建设单位提供资料，</w:t>
            </w:r>
            <w:r>
              <w:rPr>
                <w:rFonts w:hint="eastAsia" w:ascii="Times New Roman" w:hAnsi="Times New Roman" w:eastAsia="宋体" w:cs="Times New Roman"/>
                <w:b w:val="0"/>
                <w:bCs w:val="0"/>
                <w:color w:val="auto"/>
                <w:sz w:val="24"/>
                <w:szCs w:val="24"/>
                <w:lang w:val="en-US" w:eastAsia="zh-CN"/>
              </w:rPr>
              <w:t>磨浆</w:t>
            </w:r>
            <w:r>
              <w:rPr>
                <w:rFonts w:hint="eastAsia" w:cs="Times New Roman"/>
                <w:b w:val="0"/>
                <w:bCs w:val="0"/>
                <w:color w:val="auto"/>
                <w:sz w:val="24"/>
                <w:szCs w:val="24"/>
                <w:lang w:val="en-US" w:eastAsia="zh-CN"/>
              </w:rPr>
              <w:t>废水按磨浆用水量的70%计算，则废水</w:t>
            </w:r>
            <w:r>
              <w:rPr>
                <w:rFonts w:hint="eastAsia" w:ascii="Times New Roman" w:hAnsi="Times New Roman" w:eastAsia="宋体" w:cs="Times New Roman"/>
                <w:b w:val="0"/>
                <w:bCs w:val="0"/>
                <w:color w:val="auto"/>
                <w:sz w:val="24"/>
                <w:szCs w:val="24"/>
                <w:lang w:val="en-US" w:eastAsia="zh-CN"/>
              </w:rPr>
              <w:t>量为</w:t>
            </w:r>
            <w:r>
              <w:rPr>
                <w:rFonts w:hint="eastAsia" w:cs="Times New Roman"/>
                <w:b w:val="0"/>
                <w:bCs w:val="0"/>
                <w:color w:val="auto"/>
                <w:sz w:val="24"/>
                <w:szCs w:val="24"/>
                <w:lang w:val="en-US" w:eastAsia="zh-CN"/>
              </w:rPr>
              <w:t>3.5</w:t>
            </w:r>
            <w:r>
              <w:rPr>
                <w:rFonts w:hint="eastAsia" w:ascii="Times New Roman" w:hAnsi="Times New Roman" w:eastAsia="宋体" w:cs="Times New Roman"/>
                <w:b w:val="0"/>
                <w:bCs w:val="0"/>
                <w:color w:val="auto"/>
                <w:sz w:val="24"/>
                <w:szCs w:val="24"/>
                <w:lang w:val="en-US" w:eastAsia="zh-CN"/>
              </w:rPr>
              <w:t>t/a</w:t>
            </w:r>
            <w:r>
              <w:rPr>
                <w:rFonts w:hint="eastAsia" w:cs="Times New Roman"/>
                <w:b w:val="0"/>
                <w:bCs w:val="0"/>
                <w:color w:val="auto"/>
                <w:sz w:val="24"/>
                <w:szCs w:val="24"/>
                <w:lang w:val="en-US" w:eastAsia="zh-CN"/>
              </w:rPr>
              <w:t>（1050</w:t>
            </w:r>
            <w:r>
              <w:rPr>
                <w:rFonts w:hint="eastAsia" w:ascii="Times New Roman" w:hAnsi="Times New Roman" w:eastAsia="宋体" w:cs="Times New Roman"/>
                <w:b w:val="0"/>
                <w:bCs w:val="0"/>
                <w:color w:val="auto"/>
                <w:sz w:val="24"/>
                <w:szCs w:val="24"/>
                <w:lang w:val="en-US" w:eastAsia="zh-CN"/>
              </w:rPr>
              <w:t>t/a</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w:t>
            </w:r>
          </w:p>
          <w:p w14:paraId="66749DE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sz w:val="24"/>
                <w:szCs w:val="24"/>
                <w:lang w:val="en-US" w:eastAsia="zh-CN"/>
              </w:rPr>
            </w:pPr>
            <w:r>
              <w:rPr>
                <w:rFonts w:hint="default" w:ascii="Times New Roman" w:hAnsi="Times New Roman" w:eastAsia="宋体" w:cs="Times New Roman"/>
                <w:b/>
                <w:bCs/>
                <w:sz w:val="24"/>
                <w:szCs w:val="24"/>
              </w:rPr>
              <w:t>和面用水</w:t>
            </w:r>
            <w:r>
              <w:rPr>
                <w:rFonts w:hint="default" w:ascii="Times New Roman" w:hAnsi="Times New Roman" w:eastAsia="宋体" w:cs="Times New Roman"/>
                <w:sz w:val="24"/>
                <w:szCs w:val="24"/>
                <w:lang w:eastAsia="zh-CN"/>
              </w:rPr>
              <w:t>：</w:t>
            </w:r>
            <w:r>
              <w:rPr>
                <w:rFonts w:hint="eastAsia" w:cs="Times New Roman"/>
                <w:sz w:val="24"/>
                <w:szCs w:val="24"/>
                <w:lang w:val="en-US" w:eastAsia="zh-CN"/>
              </w:rPr>
              <w:t>产品加工过程中会加入水，这部分水全部进入产品不外排；</w:t>
            </w:r>
          </w:p>
          <w:p w14:paraId="07E300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sz w:val="24"/>
                <w:szCs w:val="24"/>
                <w:lang w:val="en-US" w:eastAsia="zh-CN"/>
              </w:rPr>
            </w:pPr>
            <w:r>
              <w:rPr>
                <w:rFonts w:hint="default" w:ascii="Times New Roman" w:hAnsi="Times New Roman" w:eastAsia="宋体" w:cs="Times New Roman"/>
                <w:b/>
                <w:bCs/>
                <w:sz w:val="24"/>
                <w:szCs w:val="24"/>
                <w:lang w:val="en-US" w:eastAsia="zh-CN"/>
              </w:rPr>
              <w:t>锅炉软水制备</w:t>
            </w:r>
            <w:r>
              <w:rPr>
                <w:rFonts w:hint="eastAsia" w:cs="Times New Roman"/>
                <w:b/>
                <w:bCs/>
                <w:sz w:val="24"/>
                <w:szCs w:val="24"/>
                <w:lang w:val="en-US" w:eastAsia="zh-CN"/>
              </w:rPr>
              <w:t>废水</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本项目锅炉每日补充</w:t>
            </w:r>
            <w:r>
              <w:rPr>
                <w:rFonts w:hint="default" w:ascii="Times New Roman" w:hAnsi="Times New Roman" w:cs="Times New Roman"/>
                <w:sz w:val="24"/>
                <w:szCs w:val="24"/>
                <w:lang w:val="en-US" w:eastAsia="zh-CN"/>
              </w:rPr>
              <w:t>软水量为</w:t>
            </w:r>
            <w:r>
              <w:rPr>
                <w:rFonts w:hint="eastAsia" w:cs="Times New Roman"/>
                <w:sz w:val="24"/>
                <w:szCs w:val="24"/>
                <w:lang w:val="en-US" w:eastAsia="zh-CN"/>
              </w:rPr>
              <w:t>40</w:t>
            </w:r>
            <w:r>
              <w:rPr>
                <w:rFonts w:hint="default" w:ascii="Times New Roman" w:hAnsi="Times New Roman" w:cs="Times New Roman"/>
                <w:sz w:val="24"/>
                <w:szCs w:val="24"/>
                <w:lang w:val="en-US" w:eastAsia="zh-CN"/>
              </w:rPr>
              <w:t>m³/d，</w:t>
            </w:r>
            <w:r>
              <w:rPr>
                <w:rFonts w:hint="eastAsia" w:cs="Times New Roman"/>
                <w:sz w:val="24"/>
                <w:szCs w:val="24"/>
                <w:lang w:val="en-US" w:eastAsia="zh-CN"/>
              </w:rPr>
              <w:t>新鲜水补充量为50</w:t>
            </w:r>
            <w:r>
              <w:rPr>
                <w:rFonts w:hint="default" w:cs="Times New Roman"/>
                <w:sz w:val="24"/>
                <w:szCs w:val="24"/>
                <w:lang w:val="en-US" w:eastAsia="zh-CN"/>
              </w:rPr>
              <w:t>m³/d</w:t>
            </w:r>
            <w:r>
              <w:rPr>
                <w:rFonts w:hint="eastAsia" w:cs="Times New Roman"/>
                <w:sz w:val="24"/>
                <w:szCs w:val="24"/>
                <w:lang w:val="en-US" w:eastAsia="zh-CN"/>
              </w:rPr>
              <w:t>（15000</w:t>
            </w:r>
            <w:r>
              <w:rPr>
                <w:rFonts w:hint="default" w:cs="Times New Roman"/>
                <w:sz w:val="24"/>
                <w:szCs w:val="24"/>
                <w:lang w:val="en-US" w:eastAsia="zh-CN"/>
              </w:rPr>
              <w:t>m³/a</w:t>
            </w:r>
            <w:r>
              <w:rPr>
                <w:rFonts w:hint="eastAsia" w:cs="Times New Roman"/>
                <w:sz w:val="24"/>
                <w:szCs w:val="24"/>
                <w:lang w:val="en-US" w:eastAsia="zh-CN"/>
              </w:rPr>
              <w:t>）。</w:t>
            </w:r>
          </w:p>
          <w:p w14:paraId="4E5BA1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sz w:val="24"/>
                <w:szCs w:val="24"/>
                <w:lang w:val="en-US" w:eastAsia="zh-CN"/>
              </w:rPr>
            </w:pPr>
            <w:r>
              <w:rPr>
                <w:rFonts w:hint="eastAsia" w:cs="Times New Roman"/>
                <w:b/>
                <w:bCs/>
                <w:sz w:val="24"/>
                <w:szCs w:val="24"/>
                <w:lang w:val="en-US" w:eastAsia="zh-CN"/>
              </w:rPr>
              <w:t>锅炉排污：</w:t>
            </w:r>
            <w:r>
              <w:rPr>
                <w:rFonts w:hint="eastAsia" w:cs="Times New Roman"/>
                <w:sz w:val="24"/>
                <w:szCs w:val="24"/>
                <w:lang w:val="en-US" w:eastAsia="zh-CN"/>
              </w:rPr>
              <w:t>项目锅炉运行期间会出现定期排污和连续排污，其锅炉排污量为3.2m</w:t>
            </w:r>
            <w:r>
              <w:rPr>
                <w:rFonts w:hint="eastAsia" w:cs="Times New Roman"/>
                <w:sz w:val="24"/>
                <w:szCs w:val="24"/>
                <w:vertAlign w:val="superscript"/>
                <w:lang w:val="en-US" w:eastAsia="zh-CN"/>
              </w:rPr>
              <w:t>3</w:t>
            </w:r>
            <w:r>
              <w:rPr>
                <w:rFonts w:hint="eastAsia" w:cs="Times New Roman"/>
                <w:sz w:val="24"/>
                <w:szCs w:val="24"/>
                <w:lang w:val="en-US" w:eastAsia="zh-CN"/>
              </w:rPr>
              <w:t>/d（960m</w:t>
            </w:r>
            <w:r>
              <w:rPr>
                <w:rFonts w:hint="eastAsia" w:cs="Times New Roman"/>
                <w:sz w:val="24"/>
                <w:szCs w:val="24"/>
                <w:vertAlign w:val="superscript"/>
                <w:lang w:val="en-US" w:eastAsia="zh-CN"/>
              </w:rPr>
              <w:t>3</w:t>
            </w:r>
            <w:r>
              <w:rPr>
                <w:rFonts w:hint="eastAsia" w:cs="Times New Roman"/>
                <w:sz w:val="24"/>
                <w:szCs w:val="24"/>
                <w:lang w:val="en-US" w:eastAsia="zh-CN"/>
              </w:rPr>
              <w:t>/a）。</w:t>
            </w:r>
          </w:p>
          <w:p w14:paraId="015EB18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cs="Times New Roman"/>
                <w:color w:val="auto"/>
                <w:sz w:val="24"/>
                <w:szCs w:val="24"/>
                <w:lang w:val="en-US" w:eastAsia="zh-CN"/>
              </w:rPr>
            </w:pPr>
            <w:r>
              <w:rPr>
                <w:rFonts w:hint="default" w:ascii="Times New Roman" w:hAnsi="Times New Roman" w:eastAsia="宋体" w:cs="Times New Roman"/>
                <w:b/>
                <w:bCs/>
                <w:sz w:val="24"/>
                <w:szCs w:val="24"/>
                <w:lang w:val="en-US" w:eastAsia="zh-CN"/>
              </w:rPr>
              <w:t>纯水制备</w:t>
            </w:r>
            <w:r>
              <w:rPr>
                <w:rFonts w:hint="eastAsia" w:cs="Times New Roman"/>
                <w:b/>
                <w:bCs/>
                <w:sz w:val="24"/>
                <w:szCs w:val="24"/>
                <w:lang w:val="en-US" w:eastAsia="zh-CN"/>
              </w:rPr>
              <w:t>废水</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本项目</w:t>
            </w:r>
            <w:r>
              <w:rPr>
                <w:rFonts w:hint="eastAsia" w:cs="Times New Roman"/>
                <w:color w:val="auto"/>
                <w:sz w:val="24"/>
                <w:szCs w:val="24"/>
                <w:lang w:val="en-US" w:eastAsia="zh-CN"/>
              </w:rPr>
              <w:t>所需的纯水量为</w:t>
            </w:r>
            <w:r>
              <w:rPr>
                <w:rFonts w:hint="default" w:cs="Times New Roman"/>
                <w:color w:val="auto"/>
                <w:sz w:val="24"/>
                <w:szCs w:val="24"/>
                <w:lang w:val="en-US" w:eastAsia="zh-CN"/>
              </w:rPr>
              <w:t>2</w:t>
            </w:r>
            <w:r>
              <w:rPr>
                <w:rFonts w:hint="eastAsia" w:cs="Times New Roman"/>
                <w:color w:val="auto"/>
                <w:sz w:val="24"/>
                <w:szCs w:val="24"/>
                <w:lang w:val="en-US" w:eastAsia="zh-CN"/>
              </w:rPr>
              <w:t>.</w:t>
            </w:r>
            <w:r>
              <w:rPr>
                <w:rFonts w:hint="default" w:cs="Times New Roman"/>
                <w:color w:val="auto"/>
                <w:sz w:val="24"/>
                <w:szCs w:val="24"/>
                <w:lang w:val="en-US" w:eastAsia="zh-CN"/>
              </w:rPr>
              <w:t>4m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/d</w:t>
            </w:r>
            <w:r>
              <w:rPr>
                <w:rFonts w:hint="eastAsia" w:cs="Times New Roman"/>
                <w:color w:val="auto"/>
                <w:sz w:val="24"/>
                <w:szCs w:val="24"/>
                <w:lang w:val="en-US" w:eastAsia="zh-CN"/>
              </w:rPr>
              <w:t>（</w:t>
            </w:r>
            <w:r>
              <w:rPr>
                <w:rFonts w:hint="default" w:cs="Times New Roman"/>
                <w:color w:val="auto"/>
                <w:sz w:val="24"/>
                <w:szCs w:val="24"/>
                <w:lang w:val="en-US" w:eastAsia="zh-CN"/>
              </w:rPr>
              <w:t>720m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/a</w:t>
            </w:r>
            <w:r>
              <w:rPr>
                <w:rFonts w:hint="eastAsia" w:cs="Times New Roman"/>
                <w:color w:val="auto"/>
                <w:sz w:val="24"/>
                <w:szCs w:val="24"/>
                <w:lang w:val="en-US" w:eastAsia="zh-CN"/>
              </w:rPr>
              <w:t>），纯水制备冲洗废水占用水量的20</w:t>
            </w:r>
            <w:r>
              <w:rPr>
                <w:rFonts w:hint="default" w:cs="Times New Roman"/>
                <w:color w:val="auto"/>
                <w:sz w:val="24"/>
                <w:szCs w:val="24"/>
                <w:lang w:val="en-US" w:eastAsia="zh-CN"/>
              </w:rPr>
              <w:t>%</w:t>
            </w:r>
            <w:r>
              <w:rPr>
                <w:rFonts w:hint="eastAsia" w:cs="Times New Roman"/>
                <w:color w:val="auto"/>
                <w:sz w:val="24"/>
                <w:szCs w:val="24"/>
                <w:lang w:val="en-US" w:eastAsia="zh-CN"/>
              </w:rPr>
              <w:t>，则纯水制备废水排水量为0.6</w:t>
            </w:r>
            <w:r>
              <w:rPr>
                <w:rFonts w:hint="default" w:cs="Times New Roman"/>
                <w:color w:val="auto"/>
                <w:sz w:val="24"/>
                <w:szCs w:val="24"/>
                <w:lang w:val="en-US" w:eastAsia="zh-CN"/>
              </w:rPr>
              <w:t>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/d</w:t>
            </w:r>
            <w:r>
              <w:rPr>
                <w:rFonts w:hint="eastAsia" w:cs="Times New Roman"/>
                <w:color w:val="auto"/>
                <w:sz w:val="24"/>
                <w:szCs w:val="24"/>
                <w:lang w:val="en-US" w:eastAsia="zh-CN"/>
              </w:rPr>
              <w:t>（180</w:t>
            </w:r>
            <w:r>
              <w:rPr>
                <w:rFonts w:hint="default" w:cs="Times New Roman"/>
                <w:color w:val="auto"/>
                <w:sz w:val="24"/>
                <w:szCs w:val="24"/>
                <w:lang w:val="en-US" w:eastAsia="zh-CN"/>
              </w:rPr>
              <w:t>m</w:t>
            </w:r>
            <w:r>
              <w:rPr>
                <w:rFonts w:hint="default" w:cs="Times New Roman"/>
                <w:color w:val="auto"/>
                <w:sz w:val="24"/>
                <w:szCs w:val="24"/>
                <w:vertAlign w:val="superscript"/>
                <w:lang w:val="en-US" w:eastAsia="zh-CN"/>
              </w:rPr>
              <w:t>3</w:t>
            </w:r>
            <w:r>
              <w:rPr>
                <w:rFonts w:hint="default" w:cs="Times New Roman"/>
                <w:color w:val="auto"/>
                <w:sz w:val="24"/>
                <w:szCs w:val="24"/>
                <w:lang w:val="en-US" w:eastAsia="zh-CN"/>
              </w:rPr>
              <w:t>/a</w:t>
            </w:r>
            <w:r>
              <w:rPr>
                <w:rFonts w:hint="eastAsia" w:cs="Times New Roman"/>
                <w:color w:val="auto"/>
                <w:sz w:val="24"/>
                <w:szCs w:val="24"/>
                <w:lang w:val="en-US" w:eastAsia="zh-CN"/>
              </w:rPr>
              <w:t>）。</w:t>
            </w:r>
          </w:p>
          <w:p w14:paraId="150C7F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CIP清洗（定位清洗</w:t>
            </w:r>
            <w:r>
              <w:rPr>
                <w:rFonts w:hint="eastAsia" w:cs="Times New Roman"/>
                <w:b/>
                <w:bCs/>
                <w:color w:val="auto"/>
                <w:sz w:val="24"/>
                <w:szCs w:val="24"/>
                <w:lang w:val="en-US" w:eastAsia="zh-CN"/>
              </w:rPr>
              <w:t>）废水</w:t>
            </w:r>
            <w:r>
              <w:rPr>
                <w:rFonts w:hint="default" w:ascii="Times New Roman" w:hAnsi="Times New Roman" w:eastAsia="宋体" w:cs="Times New Roman"/>
                <w:color w:val="auto"/>
                <w:sz w:val="24"/>
                <w:szCs w:val="24"/>
                <w:lang w:val="en-US" w:eastAsia="zh-CN"/>
              </w:rPr>
              <w:t>：设备及管道</w:t>
            </w:r>
            <w:r>
              <w:rPr>
                <w:rFonts w:hint="eastAsia" w:cs="Times New Roman"/>
                <w:color w:val="auto"/>
                <w:sz w:val="24"/>
                <w:szCs w:val="24"/>
                <w:lang w:val="en-US" w:eastAsia="zh-CN"/>
              </w:rPr>
              <w:t>清洗废水按用水量的90%计算，则设备清洗废水量为2.16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cs="Times New Roman"/>
                <w:color w:val="auto"/>
                <w:sz w:val="24"/>
                <w:szCs w:val="24"/>
                <w:lang w:val="en-US" w:eastAsia="zh-CN"/>
              </w:rPr>
              <w:t>648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cs="Times New Roman"/>
                <w:color w:val="auto"/>
                <w:sz w:val="24"/>
                <w:szCs w:val="24"/>
                <w:lang w:val="en-US" w:eastAsia="zh-CN"/>
              </w:rPr>
              <w:t>）。</w:t>
            </w:r>
          </w:p>
          <w:p w14:paraId="3A30257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设备擦洗废水：</w:t>
            </w:r>
            <w:r>
              <w:rPr>
                <w:rFonts w:hint="eastAsia" w:cs="Times New Roman"/>
                <w:b w:val="0"/>
                <w:bCs w:val="0"/>
                <w:color w:val="auto"/>
                <w:sz w:val="24"/>
                <w:szCs w:val="24"/>
                <w:lang w:val="en-US" w:eastAsia="zh-CN"/>
              </w:rPr>
              <w:t>本项目设备擦洗过程会产生清洗废水，擦洗废水产生量约为擦洗用水量的85%，本项目设备擦洗用水量为1m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/d（300m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/a），则擦洗废水产生量约0.85m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/d（255m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26C405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地面</w:t>
            </w:r>
            <w:r>
              <w:rPr>
                <w:rFonts w:hint="eastAsia" w:cs="Times New Roman"/>
                <w:b/>
                <w:bCs/>
                <w:color w:val="auto"/>
                <w:sz w:val="24"/>
                <w:szCs w:val="24"/>
                <w:lang w:val="en-US" w:eastAsia="zh-CN"/>
              </w:rPr>
              <w:t>擦洗</w:t>
            </w:r>
            <w:r>
              <w:rPr>
                <w:rFonts w:hint="default" w:ascii="Times New Roman" w:hAnsi="Times New Roman" w:eastAsia="宋体" w:cs="Times New Roman"/>
                <w:b/>
                <w:bCs/>
                <w:color w:val="auto"/>
                <w:sz w:val="24"/>
                <w:szCs w:val="24"/>
                <w:lang w:val="en-US" w:eastAsia="zh-CN"/>
              </w:rPr>
              <w:t>废水：</w:t>
            </w:r>
            <w:r>
              <w:rPr>
                <w:rFonts w:hint="default" w:ascii="Times New Roman" w:hAnsi="Times New Roman" w:eastAsia="宋体" w:cs="Times New Roman"/>
                <w:color w:val="auto"/>
                <w:sz w:val="24"/>
                <w:szCs w:val="24"/>
                <w:lang w:val="en-US" w:eastAsia="zh-CN"/>
              </w:rPr>
              <w:t>本项目地面</w:t>
            </w:r>
            <w:r>
              <w:rPr>
                <w:rFonts w:hint="eastAsia" w:cs="Times New Roman"/>
                <w:color w:val="auto"/>
                <w:sz w:val="24"/>
                <w:szCs w:val="24"/>
                <w:lang w:val="en-US" w:eastAsia="zh-CN"/>
              </w:rPr>
              <w:t>擦洗</w:t>
            </w:r>
            <w:r>
              <w:rPr>
                <w:rFonts w:hint="default" w:ascii="Times New Roman" w:hAnsi="Times New Roman" w:eastAsia="宋体" w:cs="Times New Roman"/>
                <w:color w:val="auto"/>
                <w:sz w:val="24"/>
                <w:szCs w:val="24"/>
                <w:lang w:val="en-US" w:eastAsia="zh-CN"/>
              </w:rPr>
              <w:t>过程会产生</w:t>
            </w:r>
            <w:r>
              <w:rPr>
                <w:rFonts w:hint="eastAsia" w:cs="Times New Roman"/>
                <w:color w:val="auto"/>
                <w:sz w:val="24"/>
                <w:szCs w:val="24"/>
                <w:lang w:val="en-US" w:eastAsia="zh-CN"/>
              </w:rPr>
              <w:t>擦洗</w:t>
            </w:r>
            <w:r>
              <w:rPr>
                <w:rFonts w:hint="default" w:ascii="Times New Roman" w:hAnsi="Times New Roman" w:eastAsia="宋体" w:cs="Times New Roman"/>
                <w:color w:val="auto"/>
                <w:sz w:val="24"/>
                <w:szCs w:val="24"/>
                <w:lang w:val="en-US" w:eastAsia="zh-CN"/>
              </w:rPr>
              <w:t>废水，地面</w:t>
            </w:r>
            <w:r>
              <w:rPr>
                <w:rFonts w:hint="eastAsia" w:cs="Times New Roman"/>
                <w:color w:val="auto"/>
                <w:sz w:val="24"/>
                <w:szCs w:val="24"/>
                <w:lang w:val="en-US" w:eastAsia="zh-CN"/>
              </w:rPr>
              <w:t>擦洗</w:t>
            </w:r>
            <w:r>
              <w:rPr>
                <w:rFonts w:hint="default" w:ascii="Times New Roman" w:hAnsi="Times New Roman" w:cs="Times New Roman"/>
                <w:color w:val="auto"/>
                <w:sz w:val="24"/>
                <w:szCs w:val="24"/>
                <w:lang w:val="en-US" w:eastAsia="zh-CN"/>
              </w:rPr>
              <w:t>废水</w:t>
            </w:r>
            <w:r>
              <w:rPr>
                <w:rFonts w:hint="default" w:ascii="Times New Roman" w:hAnsi="Times New Roman" w:eastAsia="宋体" w:cs="Times New Roman"/>
                <w:color w:val="auto"/>
                <w:sz w:val="24"/>
                <w:szCs w:val="24"/>
                <w:lang w:val="en-US" w:eastAsia="zh-CN"/>
              </w:rPr>
              <w:t>产污系数以80%计，</w:t>
            </w:r>
            <w:r>
              <w:rPr>
                <w:rFonts w:hint="default" w:ascii="Times New Roman" w:hAnsi="Times New Roman"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地面</w:t>
            </w:r>
            <w:r>
              <w:rPr>
                <w:rFonts w:hint="eastAsia" w:cs="Times New Roman"/>
                <w:color w:val="auto"/>
                <w:sz w:val="24"/>
                <w:szCs w:val="24"/>
                <w:lang w:val="en-US" w:eastAsia="zh-CN"/>
              </w:rPr>
              <w:t>擦洗</w:t>
            </w:r>
            <w:r>
              <w:rPr>
                <w:rFonts w:hint="default" w:ascii="Times New Roman" w:hAnsi="Times New Roman" w:eastAsia="宋体" w:cs="Times New Roman"/>
                <w:color w:val="auto"/>
                <w:sz w:val="24"/>
                <w:szCs w:val="24"/>
                <w:lang w:val="en-US" w:eastAsia="zh-CN"/>
              </w:rPr>
              <w:t>废水排放量约为1</w:t>
            </w:r>
            <w:r>
              <w:rPr>
                <w:rFonts w:hint="default" w:ascii="Times New Roman" w:hAnsi="Times New Roman" w:eastAsia="宋体" w:cs="Times New Roman"/>
                <w:sz w:val="24"/>
                <w:szCs w:val="24"/>
                <w:lang w:val="en-US" w:eastAsia="zh-CN"/>
              </w:rPr>
              <w:t>.9</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cs="Times New Roman"/>
                <w:sz w:val="24"/>
                <w:szCs w:val="24"/>
                <w:lang w:val="en-US" w:eastAsia="zh-CN"/>
              </w:rPr>
              <w:t>576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32C53B55">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72" w:firstLineChars="200"/>
              <w:textAlignment w:val="auto"/>
              <w:rPr>
                <w:rFonts w:hint="default" w:ascii="Times New Roman" w:hAnsi="Times New Roman" w:cs="Times New Roman"/>
                <w:spacing w:val="-6"/>
                <w:lang w:eastAsia="zh-CN"/>
              </w:rPr>
            </w:pPr>
            <w:r>
              <w:rPr>
                <w:rFonts w:hint="default" w:ascii="Times New Roman" w:hAnsi="Times New Roman" w:cs="Times New Roman"/>
                <w:spacing w:val="-2"/>
              </w:rPr>
              <w:t>本项目排水量为</w:t>
            </w:r>
            <w:r>
              <w:rPr>
                <w:rFonts w:hint="eastAsia" w:ascii="Times New Roman" w:hAnsi="Times New Roman" w:cs="Times New Roman"/>
                <w:spacing w:val="-2"/>
                <w:lang w:val="en-US" w:eastAsia="zh-CN"/>
              </w:rPr>
              <w:t>64.74</w:t>
            </w:r>
            <w:r>
              <w:rPr>
                <w:rFonts w:hint="default" w:ascii="Times New Roman" w:hAnsi="Times New Roman" w:cs="Times New Roman"/>
                <w:spacing w:val="-2"/>
              </w:rPr>
              <w:t>m</w:t>
            </w:r>
            <w:r>
              <w:rPr>
                <w:rFonts w:hint="default" w:ascii="Times New Roman" w:hAnsi="Times New Roman" w:cs="Times New Roman"/>
                <w:spacing w:val="-2"/>
                <w:vertAlign w:val="superscript"/>
              </w:rPr>
              <w:t>3</w:t>
            </w:r>
            <w:r>
              <w:rPr>
                <w:rFonts w:hint="default" w:ascii="Times New Roman" w:hAnsi="Times New Roman" w:cs="Times New Roman"/>
                <w:spacing w:val="-2"/>
              </w:rPr>
              <w:t>/d（</w:t>
            </w:r>
            <w:r>
              <w:rPr>
                <w:rFonts w:hint="eastAsia" w:ascii="Times New Roman" w:hAnsi="Times New Roman" w:cs="Times New Roman"/>
                <w:spacing w:val="-2"/>
                <w:lang w:val="en-US" w:eastAsia="zh-CN"/>
              </w:rPr>
              <w:t>23695</w:t>
            </w:r>
            <w:r>
              <w:rPr>
                <w:rFonts w:hint="default" w:ascii="Times New Roman" w:hAnsi="Times New Roman" w:cs="Times New Roman"/>
                <w:spacing w:val="-2"/>
              </w:rPr>
              <w:t>m</w:t>
            </w:r>
            <w:r>
              <w:rPr>
                <w:rFonts w:hint="default" w:ascii="Times New Roman" w:hAnsi="Times New Roman" w:cs="Times New Roman"/>
                <w:spacing w:val="-2"/>
                <w:vertAlign w:val="superscript"/>
              </w:rPr>
              <w:t>3</w:t>
            </w:r>
            <w:r>
              <w:rPr>
                <w:rFonts w:hint="default" w:ascii="Times New Roman" w:hAnsi="Times New Roman" w:cs="Times New Roman"/>
                <w:spacing w:val="-2"/>
              </w:rPr>
              <w:t>/a</w:t>
            </w:r>
            <w:r>
              <w:rPr>
                <w:rFonts w:hint="eastAsia" w:ascii="Times New Roman" w:hAnsi="Times New Roman" w:cs="Times New Roman"/>
                <w:spacing w:val="-2"/>
                <w:lang w:eastAsia="zh-CN"/>
              </w:rPr>
              <w:t>）</w:t>
            </w:r>
            <w:r>
              <w:rPr>
                <w:rFonts w:hint="default" w:ascii="Times New Roman" w:hAnsi="Times New Roman" w:cs="Times New Roman"/>
                <w:spacing w:val="-2"/>
              </w:rPr>
              <w:t>，</w:t>
            </w:r>
            <w:r>
              <w:rPr>
                <w:rFonts w:hint="default" w:ascii="Times New Roman" w:hAnsi="Times New Roman" w:cs="Times New Roman"/>
                <w:spacing w:val="-2"/>
                <w:lang w:val="en-US" w:eastAsia="zh-CN"/>
              </w:rPr>
              <w:t>经配套污水</w:t>
            </w:r>
            <w:r>
              <w:rPr>
                <w:rFonts w:hint="default" w:ascii="Times New Roman" w:hAnsi="Times New Roman" w:cs="Times New Roman"/>
                <w:spacing w:val="-6"/>
                <w:lang w:val="en-US" w:eastAsia="zh-CN"/>
              </w:rPr>
              <w:t>处理设施处理后排入兰干乡污水管网最终进入</w:t>
            </w:r>
            <w:r>
              <w:rPr>
                <w:rFonts w:hint="default" w:ascii="Times New Roman" w:hAnsi="Times New Roman" w:cs="Times New Roman"/>
                <w:spacing w:val="-6"/>
                <w:lang w:eastAsia="zh-CN"/>
              </w:rPr>
              <w:t>库尔勒金城洁净排水有限责任公司库尔勒市老城区污水处理厂</w:t>
            </w:r>
            <w:r>
              <w:rPr>
                <w:rFonts w:hint="default" w:ascii="Times New Roman" w:hAnsi="Times New Roman" w:cs="Times New Roman"/>
                <w:spacing w:val="-6"/>
              </w:rPr>
              <w:t>处理</w:t>
            </w:r>
            <w:r>
              <w:rPr>
                <w:rFonts w:hint="default" w:ascii="Times New Roman" w:hAnsi="Times New Roman" w:cs="Times New Roman"/>
                <w:spacing w:val="-6"/>
                <w:lang w:eastAsia="zh-CN"/>
              </w:rPr>
              <w:t>。</w:t>
            </w:r>
          </w:p>
          <w:p w14:paraId="46261E03">
            <w:pPr>
              <w:adjustRightInd w:val="0"/>
              <w:snapToGrid w:val="0"/>
              <w:spacing w:line="360" w:lineRule="auto"/>
              <w:ind w:firstLine="480" w:firstLineChars="200"/>
              <w:rPr>
                <w:b/>
                <w:szCs w:val="21"/>
              </w:rPr>
            </w:pPr>
            <w:r>
              <w:rPr>
                <w:bCs/>
                <w:sz w:val="24"/>
              </w:rPr>
              <w:t>项目区水平衡关系见表</w:t>
            </w:r>
            <w:r>
              <w:rPr>
                <w:rFonts w:hint="eastAsia"/>
                <w:bCs/>
                <w:sz w:val="24"/>
                <w:lang w:val="en-US" w:eastAsia="zh-CN"/>
              </w:rPr>
              <w:t>2-5</w:t>
            </w:r>
            <w:r>
              <w:rPr>
                <w:bCs/>
                <w:sz w:val="24"/>
              </w:rPr>
              <w:t>和图1。</w:t>
            </w:r>
          </w:p>
          <w:p w14:paraId="38A8C214">
            <w:pPr>
              <w:pStyle w:val="91"/>
              <w:rPr>
                <w:rFonts w:hint="default" w:eastAsia="宋体"/>
                <w:color w:val="auto"/>
                <w:lang w:val="en-US" w:eastAsia="zh-CN"/>
              </w:rPr>
            </w:pPr>
            <w:r>
              <w:rPr>
                <w:color w:val="auto"/>
              </w:rPr>
              <w:t>表</w:t>
            </w:r>
            <w:r>
              <w:rPr>
                <w:rFonts w:hint="eastAsia"/>
                <w:color w:val="auto"/>
                <w:lang w:val="en-US" w:eastAsia="zh-CN"/>
              </w:rPr>
              <w:t xml:space="preserve">2-5  </w:t>
            </w:r>
            <w:r>
              <w:rPr>
                <w:color w:val="auto"/>
              </w:rPr>
              <w:t>项目供排水平衡一览表</w:t>
            </w:r>
            <w:r>
              <w:rPr>
                <w:rFonts w:hint="eastAsia"/>
                <w:color w:val="auto"/>
                <w:lang w:val="en-US" w:eastAsia="zh-CN"/>
              </w:rPr>
              <w:t xml:space="preserve">          单位：</w:t>
            </w:r>
            <w:r>
              <w:rPr>
                <w:rFonts w:hint="eastAsia"/>
                <w:b w:val="0"/>
                <w:bCs w:val="0"/>
                <w:color w:val="auto"/>
                <w:kern w:val="0"/>
                <w:sz w:val="21"/>
                <w:szCs w:val="21"/>
                <w:lang w:val="en-US" w:eastAsia="zh-CN"/>
              </w:rPr>
              <w:t>m</w:t>
            </w:r>
            <w:r>
              <w:rPr>
                <w:rFonts w:hint="eastAsia"/>
                <w:b w:val="0"/>
                <w:bCs w:val="0"/>
                <w:color w:val="auto"/>
                <w:kern w:val="0"/>
                <w:sz w:val="21"/>
                <w:szCs w:val="21"/>
                <w:vertAlign w:val="superscript"/>
                <w:lang w:val="en-US" w:eastAsia="zh-CN"/>
              </w:rPr>
              <w:t>3</w:t>
            </w:r>
            <w:r>
              <w:rPr>
                <w:rFonts w:hint="eastAsia"/>
                <w:b w:val="0"/>
                <w:bCs w:val="0"/>
                <w:color w:val="auto"/>
                <w:kern w:val="0"/>
                <w:sz w:val="21"/>
                <w:szCs w:val="21"/>
                <w:lang w:val="en-US" w:eastAsia="zh-CN"/>
              </w:rPr>
              <w:t>/d</w:t>
            </w:r>
          </w:p>
          <w:tbl>
            <w:tblPr>
              <w:tblStyle w:val="29"/>
              <w:tblW w:w="8001" w:type="dxa"/>
              <w:jc w:val="center"/>
              <w:tblLayout w:type="fixed"/>
              <w:tblCellMar>
                <w:top w:w="0" w:type="dxa"/>
                <w:left w:w="108" w:type="dxa"/>
                <w:bottom w:w="0" w:type="dxa"/>
                <w:right w:w="108" w:type="dxa"/>
              </w:tblCellMar>
            </w:tblPr>
            <w:tblGrid>
              <w:gridCol w:w="750"/>
              <w:gridCol w:w="1581"/>
              <w:gridCol w:w="1112"/>
              <w:gridCol w:w="1125"/>
              <w:gridCol w:w="2125"/>
              <w:gridCol w:w="1308"/>
            </w:tblGrid>
            <w:tr w14:paraId="36CC5A08">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7755C181">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序号</w:t>
                  </w:r>
                </w:p>
              </w:tc>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B9BF50">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用水环节</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01F4BE5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用水量</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0ED13FA3">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损耗量</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389A20A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排水环节</w:t>
                  </w:r>
                </w:p>
              </w:tc>
              <w:tc>
                <w:tcPr>
                  <w:tcW w:w="817" w:type="pct"/>
                  <w:tcBorders>
                    <w:top w:val="single" w:color="auto" w:sz="4" w:space="0"/>
                    <w:left w:val="single" w:color="auto" w:sz="4" w:space="0"/>
                    <w:bottom w:val="single" w:color="auto" w:sz="4" w:space="0"/>
                    <w:right w:val="nil"/>
                  </w:tcBorders>
                  <w:shd w:val="clear" w:color="auto" w:fill="auto"/>
                  <w:vAlign w:val="center"/>
                </w:tcPr>
                <w:p w14:paraId="051A4A3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排水量</w:t>
                  </w:r>
                </w:p>
              </w:tc>
            </w:tr>
            <w:tr w14:paraId="31EC0F88">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27E55B4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1</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D155BB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职工生活用水</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06E82F7A">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2.7</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19AEDFC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0.54</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259C93E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生活污水</w:t>
                  </w:r>
                </w:p>
              </w:tc>
              <w:tc>
                <w:tcPr>
                  <w:tcW w:w="817" w:type="pct"/>
                  <w:tcBorders>
                    <w:top w:val="single" w:color="auto" w:sz="4" w:space="0"/>
                    <w:left w:val="single" w:color="auto" w:sz="4" w:space="0"/>
                    <w:bottom w:val="single" w:color="auto" w:sz="4" w:space="0"/>
                    <w:right w:val="nil"/>
                  </w:tcBorders>
                  <w:shd w:val="clear" w:color="auto" w:fill="auto"/>
                  <w:vAlign w:val="center"/>
                </w:tcPr>
                <w:p w14:paraId="534EFDE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2.16</w:t>
                  </w:r>
                </w:p>
              </w:tc>
            </w:tr>
            <w:tr w14:paraId="4021A02E">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68C9819A">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2</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3C64AF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b w:val="0"/>
                      <w:bCs w:val="0"/>
                      <w:kern w:val="0"/>
                      <w:sz w:val="21"/>
                      <w:szCs w:val="21"/>
                    </w:rPr>
                  </w:pPr>
                  <w:r>
                    <w:rPr>
                      <w:rFonts w:hint="default" w:ascii="Times New Roman" w:hAnsi="Times New Roman" w:eastAsia="宋体" w:cs="Times New Roman"/>
                      <w:b w:val="0"/>
                      <w:bCs w:val="0"/>
                      <w:sz w:val="21"/>
                      <w:szCs w:val="21"/>
                    </w:rPr>
                    <w:t>原料清洗</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0D8F8C6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50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2319F48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10</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603DC9C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原料清洗</w:t>
                  </w:r>
                </w:p>
              </w:tc>
              <w:tc>
                <w:tcPr>
                  <w:tcW w:w="817" w:type="pct"/>
                  <w:tcBorders>
                    <w:top w:val="single" w:color="auto" w:sz="4" w:space="0"/>
                    <w:left w:val="single" w:color="auto" w:sz="4" w:space="0"/>
                    <w:bottom w:val="single" w:color="auto" w:sz="4" w:space="0"/>
                    <w:right w:val="nil"/>
                  </w:tcBorders>
                  <w:shd w:val="clear" w:color="auto" w:fill="auto"/>
                  <w:vAlign w:val="center"/>
                </w:tcPr>
                <w:p w14:paraId="1A808553">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40</w:t>
                  </w:r>
                </w:p>
              </w:tc>
            </w:tr>
            <w:tr w14:paraId="5E272F55">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76260FC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3</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530F47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食品浸泡</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2A9DACA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0.37</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4672476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0.15</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1CD35067">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豆制品加工</w:t>
                  </w:r>
                </w:p>
              </w:tc>
              <w:tc>
                <w:tcPr>
                  <w:tcW w:w="817" w:type="pct"/>
                  <w:tcBorders>
                    <w:top w:val="single" w:color="auto" w:sz="4" w:space="0"/>
                    <w:left w:val="single" w:color="auto" w:sz="4" w:space="0"/>
                    <w:bottom w:val="single" w:color="auto" w:sz="4" w:space="0"/>
                    <w:right w:val="nil"/>
                  </w:tcBorders>
                  <w:shd w:val="clear" w:color="auto" w:fill="auto"/>
                  <w:vAlign w:val="center"/>
                </w:tcPr>
                <w:p w14:paraId="3AF7208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0.22</w:t>
                  </w:r>
                </w:p>
              </w:tc>
            </w:tr>
            <w:tr w14:paraId="5BA958D9">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2A74E76A">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4</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1200576E">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蒸煮</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2AF37A8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0.50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5F867C04">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0.15</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383EF48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豆制品、卤制品加工</w:t>
                  </w:r>
                </w:p>
              </w:tc>
              <w:tc>
                <w:tcPr>
                  <w:tcW w:w="817" w:type="pct"/>
                  <w:tcBorders>
                    <w:top w:val="single" w:color="auto" w:sz="4" w:space="0"/>
                    <w:left w:val="single" w:color="auto" w:sz="4" w:space="0"/>
                    <w:bottom w:val="single" w:color="auto" w:sz="4" w:space="0"/>
                    <w:right w:val="nil"/>
                  </w:tcBorders>
                  <w:shd w:val="clear" w:color="auto" w:fill="auto"/>
                  <w:vAlign w:val="center"/>
                </w:tcPr>
                <w:p w14:paraId="63A556B4">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kern w:val="0"/>
                      <w:sz w:val="21"/>
                      <w:szCs w:val="21"/>
                      <w:lang w:val="en-US" w:eastAsia="zh-CN"/>
                    </w:rPr>
                  </w:pPr>
                  <w:r>
                    <w:rPr>
                      <w:rFonts w:hint="eastAsia"/>
                      <w:b w:val="0"/>
                      <w:bCs w:val="0"/>
                      <w:kern w:val="0"/>
                      <w:sz w:val="21"/>
                      <w:szCs w:val="21"/>
                      <w:lang w:val="en-US" w:eastAsia="zh-CN"/>
                    </w:rPr>
                    <w:t>0.35</w:t>
                  </w:r>
                </w:p>
              </w:tc>
            </w:tr>
            <w:tr w14:paraId="60DE9705">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5F390D0C">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kern w:val="0"/>
                      <w:sz w:val="21"/>
                      <w:szCs w:val="21"/>
                      <w:lang w:val="en-US" w:eastAsia="zh-CN"/>
                    </w:rPr>
                  </w:pPr>
                  <w:r>
                    <w:rPr>
                      <w:rFonts w:hint="eastAsia"/>
                      <w:b w:val="0"/>
                      <w:bCs w:val="0"/>
                      <w:kern w:val="0"/>
                      <w:sz w:val="21"/>
                      <w:szCs w:val="21"/>
                      <w:lang w:val="en-US" w:eastAsia="zh-CN"/>
                    </w:rPr>
                    <w:t>5</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512400B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b w:val="0"/>
                      <w:bCs w:val="0"/>
                      <w:color w:val="auto"/>
                      <w:kern w:val="0"/>
                      <w:sz w:val="21"/>
                      <w:szCs w:val="21"/>
                    </w:rPr>
                  </w:pPr>
                  <w:r>
                    <w:rPr>
                      <w:rFonts w:hint="default" w:ascii="Times New Roman" w:hAnsi="Times New Roman" w:eastAsia="宋体" w:cs="Times New Roman"/>
                      <w:b w:val="0"/>
                      <w:bCs w:val="0"/>
                      <w:color w:val="auto"/>
                      <w:sz w:val="21"/>
                      <w:szCs w:val="21"/>
                      <w:lang w:val="en-US" w:eastAsia="zh-CN"/>
                    </w:rPr>
                    <w:t>豆制品</w:t>
                  </w:r>
                  <w:r>
                    <w:rPr>
                      <w:rFonts w:hint="eastAsia" w:ascii="Times New Roman" w:hAnsi="Times New Roman" w:eastAsia="宋体" w:cs="Times New Roman"/>
                      <w:b w:val="0"/>
                      <w:bCs w:val="0"/>
                      <w:color w:val="auto"/>
                      <w:sz w:val="21"/>
                      <w:szCs w:val="21"/>
                      <w:lang w:val="en-US" w:eastAsia="zh-CN"/>
                    </w:rPr>
                    <w:t>磨浆</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1CAC4A9A">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5</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448BD6F7">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1.5</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6E15F3F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豆制品加工</w:t>
                  </w:r>
                </w:p>
              </w:tc>
              <w:tc>
                <w:tcPr>
                  <w:tcW w:w="817" w:type="pct"/>
                  <w:tcBorders>
                    <w:top w:val="single" w:color="auto" w:sz="4" w:space="0"/>
                    <w:left w:val="single" w:color="auto" w:sz="4" w:space="0"/>
                    <w:bottom w:val="single" w:color="auto" w:sz="4" w:space="0"/>
                    <w:right w:val="nil"/>
                  </w:tcBorders>
                  <w:shd w:val="clear" w:color="auto" w:fill="auto"/>
                  <w:vAlign w:val="center"/>
                </w:tcPr>
                <w:p w14:paraId="1BB4115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3.5</w:t>
                  </w:r>
                </w:p>
              </w:tc>
            </w:tr>
            <w:tr w14:paraId="741FCEDD">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2A35554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6</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53D362C">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和面</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451F7B8A">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2.17</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0EB74E21">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2.17</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7B041AB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凉皮、牛筋面加工</w:t>
                  </w:r>
                </w:p>
              </w:tc>
              <w:tc>
                <w:tcPr>
                  <w:tcW w:w="817" w:type="pct"/>
                  <w:tcBorders>
                    <w:top w:val="single" w:color="auto" w:sz="4" w:space="0"/>
                    <w:left w:val="single" w:color="auto" w:sz="4" w:space="0"/>
                    <w:bottom w:val="single" w:color="auto" w:sz="4" w:space="0"/>
                    <w:right w:val="nil"/>
                  </w:tcBorders>
                  <w:shd w:val="clear" w:color="auto" w:fill="auto"/>
                  <w:vAlign w:val="center"/>
                </w:tcPr>
                <w:p w14:paraId="648A443E">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0</w:t>
                  </w:r>
                </w:p>
              </w:tc>
            </w:tr>
            <w:tr w14:paraId="208EAF42">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55431FC2">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7</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3898382">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软水制备</w:t>
                  </w:r>
                </w:p>
              </w:tc>
              <w:tc>
                <w:tcPr>
                  <w:tcW w:w="694" w:type="pct"/>
                  <w:vMerge w:val="restart"/>
                  <w:tcBorders>
                    <w:top w:val="single" w:color="auto" w:sz="4" w:space="0"/>
                    <w:left w:val="single" w:color="auto" w:sz="4" w:space="0"/>
                    <w:right w:val="single" w:color="auto" w:sz="4" w:space="0"/>
                  </w:tcBorders>
                  <w:shd w:val="clear" w:color="auto" w:fill="auto"/>
                  <w:vAlign w:val="center"/>
                </w:tcPr>
                <w:p w14:paraId="28913CA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50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0A60CA6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36.8</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7A7F91CE">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软水制备设施</w:t>
                  </w:r>
                </w:p>
              </w:tc>
              <w:tc>
                <w:tcPr>
                  <w:tcW w:w="817" w:type="pct"/>
                  <w:tcBorders>
                    <w:top w:val="single" w:color="auto" w:sz="4" w:space="0"/>
                    <w:left w:val="single" w:color="auto" w:sz="4" w:space="0"/>
                    <w:bottom w:val="single" w:color="auto" w:sz="4" w:space="0"/>
                    <w:right w:val="nil"/>
                  </w:tcBorders>
                  <w:shd w:val="clear" w:color="auto" w:fill="auto"/>
                  <w:vAlign w:val="center"/>
                </w:tcPr>
                <w:p w14:paraId="317F9ADC">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10</w:t>
                  </w:r>
                </w:p>
              </w:tc>
            </w:tr>
            <w:tr w14:paraId="425BA745">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4183731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8</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164482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锅炉用水</w:t>
                  </w:r>
                </w:p>
              </w:tc>
              <w:tc>
                <w:tcPr>
                  <w:tcW w:w="694" w:type="pct"/>
                  <w:vMerge w:val="continue"/>
                  <w:tcBorders>
                    <w:left w:val="single" w:color="auto" w:sz="4" w:space="0"/>
                    <w:bottom w:val="single" w:color="auto" w:sz="4" w:space="0"/>
                    <w:right w:val="single" w:color="auto" w:sz="4" w:space="0"/>
                  </w:tcBorders>
                  <w:shd w:val="clear" w:color="auto" w:fill="auto"/>
                  <w:vAlign w:val="center"/>
                </w:tcPr>
                <w:p w14:paraId="6026218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b w:val="0"/>
                      <w:bCs w:val="0"/>
                      <w:color w:val="auto"/>
                      <w:kern w:val="0"/>
                      <w:sz w:val="21"/>
                      <w:szCs w:val="21"/>
                      <w:lang w:val="en-US" w:eastAsia="zh-CN"/>
                    </w:rPr>
                  </w:pP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19BF9BC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0</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26F6A6D7">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锅炉排污</w:t>
                  </w:r>
                </w:p>
              </w:tc>
              <w:tc>
                <w:tcPr>
                  <w:tcW w:w="817" w:type="pct"/>
                  <w:tcBorders>
                    <w:top w:val="single" w:color="auto" w:sz="4" w:space="0"/>
                    <w:left w:val="single" w:color="auto" w:sz="4" w:space="0"/>
                    <w:bottom w:val="single" w:color="auto" w:sz="4" w:space="0"/>
                    <w:right w:val="nil"/>
                  </w:tcBorders>
                  <w:shd w:val="clear" w:color="auto" w:fill="auto"/>
                  <w:vAlign w:val="center"/>
                </w:tcPr>
                <w:p w14:paraId="33209F21">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3.2</w:t>
                  </w:r>
                </w:p>
              </w:tc>
            </w:tr>
            <w:tr w14:paraId="06280BCD">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103A471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9</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428A0537">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纯水制备</w:t>
                  </w:r>
                </w:p>
              </w:tc>
              <w:tc>
                <w:tcPr>
                  <w:tcW w:w="694" w:type="pct"/>
                  <w:vMerge w:val="restart"/>
                  <w:tcBorders>
                    <w:top w:val="single" w:color="auto" w:sz="4" w:space="0"/>
                    <w:left w:val="single" w:color="auto" w:sz="4" w:space="0"/>
                    <w:right w:val="single" w:color="auto" w:sz="4" w:space="0"/>
                  </w:tcBorders>
                  <w:shd w:val="clear" w:color="auto" w:fill="auto"/>
                  <w:vAlign w:val="center"/>
                </w:tcPr>
                <w:p w14:paraId="1E0E3221">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3.0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101FA0BF">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0.24</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158E299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纯水制备系统</w:t>
                  </w:r>
                </w:p>
              </w:tc>
              <w:tc>
                <w:tcPr>
                  <w:tcW w:w="817" w:type="pct"/>
                  <w:tcBorders>
                    <w:top w:val="single" w:color="auto" w:sz="4" w:space="0"/>
                    <w:left w:val="single" w:color="auto" w:sz="4" w:space="0"/>
                    <w:bottom w:val="single" w:color="auto" w:sz="4" w:space="0"/>
                    <w:right w:val="nil"/>
                  </w:tcBorders>
                  <w:shd w:val="clear" w:color="auto" w:fill="auto"/>
                  <w:vAlign w:val="center"/>
                </w:tcPr>
                <w:p w14:paraId="4AB0435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2.16</w:t>
                  </w:r>
                </w:p>
              </w:tc>
            </w:tr>
            <w:tr w14:paraId="79E66D9F">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54DE541C">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 w:val="21"/>
                      <w:szCs w:val="21"/>
                      <w:lang w:val="en-US" w:eastAsia="zh-CN"/>
                    </w:rPr>
                    <w:t>10</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9020374">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b w:val="0"/>
                      <w:bCs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CIP清洗（定位清洗</w:t>
                  </w:r>
                  <w:r>
                    <w:rPr>
                      <w:rFonts w:hint="eastAsia" w:cs="Times New Roman"/>
                      <w:b w:val="0"/>
                      <w:bCs w:val="0"/>
                      <w:color w:val="auto"/>
                      <w:sz w:val="21"/>
                      <w:szCs w:val="21"/>
                      <w:lang w:val="en-US" w:eastAsia="zh-CN"/>
                    </w:rPr>
                    <w:t>）</w:t>
                  </w:r>
                </w:p>
              </w:tc>
              <w:tc>
                <w:tcPr>
                  <w:tcW w:w="694" w:type="pct"/>
                  <w:vMerge w:val="continue"/>
                  <w:tcBorders>
                    <w:left w:val="single" w:color="auto" w:sz="4" w:space="0"/>
                    <w:bottom w:val="single" w:color="auto" w:sz="4" w:space="0"/>
                    <w:right w:val="single" w:color="auto" w:sz="4" w:space="0"/>
                  </w:tcBorders>
                  <w:shd w:val="clear" w:color="auto" w:fill="auto"/>
                  <w:vAlign w:val="center"/>
                </w:tcPr>
                <w:p w14:paraId="4CE2D55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33D2A48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0</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60EA4600">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酸奶、乳制品制造</w:t>
                  </w:r>
                </w:p>
              </w:tc>
              <w:tc>
                <w:tcPr>
                  <w:tcW w:w="817" w:type="pct"/>
                  <w:tcBorders>
                    <w:top w:val="single" w:color="auto" w:sz="4" w:space="0"/>
                    <w:left w:val="single" w:color="auto" w:sz="4" w:space="0"/>
                    <w:bottom w:val="single" w:color="auto" w:sz="4" w:space="0"/>
                    <w:right w:val="nil"/>
                  </w:tcBorders>
                  <w:shd w:val="clear" w:color="auto" w:fill="auto"/>
                  <w:vAlign w:val="center"/>
                </w:tcPr>
                <w:p w14:paraId="2CE3BAF7">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0.6</w:t>
                  </w:r>
                </w:p>
              </w:tc>
            </w:tr>
            <w:tr w14:paraId="3BCA4824">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71A1D570">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11</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569D8D7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设备擦洗</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694C609B">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1.0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79B89CB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0.15</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4B62F98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凉皮机、搅拌罐等</w:t>
                  </w:r>
                </w:p>
              </w:tc>
              <w:tc>
                <w:tcPr>
                  <w:tcW w:w="817" w:type="pct"/>
                  <w:tcBorders>
                    <w:top w:val="single" w:color="auto" w:sz="4" w:space="0"/>
                    <w:left w:val="single" w:color="auto" w:sz="4" w:space="0"/>
                    <w:bottom w:val="single" w:color="auto" w:sz="4" w:space="0"/>
                    <w:right w:val="nil"/>
                  </w:tcBorders>
                  <w:shd w:val="clear" w:color="auto" w:fill="auto"/>
                  <w:vAlign w:val="center"/>
                </w:tcPr>
                <w:p w14:paraId="7570B05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b w:val="0"/>
                      <w:bCs w:val="0"/>
                      <w:color w:val="auto"/>
                      <w:kern w:val="0"/>
                      <w:sz w:val="21"/>
                      <w:szCs w:val="21"/>
                      <w:lang w:val="en-US" w:eastAsia="zh-CN"/>
                    </w:rPr>
                  </w:pPr>
                  <w:r>
                    <w:rPr>
                      <w:rFonts w:hint="eastAsia"/>
                      <w:b w:val="0"/>
                      <w:bCs w:val="0"/>
                      <w:color w:val="auto"/>
                      <w:kern w:val="0"/>
                      <w:sz w:val="21"/>
                      <w:szCs w:val="21"/>
                      <w:lang w:val="en-US" w:eastAsia="zh-CN"/>
                    </w:rPr>
                    <w:t>0.85</w:t>
                  </w:r>
                </w:p>
              </w:tc>
            </w:tr>
            <w:tr w14:paraId="6EECF5C6">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0C20482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12</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64541C5">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b w:val="0"/>
                      <w:bCs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地面</w:t>
                  </w:r>
                  <w:r>
                    <w:rPr>
                      <w:rFonts w:hint="eastAsia" w:cs="Times New Roman"/>
                      <w:b w:val="0"/>
                      <w:bCs w:val="0"/>
                      <w:color w:val="auto"/>
                      <w:sz w:val="21"/>
                      <w:szCs w:val="21"/>
                      <w:lang w:val="en-US" w:eastAsia="zh-CN"/>
                    </w:rPr>
                    <w:t>擦洗</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17A9189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2.40</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6EF2F36D">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0.48</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6F6CF171">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车间</w:t>
                  </w:r>
                </w:p>
              </w:tc>
              <w:tc>
                <w:tcPr>
                  <w:tcW w:w="817" w:type="pct"/>
                  <w:tcBorders>
                    <w:top w:val="single" w:color="auto" w:sz="4" w:space="0"/>
                    <w:left w:val="single" w:color="auto" w:sz="4" w:space="0"/>
                    <w:bottom w:val="single" w:color="auto" w:sz="4" w:space="0"/>
                    <w:right w:val="nil"/>
                  </w:tcBorders>
                  <w:shd w:val="clear" w:color="auto" w:fill="auto"/>
                  <w:vAlign w:val="center"/>
                </w:tcPr>
                <w:p w14:paraId="5CF97592">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1.92</w:t>
                  </w:r>
                </w:p>
              </w:tc>
            </w:tr>
            <w:tr w14:paraId="22E61C0C">
              <w:tblPrEx>
                <w:tblCellMar>
                  <w:top w:w="0" w:type="dxa"/>
                  <w:left w:w="108" w:type="dxa"/>
                  <w:bottom w:w="0" w:type="dxa"/>
                  <w:right w:w="108" w:type="dxa"/>
                </w:tblCellMar>
              </w:tblPrEx>
              <w:trPr>
                <w:trHeight w:val="397" w:hRule="atLeast"/>
                <w:jc w:val="center"/>
              </w:trPr>
              <w:tc>
                <w:tcPr>
                  <w:tcW w:w="468" w:type="pct"/>
                  <w:tcBorders>
                    <w:top w:val="single" w:color="auto" w:sz="4" w:space="0"/>
                    <w:left w:val="nil"/>
                    <w:bottom w:val="single" w:color="auto" w:sz="4" w:space="0"/>
                    <w:right w:val="single" w:color="auto" w:sz="4" w:space="0"/>
                  </w:tcBorders>
                  <w:shd w:val="clear" w:color="auto" w:fill="auto"/>
                  <w:vAlign w:val="center"/>
                </w:tcPr>
                <w:p w14:paraId="279DFCD9">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b w:val="0"/>
                      <w:bCs w:val="0"/>
                      <w:color w:val="auto"/>
                      <w:kern w:val="0"/>
                      <w:sz w:val="21"/>
                      <w:szCs w:val="21"/>
                    </w:rPr>
                  </w:pPr>
                  <w:r>
                    <w:rPr>
                      <w:b w:val="0"/>
                      <w:bCs w:val="0"/>
                      <w:color w:val="auto"/>
                      <w:kern w:val="0"/>
                      <w:sz w:val="21"/>
                      <w:szCs w:val="21"/>
                    </w:rPr>
                    <w:t>合计</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0F5BCA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b w:val="0"/>
                      <w:bCs w:val="0"/>
                      <w:color w:val="auto"/>
                      <w:kern w:val="0"/>
                      <w:sz w:val="21"/>
                      <w:szCs w:val="21"/>
                    </w:rPr>
                  </w:pPr>
                  <w:r>
                    <w:rPr>
                      <w:b w:val="0"/>
                      <w:bCs w:val="0"/>
                      <w:color w:val="auto"/>
                      <w:kern w:val="0"/>
                      <w:sz w:val="21"/>
                      <w:szCs w:val="21"/>
                    </w:rPr>
                    <w:t>/</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28FA95A4">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sz w:val="21"/>
                      <w:szCs w:val="21"/>
                      <w:lang w:val="en-US" w:eastAsia="zh-CN"/>
                    </w:rPr>
                    <w:t>117.14</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670E2410">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sz w:val="21"/>
                      <w:szCs w:val="21"/>
                      <w:lang w:val="en-US" w:eastAsia="zh-CN"/>
                    </w:rPr>
                    <w:t>52.18</w:t>
                  </w:r>
                </w:p>
              </w:tc>
              <w:tc>
                <w:tcPr>
                  <w:tcW w:w="1327" w:type="pct"/>
                  <w:tcBorders>
                    <w:top w:val="single" w:color="auto" w:sz="4" w:space="0"/>
                    <w:left w:val="single" w:color="auto" w:sz="4" w:space="0"/>
                    <w:bottom w:val="single" w:color="auto" w:sz="4" w:space="0"/>
                    <w:right w:val="single" w:color="auto" w:sz="4" w:space="0"/>
                  </w:tcBorders>
                  <w:shd w:val="clear" w:color="auto" w:fill="auto"/>
                  <w:vAlign w:val="center"/>
                </w:tcPr>
                <w:p w14:paraId="53773C08">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eastAsia" w:eastAsia="宋体"/>
                      <w:b w:val="0"/>
                      <w:bCs w:val="0"/>
                      <w:color w:val="auto"/>
                      <w:kern w:val="0"/>
                      <w:sz w:val="21"/>
                      <w:szCs w:val="21"/>
                      <w:lang w:eastAsia="zh-CN"/>
                    </w:rPr>
                  </w:pPr>
                  <w:r>
                    <w:rPr>
                      <w:rFonts w:hint="eastAsia"/>
                      <w:b w:val="0"/>
                      <w:bCs w:val="0"/>
                      <w:color w:val="auto"/>
                      <w:kern w:val="0"/>
                      <w:sz w:val="21"/>
                      <w:szCs w:val="21"/>
                      <w:lang w:val="en-US" w:eastAsia="zh-CN"/>
                    </w:rPr>
                    <w:t>/</w:t>
                  </w:r>
                </w:p>
              </w:tc>
              <w:tc>
                <w:tcPr>
                  <w:tcW w:w="817" w:type="pct"/>
                  <w:tcBorders>
                    <w:top w:val="single" w:color="auto" w:sz="4" w:space="0"/>
                    <w:left w:val="single" w:color="auto" w:sz="4" w:space="0"/>
                    <w:bottom w:val="single" w:color="auto" w:sz="4" w:space="0"/>
                    <w:right w:val="nil"/>
                  </w:tcBorders>
                  <w:shd w:val="clear" w:color="auto" w:fill="auto"/>
                  <w:vAlign w:val="center"/>
                </w:tcPr>
                <w:p w14:paraId="1BA7FBC6">
                  <w:pPr>
                    <w:keepNext w:val="0"/>
                    <w:keepLines w:val="0"/>
                    <w:pageBreakBefore w:val="0"/>
                    <w:widowControl/>
                    <w:kinsoku/>
                    <w:wordWrap/>
                    <w:overflowPunct/>
                    <w:topLinePunct w:val="0"/>
                    <w:autoSpaceDE/>
                    <w:autoSpaceDN/>
                    <w:bidi w:val="0"/>
                    <w:adjustRightInd/>
                    <w:snapToGrid/>
                    <w:ind w:left="-63" w:leftChars="-30" w:right="-63" w:rightChars="-30"/>
                    <w:jc w:val="center"/>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64.96</w:t>
                  </w:r>
                </w:p>
              </w:tc>
            </w:tr>
          </w:tbl>
          <w:p w14:paraId="19AE0C05">
            <w:pPr>
              <w:pStyle w:val="39"/>
              <w:rPr>
                <w:color w:val="auto"/>
              </w:rPr>
            </w:pPr>
          </w:p>
          <w:p w14:paraId="1991BD72">
            <w:pPr>
              <w:pStyle w:val="39"/>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drawing>
                <wp:inline distT="0" distB="0" distL="114300" distR="114300">
                  <wp:extent cx="5062220" cy="432435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062220" cy="4324350"/>
                          </a:xfrm>
                          <a:prstGeom prst="rect">
                            <a:avLst/>
                          </a:prstGeom>
                          <a:noFill/>
                          <a:ln>
                            <a:noFill/>
                          </a:ln>
                        </pic:spPr>
                      </pic:pic>
                    </a:graphicData>
                  </a:graphic>
                </wp:inline>
              </w:drawing>
            </w:r>
            <w:r>
              <w:rPr>
                <w:color w:val="auto"/>
              </w:rPr>
              <w:t>图1项目水平衡图单位：m</w:t>
            </w:r>
            <w:r>
              <w:rPr>
                <w:color w:val="auto"/>
                <w:vertAlign w:val="superscript"/>
              </w:rPr>
              <w:t>3</w:t>
            </w:r>
            <w:r>
              <w:rPr>
                <w:color w:val="auto"/>
              </w:rPr>
              <w:t>/</w:t>
            </w:r>
            <w:r>
              <w:rPr>
                <w:rFonts w:hint="eastAsia"/>
                <w:color w:val="auto"/>
                <w:lang w:val="en-US" w:eastAsia="zh-CN"/>
              </w:rPr>
              <w:t>d</w:t>
            </w:r>
          </w:p>
          <w:p w14:paraId="162D5A7F">
            <w:pPr>
              <w:adjustRightInd w:val="0"/>
              <w:snapToGrid w:val="0"/>
              <w:spacing w:line="360" w:lineRule="auto"/>
              <w:ind w:firstLine="480" w:firstLineChars="200"/>
              <w:rPr>
                <w:rFonts w:hint="eastAsia" w:ascii="宋体" w:hAnsi="宋体" w:eastAsia="宋体" w:cs="宋体"/>
                <w:bCs/>
                <w:sz w:val="24"/>
                <w:szCs w:val="24"/>
              </w:rPr>
            </w:pPr>
          </w:p>
          <w:p w14:paraId="2420AAED">
            <w:pPr>
              <w:adjustRightInd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w:t>
            </w:r>
            <w:r>
              <w:rPr>
                <w:rFonts w:hint="eastAsia" w:ascii="宋体" w:hAnsi="宋体" w:cs="宋体"/>
                <w:bCs/>
                <w:sz w:val="24"/>
                <w:szCs w:val="24"/>
                <w:lang w:eastAsia="zh-CN"/>
              </w:rPr>
              <w:t>）</w:t>
            </w:r>
            <w:r>
              <w:rPr>
                <w:rFonts w:hint="eastAsia" w:ascii="宋体" w:hAnsi="宋体" w:eastAsia="宋体" w:cs="宋体"/>
                <w:bCs/>
                <w:sz w:val="24"/>
                <w:szCs w:val="24"/>
              </w:rPr>
              <w:t>供电：由国家供电网络统一供给，用电有保障。</w:t>
            </w:r>
          </w:p>
          <w:p w14:paraId="4FBE58A2">
            <w:pPr>
              <w:adjustRightInd w:val="0"/>
              <w:snapToGrid w:val="0"/>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bCs/>
                <w:color w:val="auto"/>
                <w:sz w:val="24"/>
                <w:szCs w:val="24"/>
              </w:rPr>
              <w:t>（4</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供热：项目</w:t>
            </w:r>
            <w:r>
              <w:rPr>
                <w:rFonts w:hint="eastAsia" w:ascii="宋体" w:hAnsi="宋体" w:cs="宋体"/>
                <w:bCs/>
                <w:color w:val="auto"/>
                <w:sz w:val="24"/>
                <w:szCs w:val="24"/>
                <w:lang w:val="en-US" w:eastAsia="zh-CN"/>
              </w:rPr>
              <w:t>冬季</w:t>
            </w:r>
            <w:r>
              <w:rPr>
                <w:rFonts w:hint="eastAsia" w:ascii="宋体" w:hAnsi="宋体" w:eastAsia="宋体" w:cs="宋体"/>
                <w:bCs/>
                <w:color w:val="auto"/>
                <w:sz w:val="24"/>
                <w:szCs w:val="24"/>
                <w:lang w:val="en-US" w:eastAsia="zh-CN"/>
              </w:rPr>
              <w:t>生活</w:t>
            </w:r>
            <w:r>
              <w:rPr>
                <w:rFonts w:hint="eastAsia" w:ascii="宋体" w:hAnsi="宋体" w:cs="宋体"/>
                <w:bCs/>
                <w:color w:val="auto"/>
                <w:sz w:val="24"/>
                <w:szCs w:val="24"/>
                <w:lang w:val="en-US" w:eastAsia="zh-CN"/>
              </w:rPr>
              <w:t>供暖</w:t>
            </w:r>
            <w:r>
              <w:rPr>
                <w:rFonts w:hint="eastAsia" w:ascii="宋体" w:hAnsi="宋体" w:eastAsia="宋体" w:cs="宋体"/>
                <w:bCs/>
                <w:color w:val="auto"/>
                <w:sz w:val="24"/>
                <w:szCs w:val="24"/>
                <w:lang w:val="en-US" w:eastAsia="zh-CN"/>
              </w:rPr>
              <w:t>采用</w:t>
            </w:r>
            <w:r>
              <w:rPr>
                <w:rFonts w:hint="eastAsia" w:ascii="宋体" w:hAnsi="宋体" w:cs="宋体"/>
                <w:bCs/>
                <w:color w:val="auto"/>
                <w:sz w:val="24"/>
                <w:szCs w:val="24"/>
                <w:lang w:val="en-US" w:eastAsia="zh-CN"/>
              </w:rPr>
              <w:t>电采暖</w:t>
            </w:r>
            <w:r>
              <w:rPr>
                <w:rFonts w:hint="eastAsia" w:ascii="宋体" w:hAnsi="宋体" w:eastAsia="宋体" w:cs="宋体"/>
                <w:bCs/>
                <w:color w:val="auto"/>
                <w:sz w:val="24"/>
                <w:szCs w:val="24"/>
                <w:lang w:val="en-US" w:eastAsia="zh-CN"/>
              </w:rPr>
              <w:t>，生产供热由300kW常压热水锅炉供</w:t>
            </w:r>
            <w:r>
              <w:rPr>
                <w:rFonts w:hint="eastAsia" w:ascii="宋体" w:hAnsi="宋体" w:eastAsia="宋体" w:cs="宋体"/>
                <w:color w:val="auto"/>
                <w:kern w:val="0"/>
                <w:sz w:val="24"/>
                <w:szCs w:val="24"/>
                <w:lang w:val="en-US" w:eastAsia="zh-CN" w:bidi="ar"/>
              </w:rPr>
              <w:t>给。</w:t>
            </w:r>
          </w:p>
          <w:p w14:paraId="056CBD7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（5</w:t>
            </w:r>
            <w:r>
              <w:rPr>
                <w:rFonts w:hint="eastAsia" w:ascii="宋体" w:hAnsi="宋体" w:cs="宋体"/>
                <w:bCs/>
                <w:color w:val="auto"/>
                <w:kern w:val="2"/>
                <w:sz w:val="24"/>
                <w:szCs w:val="24"/>
                <w:lang w:val="en-US" w:eastAsia="zh-CN" w:bidi="ar-SA"/>
              </w:rPr>
              <w:t>）制冷</w:t>
            </w:r>
            <w:r>
              <w:rPr>
                <w:rFonts w:hint="eastAsia" w:ascii="宋体" w:hAnsi="宋体" w:eastAsia="宋体" w:cs="宋体"/>
                <w:bCs/>
                <w:color w:val="auto"/>
                <w:kern w:val="2"/>
                <w:sz w:val="24"/>
                <w:szCs w:val="24"/>
                <w:lang w:val="en-US" w:eastAsia="zh-CN" w:bidi="ar-SA"/>
              </w:rPr>
              <w:t>：办公区采用分体式空调进行制冷。生产制冷措施由冷库提供，用于原料和成品的冷藏和速冻（制冷剂是：</w:t>
            </w:r>
            <w:r>
              <w:rPr>
                <w:rFonts w:hint="eastAsia" w:ascii="宋体" w:hAnsi="宋体" w:eastAsia="宋体" w:cs="宋体"/>
                <w:bCs/>
                <w:color w:val="auto"/>
                <w:kern w:val="2"/>
                <w:sz w:val="24"/>
                <w:szCs w:val="24"/>
                <w:lang w:val="en-US" w:eastAsia="zh-CN" w:bidi="ar-SA"/>
              </w:rPr>
              <w:fldChar w:fldCharType="begin"/>
            </w:r>
            <w:r>
              <w:rPr>
                <w:rFonts w:hint="eastAsia" w:ascii="宋体" w:hAnsi="宋体" w:eastAsia="宋体" w:cs="宋体"/>
                <w:bCs/>
                <w:color w:val="auto"/>
                <w:kern w:val="2"/>
                <w:sz w:val="24"/>
                <w:szCs w:val="24"/>
                <w:lang w:val="en-US" w:eastAsia="zh-CN" w:bidi="ar-SA"/>
              </w:rPr>
              <w:instrText xml:space="preserve"> HYPERLINK "https://baike.baidu.com/item/%E5%85%B1%E6%B2%B8%E5%89%82/9307840?fromModule=lemma_inlink" \t "https://baike.baidu.com/item/R507/_blank" </w:instrText>
            </w:r>
            <w:r>
              <w:rPr>
                <w:rFonts w:hint="eastAsia" w:ascii="宋体" w:hAnsi="宋体" w:eastAsia="宋体" w:cs="宋体"/>
                <w:bCs/>
                <w:color w:val="auto"/>
                <w:kern w:val="2"/>
                <w:sz w:val="24"/>
                <w:szCs w:val="24"/>
                <w:lang w:val="en-US" w:eastAsia="zh-CN" w:bidi="ar-SA"/>
              </w:rPr>
              <w:fldChar w:fldCharType="separate"/>
            </w:r>
            <w:r>
              <w:rPr>
                <w:rFonts w:hint="default" w:ascii="宋体" w:hAnsi="宋体" w:eastAsia="宋体" w:cs="宋体"/>
                <w:bCs/>
                <w:color w:val="auto"/>
                <w:kern w:val="2"/>
                <w:sz w:val="24"/>
                <w:szCs w:val="24"/>
                <w:lang w:val="en-US" w:eastAsia="zh-CN" w:bidi="ar-SA"/>
              </w:rPr>
              <w:t>共沸剂</w:t>
            </w:r>
            <w:r>
              <w:rPr>
                <w:rFonts w:hint="default" w:ascii="宋体" w:hAnsi="宋体" w:eastAsia="宋体" w:cs="宋体"/>
                <w:bCs/>
                <w:color w:val="auto"/>
                <w:kern w:val="2"/>
                <w:sz w:val="24"/>
                <w:szCs w:val="24"/>
                <w:lang w:val="en-US" w:eastAsia="zh-CN" w:bidi="ar-SA"/>
              </w:rPr>
              <w:fldChar w:fldCharType="end"/>
            </w:r>
            <w:r>
              <w:rPr>
                <w:rFonts w:hint="default" w:ascii="宋体" w:hAnsi="宋体" w:eastAsia="宋体" w:cs="宋体"/>
                <w:bCs/>
                <w:color w:val="auto"/>
                <w:kern w:val="2"/>
                <w:sz w:val="24"/>
                <w:szCs w:val="24"/>
                <w:lang w:val="en-US" w:eastAsia="zh-CN" w:bidi="ar-SA"/>
              </w:rPr>
              <w:t>R507</w:t>
            </w:r>
            <w:r>
              <w:rPr>
                <w:rFonts w:hint="eastAsia" w:ascii="宋体" w:hAnsi="宋体" w:cs="宋体"/>
                <w:bCs/>
                <w:color w:val="auto"/>
                <w:kern w:val="2"/>
                <w:sz w:val="24"/>
                <w:szCs w:val="24"/>
                <w:lang w:val="en-US" w:eastAsia="zh-CN" w:bidi="ar-SA"/>
              </w:rPr>
              <w:t>）</w:t>
            </w:r>
            <w:r>
              <w:rPr>
                <w:rFonts w:hint="eastAsia" w:ascii="宋体" w:hAnsi="宋体" w:eastAsia="宋体" w:cs="宋体"/>
                <w:bCs/>
                <w:color w:val="auto"/>
                <w:kern w:val="2"/>
                <w:sz w:val="24"/>
                <w:szCs w:val="24"/>
                <w:lang w:val="en-US" w:eastAsia="zh-CN" w:bidi="ar-SA"/>
              </w:rPr>
              <w:t>，原料和成品的冷藏控制温度为-18℃，速冻温度控制为-35℃。采用</w:t>
            </w:r>
            <w:r>
              <w:rPr>
                <w:rFonts w:hint="eastAsia" w:ascii="宋体" w:hAnsi="宋体" w:eastAsia="宋体" w:cs="宋体"/>
                <w:bCs/>
                <w:color w:val="auto"/>
                <w:kern w:val="2"/>
                <w:sz w:val="24"/>
                <w:szCs w:val="24"/>
                <w:lang w:val="en-US" w:eastAsia="zh-CN" w:bidi="ar-SA"/>
              </w:rPr>
              <w:fldChar w:fldCharType="begin"/>
            </w:r>
            <w:r>
              <w:rPr>
                <w:rFonts w:hint="eastAsia" w:ascii="宋体" w:hAnsi="宋体" w:eastAsia="宋体" w:cs="宋体"/>
                <w:bCs/>
                <w:color w:val="auto"/>
                <w:kern w:val="2"/>
                <w:sz w:val="24"/>
                <w:szCs w:val="24"/>
                <w:lang w:val="en-US" w:eastAsia="zh-CN" w:bidi="ar-SA"/>
              </w:rPr>
              <w:instrText xml:space="preserve"> HYPERLINK "https://baike.baidu.com/item/%E5%85%B1%E6%B2%B8%E5%89%82/9307840?fromModule=lemma_inlink" \t "https://baike.baidu.com/item/R507/_blank" </w:instrText>
            </w:r>
            <w:r>
              <w:rPr>
                <w:rFonts w:hint="eastAsia" w:ascii="宋体" w:hAnsi="宋体" w:eastAsia="宋体" w:cs="宋体"/>
                <w:bCs/>
                <w:color w:val="auto"/>
                <w:kern w:val="2"/>
                <w:sz w:val="24"/>
                <w:szCs w:val="24"/>
                <w:lang w:val="en-US" w:eastAsia="zh-CN" w:bidi="ar-SA"/>
              </w:rPr>
              <w:fldChar w:fldCharType="separate"/>
            </w:r>
            <w:r>
              <w:rPr>
                <w:rFonts w:hint="default" w:ascii="宋体" w:hAnsi="宋体" w:eastAsia="宋体" w:cs="宋体"/>
                <w:bCs/>
                <w:color w:val="auto"/>
                <w:kern w:val="2"/>
                <w:sz w:val="24"/>
                <w:szCs w:val="24"/>
                <w:lang w:val="en-US" w:eastAsia="zh-CN" w:bidi="ar-SA"/>
              </w:rPr>
              <w:t>共沸剂</w:t>
            </w:r>
            <w:r>
              <w:rPr>
                <w:rFonts w:hint="default" w:ascii="宋体" w:hAnsi="宋体" w:eastAsia="宋体" w:cs="宋体"/>
                <w:bCs/>
                <w:color w:val="auto"/>
                <w:kern w:val="2"/>
                <w:sz w:val="24"/>
                <w:szCs w:val="24"/>
                <w:lang w:val="en-US" w:eastAsia="zh-CN" w:bidi="ar-SA"/>
              </w:rPr>
              <w:fldChar w:fldCharType="end"/>
            </w:r>
            <w:r>
              <w:rPr>
                <w:rFonts w:hint="default" w:ascii="宋体" w:hAnsi="宋体" w:eastAsia="宋体" w:cs="宋体"/>
                <w:bCs/>
                <w:color w:val="auto"/>
                <w:kern w:val="2"/>
                <w:sz w:val="24"/>
                <w:szCs w:val="24"/>
                <w:lang w:val="en-US" w:eastAsia="zh-CN" w:bidi="ar-SA"/>
              </w:rPr>
              <w:t>R507</w:t>
            </w:r>
            <w:r>
              <w:rPr>
                <w:rFonts w:hint="eastAsia" w:ascii="宋体" w:hAnsi="宋体" w:eastAsia="宋体" w:cs="宋体"/>
                <w:bCs/>
                <w:color w:val="auto"/>
                <w:kern w:val="2"/>
                <w:sz w:val="24"/>
                <w:szCs w:val="24"/>
                <w:lang w:val="en-US" w:eastAsia="zh-CN" w:bidi="ar-SA"/>
              </w:rPr>
              <w:t>作为制冷剂</w:t>
            </w:r>
            <w:r>
              <w:rPr>
                <w:rFonts w:hint="eastAsia" w:ascii="宋体" w:hAnsi="宋体" w:cs="宋体"/>
                <w:bCs/>
                <w:color w:val="auto"/>
                <w:kern w:val="2"/>
                <w:sz w:val="24"/>
                <w:szCs w:val="24"/>
                <w:lang w:val="en-US" w:eastAsia="zh-CN" w:bidi="ar-SA"/>
              </w:rPr>
              <w:t>（该制冷剂适用于中低温商用制冷系统的制冷，破坏臭氧潜能值ODP为0.00是一款较为环保的制冷剂）</w:t>
            </w:r>
            <w:r>
              <w:rPr>
                <w:rFonts w:hint="eastAsia" w:ascii="宋体" w:hAnsi="宋体" w:eastAsia="宋体" w:cs="宋体"/>
                <w:bCs/>
                <w:color w:val="auto"/>
                <w:kern w:val="2"/>
                <w:sz w:val="24"/>
                <w:szCs w:val="24"/>
                <w:lang w:val="en-US" w:eastAsia="zh-CN" w:bidi="ar-SA"/>
              </w:rPr>
              <w:t>，制冷剂30年更换一次，用量为120kg，更换的废制冷剂由厂家回收。</w:t>
            </w:r>
          </w:p>
          <w:p w14:paraId="673050D1">
            <w:pPr>
              <w:rPr>
                <w:rFonts w:hint="default"/>
                <w:lang w:val="en-US" w:eastAsia="zh-CN"/>
              </w:rPr>
            </w:pPr>
          </w:p>
          <w:p w14:paraId="2CFF3A50">
            <w:pPr>
              <w:pStyle w:val="16"/>
              <w:numPr>
                <w:ilvl w:val="0"/>
                <w:numId w:val="0"/>
              </w:numPr>
              <w:rPr>
                <w:bCs/>
                <w:szCs w:val="21"/>
              </w:rPr>
            </w:pPr>
          </w:p>
          <w:p w14:paraId="21A1938E">
            <w:pPr>
              <w:pStyle w:val="16"/>
              <w:numPr>
                <w:ilvl w:val="0"/>
                <w:numId w:val="0"/>
              </w:numPr>
              <w:rPr>
                <w:bCs/>
                <w:szCs w:val="21"/>
              </w:rPr>
            </w:pPr>
          </w:p>
          <w:p w14:paraId="4CBB3001">
            <w:pPr>
              <w:pStyle w:val="16"/>
              <w:numPr>
                <w:ilvl w:val="0"/>
                <w:numId w:val="0"/>
              </w:numPr>
              <w:rPr>
                <w:bCs/>
                <w:szCs w:val="21"/>
              </w:rPr>
            </w:pPr>
          </w:p>
        </w:tc>
      </w:tr>
      <w:tr w14:paraId="5F781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2" w:hRule="atLeast"/>
        </w:trPr>
        <w:tc>
          <w:tcPr>
            <w:tcW w:w="305" w:type="pct"/>
            <w:tcBorders>
              <w:tl2br w:val="nil"/>
              <w:tr2bl w:val="nil"/>
            </w:tcBorders>
            <w:vAlign w:val="center"/>
          </w:tcPr>
          <w:p w14:paraId="7A038861">
            <w:pPr>
              <w:pStyle w:val="25"/>
              <w:rPr>
                <w:rFonts w:ascii="Times New Roman" w:hAnsi="Times New Roman"/>
                <w:sz w:val="21"/>
                <w:szCs w:val="21"/>
              </w:rPr>
            </w:pPr>
            <w:r>
              <w:rPr>
                <w:rFonts w:ascii="Times New Roman" w:hAnsi="Times New Roman"/>
              </w:rPr>
              <w:t>工艺流程和产排污环节</w:t>
            </w:r>
          </w:p>
        </w:tc>
        <w:tc>
          <w:tcPr>
            <w:tcW w:w="4695" w:type="pct"/>
            <w:tcBorders>
              <w:tl2br w:val="nil"/>
              <w:tr2bl w:val="nil"/>
            </w:tcBorders>
          </w:tcPr>
          <w:p w14:paraId="11D41488">
            <w:pPr>
              <w:pStyle w:val="17"/>
              <w:adjustRightInd w:val="0"/>
              <w:snapToGrid w:val="0"/>
              <w:spacing w:line="360" w:lineRule="auto"/>
              <w:ind w:left="0" w:leftChars="0"/>
              <w:rPr>
                <w:b/>
                <w:bCs/>
                <w:sz w:val="28"/>
                <w:szCs w:val="28"/>
              </w:rPr>
            </w:pPr>
            <w:r>
              <w:rPr>
                <w:b/>
                <w:bCs/>
                <w:sz w:val="28"/>
                <w:szCs w:val="28"/>
              </w:rPr>
              <w:t>1、施工期工艺流程</w:t>
            </w:r>
          </w:p>
          <w:p w14:paraId="6406D059">
            <w:pPr>
              <w:adjustRightInd w:val="0"/>
              <w:snapToGrid w:val="0"/>
              <w:spacing w:line="360" w:lineRule="auto"/>
              <w:ind w:firstLine="480" w:firstLineChars="200"/>
              <w:rPr>
                <w:sz w:val="24"/>
              </w:rPr>
            </w:pPr>
            <w:bookmarkStart w:id="3" w:name="_Toc27878"/>
            <w:r>
              <w:rPr>
                <w:sz w:val="24"/>
              </w:rPr>
              <w:t>施工期工艺流程及产污环节图：</w:t>
            </w:r>
            <w:bookmarkEnd w:id="3"/>
          </w:p>
          <w:p w14:paraId="77860E60">
            <w:pPr>
              <w:adjustRightInd w:val="0"/>
              <w:snapToGrid w:val="0"/>
              <w:spacing w:line="360" w:lineRule="auto"/>
              <w:jc w:val="center"/>
              <w:rPr>
                <w:b/>
                <w:bCs/>
                <w:sz w:val="24"/>
              </w:rPr>
            </w:pPr>
            <w:r>
              <w:rPr>
                <w:b/>
                <w:bCs/>
                <w:sz w:val="24"/>
              </w:rPr>
              <w:drawing>
                <wp:inline distT="0" distB="0" distL="114300" distR="114300">
                  <wp:extent cx="4537075" cy="1375410"/>
                  <wp:effectExtent l="0" t="0" r="0" b="0"/>
                  <wp:docPr id="1" name="图片 32" descr="QQ截图2021032916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descr="QQ截图20210329164818"/>
                          <pic:cNvPicPr>
                            <a:picLocks noChangeAspect="1"/>
                          </pic:cNvPicPr>
                        </pic:nvPicPr>
                        <pic:blipFill>
                          <a:blip r:embed="rId9"/>
                          <a:stretch>
                            <a:fillRect/>
                          </a:stretch>
                        </pic:blipFill>
                        <pic:spPr>
                          <a:xfrm>
                            <a:off x="0" y="0"/>
                            <a:ext cx="4542947" cy="1377224"/>
                          </a:xfrm>
                          <a:prstGeom prst="rect">
                            <a:avLst/>
                          </a:prstGeom>
                          <a:noFill/>
                          <a:ln>
                            <a:noFill/>
                          </a:ln>
                        </pic:spPr>
                      </pic:pic>
                    </a:graphicData>
                  </a:graphic>
                </wp:inline>
              </w:drawing>
            </w:r>
          </w:p>
          <w:p w14:paraId="23696044">
            <w:pPr>
              <w:adjustRightInd w:val="0"/>
              <w:snapToGrid w:val="0"/>
              <w:spacing w:line="360" w:lineRule="auto"/>
              <w:jc w:val="center"/>
              <w:rPr>
                <w:b/>
                <w:bCs/>
                <w:szCs w:val="21"/>
              </w:rPr>
            </w:pPr>
            <w:r>
              <w:rPr>
                <w:b/>
                <w:bCs/>
                <w:szCs w:val="21"/>
              </w:rPr>
              <w:t>图</w:t>
            </w:r>
            <w:r>
              <w:rPr>
                <w:rFonts w:hint="eastAsia"/>
                <w:b/>
                <w:bCs/>
                <w:szCs w:val="21"/>
                <w:lang w:val="en-US" w:eastAsia="zh-CN"/>
              </w:rPr>
              <w:t>1</w:t>
            </w:r>
            <w:r>
              <w:rPr>
                <w:b/>
                <w:bCs/>
                <w:szCs w:val="21"/>
              </w:rPr>
              <w:t>施工工艺流程及产污环节图</w:t>
            </w:r>
          </w:p>
          <w:p w14:paraId="58AD5097">
            <w:pPr>
              <w:pStyle w:val="17"/>
              <w:adjustRightInd w:val="0"/>
              <w:snapToGrid w:val="0"/>
              <w:spacing w:line="360" w:lineRule="auto"/>
              <w:ind w:left="0" w:leftChars="0"/>
              <w:rPr>
                <w:sz w:val="28"/>
                <w:szCs w:val="28"/>
              </w:rPr>
            </w:pPr>
            <w:r>
              <w:rPr>
                <w:b/>
                <w:bCs/>
                <w:sz w:val="28"/>
                <w:szCs w:val="28"/>
              </w:rPr>
              <w:t>2、运营期工艺流程</w:t>
            </w:r>
            <w:r>
              <w:rPr>
                <w:b/>
                <w:sz w:val="28"/>
                <w:szCs w:val="28"/>
              </w:rPr>
              <w:t>及产污环节图</w:t>
            </w:r>
          </w:p>
          <w:p w14:paraId="0734BF26">
            <w:pPr>
              <w:tabs>
                <w:tab w:val="left" w:pos="450"/>
                <w:tab w:val="center" w:pos="4212"/>
              </w:tabs>
              <w:adjustRightInd w:val="0"/>
              <w:snapToGrid w:val="0"/>
              <w:spacing w:line="360" w:lineRule="auto"/>
              <w:ind w:firstLine="482" w:firstLineChars="200"/>
              <w:rPr>
                <w:b/>
                <w:bCs/>
                <w:sz w:val="24"/>
              </w:rPr>
            </w:pPr>
            <w:r>
              <w:rPr>
                <w:b/>
                <w:bCs/>
                <w:sz w:val="24"/>
              </w:rPr>
              <w:t>2.1</w:t>
            </w:r>
            <w:r>
              <w:rPr>
                <w:rFonts w:hint="eastAsia"/>
                <w:b/>
                <w:bCs/>
                <w:sz w:val="24"/>
                <w:lang w:val="en-US" w:eastAsia="zh-CN"/>
              </w:rPr>
              <w:t>凉皮、面筋</w:t>
            </w:r>
            <w:r>
              <w:rPr>
                <w:b/>
                <w:bCs/>
                <w:sz w:val="24"/>
              </w:rPr>
              <w:t>生产工艺流程</w:t>
            </w:r>
          </w:p>
          <w:p w14:paraId="51480D08">
            <w:pPr>
              <w:pStyle w:val="39"/>
            </w:pPr>
            <w:r>
              <w:drawing>
                <wp:inline distT="0" distB="0" distL="114300" distR="114300">
                  <wp:extent cx="4438015" cy="4545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l="823"/>
                          <a:stretch>
                            <a:fillRect/>
                          </a:stretch>
                        </pic:blipFill>
                        <pic:spPr>
                          <a:xfrm>
                            <a:off x="0" y="0"/>
                            <a:ext cx="4438015" cy="4545965"/>
                          </a:xfrm>
                          <a:prstGeom prst="rect">
                            <a:avLst/>
                          </a:prstGeom>
                          <a:noFill/>
                          <a:ln>
                            <a:noFill/>
                          </a:ln>
                        </pic:spPr>
                      </pic:pic>
                    </a:graphicData>
                  </a:graphic>
                </wp:inline>
              </w:drawing>
            </w:r>
          </w:p>
          <w:p w14:paraId="5C07CD01">
            <w:pPr>
              <w:pStyle w:val="39"/>
              <w:rPr>
                <w:rFonts w:hint="eastAsia"/>
              </w:rPr>
            </w:pPr>
            <w:r>
              <w:rPr>
                <w:rFonts w:hint="eastAsia"/>
              </w:rPr>
              <w:t>图2</w:t>
            </w:r>
            <w:r>
              <w:rPr>
                <w:rFonts w:hint="eastAsia"/>
                <w:lang w:val="en-US" w:eastAsia="zh-CN"/>
              </w:rPr>
              <w:t xml:space="preserve">   </w:t>
            </w:r>
            <w:r>
              <w:rPr>
                <w:rFonts w:hint="eastAsia"/>
              </w:rPr>
              <w:t>凉皮及面筋生产工艺流程及产污环节图</w:t>
            </w:r>
          </w:p>
          <w:p w14:paraId="0E4B2589">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生产要求，将定量的面粉投入到洗面机中，投料时整袋投料，降低位差，同时加入少量自来水，在洗面机中揉成面团。再向洗面机中加入自来水开始洗面，制成浆液。洗面过程制成的浆液用于生产凉皮，剩余的面团用于生产面筋。此过程产生废原料包装，投料粉尘及布袋收集的粉尘及噪声。</w:t>
            </w:r>
          </w:p>
          <w:p w14:paraId="5B5F7F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凉皮生产工艺流程简述:</w:t>
            </w:r>
          </w:p>
          <w:p w14:paraId="7997F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①沉淀</w:t>
            </w:r>
          </w:p>
          <w:p w14:paraId="6235F4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将洗面制好的浆液在储浆池中转后，泵入沉淀池中，浆液在沉淀池中沉淀3</w:t>
            </w:r>
            <w:r>
              <w:rPr>
                <w:rFonts w:hint="eastAsia" w:ascii="华文细黑" w:hAnsi="华文细黑" w:eastAsia="华文细黑" w:cs="华文细黑"/>
                <w:color w:val="auto"/>
                <w:sz w:val="24"/>
                <w:szCs w:val="24"/>
              </w:rPr>
              <w:t>～</w:t>
            </w:r>
            <w:r>
              <w:rPr>
                <w:rFonts w:hint="eastAsia" w:ascii="宋体" w:hAnsi="宋体" w:eastAsia="宋体" w:cs="宋体"/>
                <w:color w:val="auto"/>
                <w:sz w:val="24"/>
                <w:szCs w:val="24"/>
              </w:rPr>
              <w:t>4h后，将沉淀后的面浆上清液排出。面浆上清液进入项目自建污水处理站处理。</w:t>
            </w:r>
          </w:p>
          <w:p w14:paraId="72D0C8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②搅拌</w:t>
            </w:r>
          </w:p>
          <w:p w14:paraId="07D783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经沉淀后的下层浆液泵入搅拌机中并加入少量食用盐进行搅拌，消除浆液中的气泡和颗粒，使面浆更加细腻。此过程产生噪声。</w:t>
            </w:r>
          </w:p>
          <w:p w14:paraId="278419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③蒸粉</w:t>
            </w:r>
          </w:p>
          <w:p w14:paraId="326B0F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搅拌后的浆液用自吸泵吸入凉皮机蒸制，蒸汽由</w:t>
            </w:r>
            <w:r>
              <w:rPr>
                <w:rFonts w:hint="eastAsia" w:ascii="宋体" w:hAnsi="宋体" w:cs="宋体"/>
                <w:color w:val="auto"/>
                <w:sz w:val="24"/>
                <w:szCs w:val="24"/>
                <w:lang w:val="en-US" w:eastAsia="zh-CN"/>
              </w:rPr>
              <w:t>蒸柜</w:t>
            </w:r>
            <w:r>
              <w:rPr>
                <w:rFonts w:hint="eastAsia" w:ascii="宋体" w:hAnsi="宋体" w:eastAsia="宋体" w:cs="宋体"/>
                <w:color w:val="auto"/>
                <w:sz w:val="24"/>
                <w:szCs w:val="24"/>
              </w:rPr>
              <w:t>提供，保证操作温度110</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，时间为3分钟，此过程产生水蒸汽，直接排放。</w:t>
            </w:r>
          </w:p>
          <w:p w14:paraId="634416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④包装与检验</w:t>
            </w:r>
          </w:p>
          <w:p w14:paraId="3BD6B2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最后用聚乙烯包装袋将产品进行内包装，用聚乙烯包装盒将产品进行外包装并加入外购的料包。包装原料尺寸严格符合要求，过程中不产生包装废料，包装后的产品进行成品检验，不合格品按照一般固废处理。</w:t>
            </w:r>
          </w:p>
          <w:p w14:paraId="2CFA38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⑤入库</w:t>
            </w:r>
          </w:p>
          <w:p w14:paraId="01DC8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合格的成品于冷库</w:t>
            </w:r>
            <w:r>
              <w:rPr>
                <w:rFonts w:hint="eastAsia" w:ascii="宋体" w:hAnsi="宋体" w:cs="宋体"/>
                <w:color w:val="auto"/>
                <w:sz w:val="24"/>
                <w:szCs w:val="24"/>
                <w:lang w:eastAsia="zh-CN"/>
              </w:rPr>
              <w:t>（</w:t>
            </w:r>
            <w:r>
              <w:rPr>
                <w:rFonts w:hint="eastAsia" w:ascii="宋体" w:hAnsi="宋体" w:eastAsia="宋体" w:cs="宋体"/>
                <w:color w:val="auto"/>
                <w:sz w:val="24"/>
                <w:szCs w:val="24"/>
              </w:rPr>
              <w:t>制冷剂为R</w:t>
            </w:r>
            <w:r>
              <w:rPr>
                <w:rFonts w:hint="eastAsia" w:ascii="宋体" w:hAnsi="宋体" w:cs="宋体"/>
                <w:color w:val="auto"/>
                <w:sz w:val="24"/>
                <w:szCs w:val="24"/>
                <w:lang w:val="en-US" w:eastAsia="zh-CN"/>
              </w:rPr>
              <w:t>507</w:t>
            </w:r>
            <w:r>
              <w:rPr>
                <w:rFonts w:hint="eastAsia" w:ascii="宋体" w:hAnsi="宋体" w:cs="宋体"/>
                <w:color w:val="auto"/>
                <w:sz w:val="24"/>
                <w:szCs w:val="24"/>
                <w:lang w:eastAsia="zh-CN"/>
              </w:rPr>
              <w:t>）</w:t>
            </w:r>
            <w:r>
              <w:rPr>
                <w:rFonts w:hint="eastAsia" w:ascii="宋体" w:hAnsi="宋体" w:eastAsia="宋体" w:cs="宋体"/>
                <w:color w:val="auto"/>
                <w:sz w:val="24"/>
                <w:szCs w:val="24"/>
              </w:rPr>
              <w:t>中暂存，冷库温度为0-4</w:t>
            </w:r>
            <w:r>
              <w:rPr>
                <w:rFonts w:hint="eastAsia" w:ascii="宋体" w:hAnsi="宋体" w:eastAsia="宋体" w:cs="宋体"/>
                <w:color w:val="auto"/>
                <w:sz w:val="24"/>
                <w:szCs w:val="24"/>
                <w:lang w:val="en-US" w:eastAsia="zh-CN"/>
              </w:rPr>
              <w:t>℃。</w:t>
            </w:r>
          </w:p>
          <w:p w14:paraId="0A877A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牛筋面</w:t>
            </w:r>
            <w:r>
              <w:rPr>
                <w:rFonts w:hint="eastAsia" w:ascii="宋体" w:hAnsi="宋体" w:eastAsia="宋体" w:cs="宋体"/>
                <w:b/>
                <w:bCs/>
                <w:color w:val="auto"/>
                <w:sz w:val="24"/>
                <w:szCs w:val="24"/>
              </w:rPr>
              <w:t>生产工艺流程简述:</w:t>
            </w:r>
          </w:p>
          <w:p w14:paraId="1FAD5A9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Cs/>
                <w:snapToGrid w:val="0"/>
                <w:color w:val="auto"/>
                <w:kern w:val="0"/>
                <w:sz w:val="24"/>
                <w:lang w:val="zh-CN" w:eastAsia="zh-CN"/>
              </w:rPr>
            </w:pPr>
            <w:r>
              <w:rPr>
                <w:bCs/>
                <w:snapToGrid w:val="0"/>
                <w:color w:val="auto"/>
                <w:kern w:val="0"/>
                <w:sz w:val="24"/>
                <w:lang w:val="zh-CN"/>
              </w:rPr>
              <w:object>
                <v:shape id="_x0000_i1025" o:spt="75" type="#_x0000_t75" style="height:153.3pt;width:416.8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r>
              <w:rPr>
                <w:rFonts w:hint="eastAsia" w:ascii="Times New Roman" w:hAnsi="Times New Roman" w:eastAsia="宋体" w:cs="Times New Roman"/>
                <w:b/>
                <w:bCs w:val="0"/>
                <w:snapToGrid w:val="0"/>
                <w:color w:val="auto"/>
                <w:kern w:val="0"/>
                <w:sz w:val="21"/>
                <w:szCs w:val="21"/>
                <w:lang w:val="en-US" w:eastAsia="zh-CN"/>
              </w:rPr>
              <w:t>图3 本项目即食牛筋面加工生产流程及产污环节示意图</w:t>
            </w:r>
          </w:p>
          <w:p w14:paraId="5A2CC3EF">
            <w:pPr>
              <w:adjustRightInd w:val="0"/>
              <w:snapToGrid w:val="0"/>
              <w:spacing w:line="360" w:lineRule="auto"/>
              <w:ind w:firstLine="480" w:firstLineChars="200"/>
              <w:rPr>
                <w:rFonts w:hint="eastAsia"/>
                <w:bCs/>
                <w:snapToGrid w:val="0"/>
                <w:color w:val="auto"/>
                <w:kern w:val="0"/>
                <w:sz w:val="24"/>
                <w:lang w:val="zh-CN" w:eastAsia="zh-CN"/>
              </w:rPr>
            </w:pPr>
            <w:r>
              <w:rPr>
                <w:rFonts w:hint="eastAsia"/>
                <w:bCs/>
                <w:snapToGrid w:val="0"/>
                <w:color w:val="auto"/>
                <w:kern w:val="0"/>
                <w:sz w:val="24"/>
                <w:lang w:val="zh-CN" w:eastAsia="zh-CN"/>
              </w:rPr>
              <w:t>工艺流程简述：</w:t>
            </w:r>
          </w:p>
          <w:p w14:paraId="181609BD">
            <w:pPr>
              <w:adjustRightInd w:val="0"/>
              <w:snapToGrid w:val="0"/>
              <w:spacing w:line="360" w:lineRule="auto"/>
              <w:ind w:firstLine="480" w:firstLineChars="200"/>
              <w:rPr>
                <w:rFonts w:hint="default" w:eastAsia="宋体"/>
                <w:bCs/>
                <w:snapToGrid w:val="0"/>
                <w:color w:val="auto"/>
                <w:kern w:val="0"/>
                <w:sz w:val="24"/>
                <w:lang w:val="en-US" w:eastAsia="zh-CN"/>
              </w:rPr>
            </w:pPr>
            <w:r>
              <w:rPr>
                <w:rFonts w:hint="eastAsia"/>
                <w:bCs/>
                <w:snapToGrid w:val="0"/>
                <w:color w:val="auto"/>
                <w:kern w:val="0"/>
                <w:sz w:val="24"/>
                <w:lang w:val="en-US" w:eastAsia="zh-CN"/>
              </w:rPr>
              <w:t>原辅料验收：原料进厂时，检验员核对到货物料及其供应商是否在《合格供方名录》范围内，并依据《原辅材料检验／验证规程》的规定对进厂原辅料进行进货检验，同时查验进货物料的批次检验报告。</w:t>
            </w:r>
          </w:p>
          <w:p w14:paraId="228FB68E">
            <w:pPr>
              <w:adjustRightInd w:val="0"/>
              <w:snapToGrid w:val="0"/>
              <w:spacing w:line="360" w:lineRule="auto"/>
              <w:ind w:firstLine="480" w:firstLineChars="200"/>
              <w:rPr>
                <w:rFonts w:hint="default" w:eastAsia="宋体"/>
                <w:bCs/>
                <w:snapToGrid w:val="0"/>
                <w:color w:val="auto"/>
                <w:kern w:val="0"/>
                <w:sz w:val="24"/>
                <w:lang w:val="en-US" w:eastAsia="zh-CN"/>
              </w:rPr>
            </w:pPr>
            <w:r>
              <w:rPr>
                <w:rFonts w:hint="eastAsia"/>
                <w:bCs/>
                <w:snapToGrid w:val="0"/>
                <w:color w:val="auto"/>
                <w:kern w:val="0"/>
                <w:sz w:val="24"/>
                <w:lang w:val="en-US" w:eastAsia="zh-CN"/>
              </w:rPr>
              <w:t>配料：依据《产品配方》使用相应的原辅料进行调配，在调配的过程中应准确称量，同时确保所使用的称量器具在检定有效期内。此过程中会产生粉尘。</w:t>
            </w:r>
          </w:p>
          <w:p w14:paraId="0A375583">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和面：依据产品配方在和面机内加入相应数量的小麦粉、食用盐、葡萄糖、单甘酯、水搅拌10±1min，使之成团。</w:t>
            </w:r>
          </w:p>
          <w:p w14:paraId="5FB95795">
            <w:pPr>
              <w:adjustRightInd w:val="0"/>
              <w:snapToGrid w:val="0"/>
              <w:spacing w:line="360" w:lineRule="auto"/>
              <w:ind w:firstLine="480" w:firstLineChars="200"/>
              <w:rPr>
                <w:rFonts w:hint="default" w:eastAsia="宋体"/>
                <w:bCs/>
                <w:snapToGrid w:val="0"/>
                <w:color w:val="auto"/>
                <w:kern w:val="0"/>
                <w:sz w:val="24"/>
                <w:lang w:val="en-US" w:eastAsia="zh-CN"/>
              </w:rPr>
            </w:pPr>
            <w:r>
              <w:rPr>
                <w:rFonts w:hint="eastAsia"/>
                <w:bCs/>
                <w:snapToGrid w:val="0"/>
                <w:color w:val="auto"/>
                <w:kern w:val="0"/>
                <w:sz w:val="24"/>
                <w:lang w:val="en-US" w:eastAsia="zh-CN"/>
              </w:rPr>
              <w:t>挤压膨化：将面团导入挤压膨化牛筋面机中，通过螺旋定速输送进行输送和挤压膨化，使之成型。此过程会产生噪声。</w:t>
            </w:r>
          </w:p>
          <w:p w14:paraId="66CF43A0">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冷却：经膨化后的牛筋面，通过传送链条进入冷却槽中冷却、润涨。</w:t>
            </w:r>
          </w:p>
          <w:p w14:paraId="3AB7D199">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切断：经冷却后的牛筋面，通过切到分切成长度均匀的面条。</w:t>
            </w:r>
          </w:p>
          <w:p w14:paraId="2F89815D">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滚油：切断后的牛筋面，进入滚筒中滚油，以确保产品不发生粘连现象。</w:t>
            </w:r>
          </w:p>
          <w:p w14:paraId="4F137260">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定量包装：将滚油后的牛筋面以定量的方式装入包装袋内并准确计量。</w:t>
            </w:r>
          </w:p>
          <w:p w14:paraId="06937266">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巴氏杀菌：包装后的产品进入巴氏杀菌水槽中进行杀菌。在控制面版上设定杀菌温度：85-90℃，链条频率：50Hz。</w:t>
            </w:r>
          </w:p>
          <w:p w14:paraId="34621092">
            <w:pPr>
              <w:adjustRightInd w:val="0"/>
              <w:snapToGrid w:val="0"/>
              <w:spacing w:line="360" w:lineRule="auto"/>
              <w:ind w:firstLine="480" w:firstLineChars="200"/>
              <w:rPr>
                <w:rFonts w:hint="eastAsia" w:eastAsia="宋体"/>
                <w:bCs/>
                <w:snapToGrid w:val="0"/>
                <w:color w:val="auto"/>
                <w:kern w:val="0"/>
                <w:sz w:val="24"/>
                <w:lang w:val="en-US" w:eastAsia="zh-CN"/>
              </w:rPr>
            </w:pPr>
            <w:r>
              <w:rPr>
                <w:rFonts w:hint="eastAsia"/>
                <w:bCs/>
                <w:snapToGrid w:val="0"/>
                <w:color w:val="auto"/>
                <w:kern w:val="0"/>
                <w:sz w:val="24"/>
                <w:lang w:val="en-US" w:eastAsia="zh-CN"/>
              </w:rPr>
              <w:t>入库：将冷却后的产品装入周转箱内，转移至冷藏库进行冷藏，库温控制在0-4℃。</w:t>
            </w:r>
          </w:p>
          <w:p w14:paraId="1954ED49">
            <w:pPr>
              <w:tabs>
                <w:tab w:val="left" w:pos="7395"/>
              </w:tabs>
              <w:adjustRightInd w:val="0"/>
              <w:snapToGrid w:val="0"/>
              <w:spacing w:line="360" w:lineRule="auto"/>
              <w:ind w:firstLine="482" w:firstLineChars="200"/>
              <w:rPr>
                <w:rFonts w:hint="eastAsia"/>
                <w:b/>
                <w:bCs/>
                <w:sz w:val="24"/>
                <w:lang w:val="en-US" w:eastAsia="zh-CN"/>
              </w:rPr>
            </w:pPr>
            <w:r>
              <w:rPr>
                <w:rFonts w:hint="eastAsia"/>
                <w:b/>
                <w:bCs/>
                <w:sz w:val="24"/>
                <w:lang w:val="en-US" w:eastAsia="zh-CN"/>
              </w:rPr>
              <w:t>2.2豆制品生产工艺流程</w:t>
            </w:r>
          </w:p>
          <w:p w14:paraId="65462E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工艺流程简述:</w:t>
            </w:r>
          </w:p>
          <w:p w14:paraId="006AF4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清理去杂:人工去除大豆中的杂物和有问题的大豆。</w:t>
            </w:r>
          </w:p>
          <w:p w14:paraId="47FF4A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浸泡:去杂后的大豆用清水浸泡，浸泡时对大豆进行简单清洗。其一是使黄豆充分膨胀便于磨制豆浆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使黄豆组织中蛋白质比较容易地抽提出来；使用真空吸豆机把浸泡好的大豆从浸泡罐内抽出，加入磨豆机中，同时添加水，开始磨浆，磨浆后分离豆浆和豆渣，豆渣中添加少量水再次磨浆、分离，共进行三次。</w:t>
            </w:r>
          </w:p>
          <w:p w14:paraId="133480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煮浆:是将分离出来的豆浆煮熟，豆浆放入煮浆锅内，用</w:t>
            </w:r>
            <w:r>
              <w:rPr>
                <w:rFonts w:hint="eastAsia" w:ascii="宋体" w:hAnsi="宋体" w:cs="宋体"/>
                <w:sz w:val="24"/>
                <w:szCs w:val="24"/>
                <w:lang w:val="en-US" w:eastAsia="zh-CN"/>
              </w:rPr>
              <w:t>点蒸柜</w:t>
            </w:r>
            <w:r>
              <w:rPr>
                <w:rFonts w:hint="eastAsia" w:ascii="宋体" w:hAnsi="宋体" w:eastAsia="宋体" w:cs="宋体"/>
                <w:sz w:val="24"/>
                <w:szCs w:val="24"/>
                <w:lang w:val="en-US" w:eastAsia="zh-CN"/>
              </w:rPr>
              <w:t>蒸汽直接熏煮，温度达到80℃左右。煮浆的目的是提高大豆蛋白的消化率和营养价值，减轻豆腥味。</w:t>
            </w:r>
          </w:p>
          <w:p w14:paraId="2D03BB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内脂豆腐</w:t>
            </w:r>
          </w:p>
          <w:p w14:paraId="5966B2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豆浆冷却至80℃后，加入凝固剂</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内脂</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，冷却成型包装。</w:t>
            </w:r>
          </w:p>
          <w:p w14:paraId="46B23D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卤制豆制品</w:t>
            </w:r>
          </w:p>
          <w:p w14:paraId="469C16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煮沸后豆浆加入卤水点卤，凝结成型后压榨出水分，脱布切成小块，放入锅中加入糖色</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白塘、水、油、卤酱料制成</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进行上色，包装。</w:t>
            </w:r>
          </w:p>
          <w:p w14:paraId="28A675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③油炸豆制品</w:t>
            </w:r>
          </w:p>
          <w:p w14:paraId="34747B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煮沸后豆浆加入卤水点卤，凝结成型后压榨出水分，切成小块，放入锅中炸制，包装。</w:t>
            </w:r>
          </w:p>
          <w:p w14:paraId="49F255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④白豆腐</w:t>
            </w:r>
          </w:p>
          <w:p w14:paraId="00E26C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煮沸后豆浆加入卤水点卤，凝结成型后压榨出水分，切成小块。含水率约85%为老豆腐，90%以上为嫩豆腐。</w:t>
            </w:r>
          </w:p>
          <w:p w14:paraId="69248D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sz w:val="24"/>
                <w:szCs w:val="24"/>
                <w:lang w:val="en-US" w:eastAsia="zh-CN"/>
              </w:rPr>
              <w:t>产污环节分析:设备噪声，油炸废气，卤制废气</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恶臭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，浸泡清洗废气，豆制品压榨废水</w:t>
            </w:r>
            <w:r>
              <w:rPr>
                <w:rFonts w:hint="eastAsia" w:ascii="宋体" w:hAnsi="宋体" w:cs="宋体"/>
                <w:sz w:val="24"/>
                <w:szCs w:val="24"/>
                <w:lang w:val="en-US" w:eastAsia="zh-CN"/>
              </w:rPr>
              <w:t>。</w:t>
            </w:r>
          </w:p>
          <w:p w14:paraId="05545F71">
            <w:pPr>
              <w:keepNext w:val="0"/>
              <w:keepLines w:val="0"/>
              <w:pageBreakBefore w:val="0"/>
              <w:widowControl w:val="0"/>
              <w:tabs>
                <w:tab w:val="left" w:pos="7395"/>
              </w:tabs>
              <w:kinsoku/>
              <w:wordWrap/>
              <w:overflowPunct/>
              <w:topLinePunct w:val="0"/>
              <w:autoSpaceDE/>
              <w:autoSpaceDN/>
              <w:bidi w:val="0"/>
              <w:adjustRightInd w:val="0"/>
              <w:snapToGrid w:val="0"/>
              <w:spacing w:line="360" w:lineRule="auto"/>
              <w:ind w:firstLine="0" w:firstLineChars="0"/>
              <w:textAlignment w:val="auto"/>
              <w:rPr>
                <w:rFonts w:hint="eastAsia"/>
                <w:b/>
                <w:bCs/>
                <w:sz w:val="24"/>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3855720</wp:posOffset>
                      </wp:positionH>
                      <wp:positionV relativeFrom="paragraph">
                        <wp:posOffset>466725</wp:posOffset>
                      </wp:positionV>
                      <wp:extent cx="510540" cy="262255"/>
                      <wp:effectExtent l="4445" t="4445" r="18415" b="19050"/>
                      <wp:wrapNone/>
                      <wp:docPr id="20" name="文本框 20"/>
                      <wp:cNvGraphicFramePr/>
                      <a:graphic xmlns:a="http://schemas.openxmlformats.org/drawingml/2006/main">
                        <a:graphicData uri="http://schemas.microsoft.com/office/word/2010/wordprocessingShape">
                          <wps:wsp>
                            <wps:cNvSpPr txBox="1"/>
                            <wps:spPr>
                              <a:xfrm>
                                <a:off x="5430520" y="2533650"/>
                                <a:ext cx="510540" cy="262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0746F0">
                                  <w:pPr>
                                    <w:keepNext w:val="0"/>
                                    <w:keepLines w:val="0"/>
                                    <w:pageBreakBefore w:val="0"/>
                                    <w:widowControl w:val="0"/>
                                    <w:kinsoku/>
                                    <w:wordWrap/>
                                    <w:overflowPunct/>
                                    <w:topLinePunct w:val="0"/>
                                    <w:bidi w:val="0"/>
                                    <w:adjustRightInd/>
                                    <w:snapToGrid/>
                                    <w:ind w:left="-105" w:leftChars="-50" w:right="-105" w:rightChars="-50"/>
                                    <w:textAlignment w:val="auto"/>
                                    <w:rPr>
                                      <w:rFonts w:hint="eastAsia" w:eastAsia="宋体"/>
                                      <w:sz w:val="21"/>
                                      <w:szCs w:val="21"/>
                                      <w:lang w:val="en-US" w:eastAsia="zh-CN"/>
                                    </w:rPr>
                                  </w:pPr>
                                  <w:r>
                                    <w:rPr>
                                      <w:rFonts w:hint="eastAsia"/>
                                      <w:sz w:val="21"/>
                                      <w:szCs w:val="21"/>
                                      <w:lang w:val="en-US" w:eastAsia="zh-CN"/>
                                    </w:rPr>
                                    <w:t>电蒸柜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6pt;margin-top:36.75pt;height:20.65pt;width:40.2pt;z-index:251661312;mso-width-relative:page;mso-height-relative:page;" fillcolor="#FFFFFF [3201]" filled="t" stroked="t" coordsize="21600,21600" o:gfxdata="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Z&#10;tinXAAAACgEAAA8AAAAAAAAAAQAgAAAAIgAAAGRycy9kb3ducmV2LnhtbFBLAQIUABQAAAAIAIdO&#10;4kA8Pqr8XQIAAMQEAAAOAAAAAAAAAAEAIAAAACYBAABkcnMvZTJvRG9jLnhtbFBLBQYAAAAABgAG&#10;AFkBAAD1BQAAAAA=&#10;">
                      <v:fill on="t" focussize="0,0"/>
                      <v:stroke weight="0.5pt" color="#000000 [3204]" joinstyle="round"/>
                      <v:imagedata o:title=""/>
                      <o:lock v:ext="edit" aspectratio="f"/>
                      <v:textbox>
                        <w:txbxContent>
                          <w:p w14:paraId="700746F0">
                            <w:pPr>
                              <w:keepNext w:val="0"/>
                              <w:keepLines w:val="0"/>
                              <w:pageBreakBefore w:val="0"/>
                              <w:widowControl w:val="0"/>
                              <w:kinsoku/>
                              <w:wordWrap/>
                              <w:overflowPunct/>
                              <w:topLinePunct w:val="0"/>
                              <w:bidi w:val="0"/>
                              <w:adjustRightInd/>
                              <w:snapToGrid/>
                              <w:ind w:left="-105" w:leftChars="-50" w:right="-105" w:rightChars="-50"/>
                              <w:textAlignment w:val="auto"/>
                              <w:rPr>
                                <w:rFonts w:hint="eastAsia" w:eastAsia="宋体"/>
                                <w:sz w:val="21"/>
                                <w:szCs w:val="21"/>
                                <w:lang w:val="en-US" w:eastAsia="zh-CN"/>
                              </w:rPr>
                            </w:pPr>
                            <w:r>
                              <w:rPr>
                                <w:rFonts w:hint="eastAsia"/>
                                <w:sz w:val="21"/>
                                <w:szCs w:val="21"/>
                                <w:lang w:val="en-US" w:eastAsia="zh-CN"/>
                              </w:rPr>
                              <w:t>电蒸柜</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3357880</wp:posOffset>
                      </wp:positionH>
                      <wp:positionV relativeFrom="paragraph">
                        <wp:posOffset>488315</wp:posOffset>
                      </wp:positionV>
                      <wp:extent cx="494030" cy="262255"/>
                      <wp:effectExtent l="0" t="0" r="1270" b="4445"/>
                      <wp:wrapNone/>
                      <wp:docPr id="21" name="文本框 21"/>
                      <wp:cNvGraphicFramePr/>
                      <a:graphic xmlns:a="http://schemas.openxmlformats.org/drawingml/2006/main">
                        <a:graphicData uri="http://schemas.microsoft.com/office/word/2010/wordprocessingShape">
                          <wps:wsp>
                            <wps:cNvSpPr txBox="1"/>
                            <wps:spPr>
                              <a:xfrm>
                                <a:off x="0" y="0"/>
                                <a:ext cx="494030"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D99796">
                                  <w:pPr>
                                    <w:keepNext w:val="0"/>
                                    <w:keepLines w:val="0"/>
                                    <w:pageBreakBefore w:val="0"/>
                                    <w:widowControl w:val="0"/>
                                    <w:kinsoku/>
                                    <w:wordWrap/>
                                    <w:overflowPunct/>
                                    <w:topLinePunct w:val="0"/>
                                    <w:bidi w:val="0"/>
                                    <w:adjustRightInd/>
                                    <w:snapToGrid/>
                                    <w:ind w:left="-105" w:leftChars="-50" w:right="-105" w:rightChars="-50"/>
                                    <w:textAlignment w:val="auto"/>
                                    <w:rPr>
                                      <w:rFonts w:hint="default" w:eastAsia="宋体"/>
                                      <w:sz w:val="21"/>
                                      <w:szCs w:val="21"/>
                                      <w:lang w:val="en-US" w:eastAsia="zh-CN"/>
                                    </w:rPr>
                                  </w:pPr>
                                  <w:r>
                                    <w:rPr>
                                      <w:rFonts w:hint="eastAsia"/>
                                      <w:sz w:val="21"/>
                                      <w:szCs w:val="21"/>
                                      <w:lang w:val="en-US" w:eastAsia="zh-CN"/>
                                    </w:rPr>
                                    <w:t>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4pt;margin-top:38.45pt;height:20.65pt;width:38.9pt;z-index:251662336;mso-width-relative:page;mso-height-relative:page;" fillcolor="#FFFFFF [3201]" filled="t" stroked="f" coordsize="21600,21600" o:gfxdata="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Sr811AAAAAoBAAAPAAAAAAAA&#10;AAEAIAAAACIAAABkcnMvZG93bnJldi54bWxQSwECFAAUAAAACACHTuJAjgVsWU8CAACQBAAADgAA&#10;AAAAAAABACAAAAAjAQAAZHJzL2Uyb0RvYy54bWxQSwUGAAAAAAYABgBZAQAA5AUAAAAA&#10;">
                      <v:fill on="t" focussize="0,0"/>
                      <v:stroke on="f" weight="0.5pt"/>
                      <v:imagedata o:title=""/>
                      <o:lock v:ext="edit" aspectratio="f"/>
                      <v:textbox>
                        <w:txbxContent>
                          <w:p w14:paraId="3AD99796">
                            <w:pPr>
                              <w:keepNext w:val="0"/>
                              <w:keepLines w:val="0"/>
                              <w:pageBreakBefore w:val="0"/>
                              <w:widowControl w:val="0"/>
                              <w:kinsoku/>
                              <w:wordWrap/>
                              <w:overflowPunct/>
                              <w:topLinePunct w:val="0"/>
                              <w:bidi w:val="0"/>
                              <w:adjustRightInd/>
                              <w:snapToGrid/>
                              <w:ind w:left="-105" w:leftChars="-50" w:right="-105" w:rightChars="-50"/>
                              <w:textAlignment w:val="auto"/>
                              <w:rPr>
                                <w:rFonts w:hint="default" w:eastAsia="宋体"/>
                                <w:sz w:val="21"/>
                                <w:szCs w:val="21"/>
                                <w:lang w:val="en-US" w:eastAsia="zh-CN"/>
                              </w:rPr>
                            </w:pPr>
                            <w:r>
                              <w:rPr>
                                <w:rFonts w:hint="eastAsia"/>
                                <w:sz w:val="21"/>
                                <w:szCs w:val="21"/>
                                <w:lang w:val="en-US" w:eastAsia="zh-CN"/>
                              </w:rPr>
                              <w:t>电</w:t>
                            </w:r>
                          </w:p>
                        </w:txbxContent>
                      </v:textbox>
                    </v:shape>
                  </w:pict>
                </mc:Fallback>
              </mc:AlternateContent>
            </w:r>
            <w:r>
              <w:drawing>
                <wp:inline distT="0" distB="0" distL="114300" distR="114300">
                  <wp:extent cx="4650740" cy="4340860"/>
                  <wp:effectExtent l="0" t="0" r="16510" b="2540"/>
                  <wp:docPr id="1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
                          <pic:cNvPicPr>
                            <a:picLocks noChangeAspect="1"/>
                          </pic:cNvPicPr>
                        </pic:nvPicPr>
                        <pic:blipFill>
                          <a:blip r:embed="rId13"/>
                          <a:stretch>
                            <a:fillRect/>
                          </a:stretch>
                        </pic:blipFill>
                        <pic:spPr>
                          <a:xfrm>
                            <a:off x="0" y="0"/>
                            <a:ext cx="4650740" cy="4340860"/>
                          </a:xfrm>
                          <a:prstGeom prst="rect">
                            <a:avLst/>
                          </a:prstGeom>
                          <a:noFill/>
                          <a:ln>
                            <a:noFill/>
                          </a:ln>
                        </pic:spPr>
                      </pic:pic>
                    </a:graphicData>
                  </a:graphic>
                </wp:inline>
              </w:drawing>
            </w:r>
          </w:p>
          <w:p w14:paraId="3327B32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宋体" w:hAnsi="宋体" w:eastAsia="宋体" w:cs="宋体"/>
                <w:b/>
                <w:bCs/>
                <w:lang w:val="en-US" w:eastAsia="zh-CN"/>
              </w:rPr>
            </w:pPr>
            <w:r>
              <w:rPr>
                <w:rFonts w:hint="eastAsia" w:ascii="宋体" w:hAnsi="宋体" w:eastAsia="宋体" w:cs="宋体"/>
                <w:b/>
                <w:bCs/>
                <w:lang w:val="en-US" w:eastAsia="zh-CN"/>
              </w:rPr>
              <w:t>图</w:t>
            </w:r>
            <w:r>
              <w:rPr>
                <w:rFonts w:hint="eastAsia" w:ascii="宋体" w:hAnsi="宋体" w:cs="宋体"/>
                <w:b/>
                <w:bCs/>
                <w:lang w:val="en-US" w:eastAsia="zh-CN"/>
              </w:rPr>
              <w:t xml:space="preserve">4    </w:t>
            </w:r>
            <w:r>
              <w:rPr>
                <w:rFonts w:hint="eastAsia" w:ascii="宋体" w:hAnsi="宋体" w:eastAsia="宋体" w:cs="宋体"/>
                <w:b/>
                <w:bCs/>
                <w:lang w:val="en-US" w:eastAsia="zh-CN"/>
              </w:rPr>
              <w:t>豆制品生产工艺流程及产污环节图</w:t>
            </w:r>
          </w:p>
          <w:p w14:paraId="1008B8B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p>
          <w:p w14:paraId="5178AF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p>
          <w:p w14:paraId="7126F62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p>
          <w:p w14:paraId="2DBCCD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sz w:val="24"/>
                <w:szCs w:val="24"/>
                <w:lang w:val="en-US" w:eastAsia="zh-CN"/>
              </w:rPr>
            </w:pPr>
          </w:p>
          <w:p w14:paraId="60AEAE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2.3</w:t>
            </w:r>
            <w:r>
              <w:rPr>
                <w:rFonts w:hint="eastAsia" w:ascii="宋体" w:hAnsi="宋体" w:eastAsia="宋体" w:cs="宋体"/>
                <w:b/>
                <w:bCs/>
                <w:sz w:val="24"/>
                <w:szCs w:val="24"/>
                <w:lang w:val="en-US" w:eastAsia="zh-CN"/>
              </w:rPr>
              <w:t>卤制品生产工艺</w:t>
            </w:r>
          </w:p>
          <w:p w14:paraId="466ECB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drawing>
                <wp:inline distT="0" distB="0" distL="114300" distR="114300">
                  <wp:extent cx="4474845" cy="1493520"/>
                  <wp:effectExtent l="0" t="0" r="1905" b="11430"/>
                  <wp:docPr id="1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2"/>
                          <pic:cNvPicPr>
                            <a:picLocks noChangeAspect="1"/>
                          </pic:cNvPicPr>
                        </pic:nvPicPr>
                        <pic:blipFill>
                          <a:blip r:embed="rId14"/>
                          <a:stretch>
                            <a:fillRect/>
                          </a:stretch>
                        </pic:blipFill>
                        <pic:spPr>
                          <a:xfrm>
                            <a:off x="0" y="0"/>
                            <a:ext cx="4474845" cy="1493520"/>
                          </a:xfrm>
                          <a:prstGeom prst="rect">
                            <a:avLst/>
                          </a:prstGeom>
                          <a:noFill/>
                          <a:ln>
                            <a:noFill/>
                          </a:ln>
                        </pic:spPr>
                      </pic:pic>
                    </a:graphicData>
                  </a:graphic>
                </wp:inline>
              </w:drawing>
            </w:r>
          </w:p>
          <w:p w14:paraId="7D34587E">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eastAsia="宋体"/>
                <w:b/>
                <w:bCs/>
                <w:sz w:val="21"/>
                <w:szCs w:val="21"/>
                <w:lang w:val="en-US" w:eastAsia="zh-CN"/>
              </w:rPr>
            </w:pPr>
            <w:r>
              <w:rPr>
                <w:rFonts w:hint="eastAsia" w:ascii="宋体" w:hAnsi="宋体" w:cs="宋体"/>
                <w:b/>
                <w:bCs/>
                <w:sz w:val="21"/>
                <w:szCs w:val="21"/>
                <w:lang w:val="en-US" w:eastAsia="zh-CN"/>
              </w:rPr>
              <w:t>图5   卤制品生产加工流程图</w:t>
            </w:r>
          </w:p>
          <w:p w14:paraId="70F913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工艺流程简述:采购原料为冷冻的猪蹄、鸭翅、鸡翅、鸭腿等经自然解冻后，将蒸煮槽加入清水，打开蒸汽阀门加热到100°C</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将盛有原材料的娄网置于沸水槽内蒸煮3分钟左右，取出沥水降温后使用压榨机或人工修建。将肉材料与调制好的配料搅拌混合后，在卤制槽内倒入配好的卤汤，进行加热40分钟左右起锅，放入烘烤机内烘烤，去除水分达到紧化干燥的效果后进行真空包装和杀菌，分拣装箱入库。</w:t>
            </w:r>
          </w:p>
          <w:p w14:paraId="1DA06F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产污环节分析:蒸煮废水，修剪固废、废卤渣、原材料精选产生的固废、设备噪声</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调味剂恶臭。</w:t>
            </w:r>
          </w:p>
          <w:p w14:paraId="0ED66D8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2.4牛、羊杂生产工艺流程图</w:t>
            </w:r>
          </w:p>
          <w:p w14:paraId="2F9397B8">
            <w:pPr>
              <w:pStyle w:val="38"/>
              <w:jc w:val="center"/>
              <w:rPr>
                <w:rFonts w:hint="default"/>
                <w:lang w:val="en-US" w:eastAsia="zh-CN"/>
              </w:rPr>
            </w:pPr>
            <w:r>
              <w:drawing>
                <wp:inline distT="0" distB="0" distL="114300" distR="114300">
                  <wp:extent cx="2466340" cy="3458845"/>
                  <wp:effectExtent l="0" t="0" r="1016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466340" cy="3458845"/>
                          </a:xfrm>
                          <a:prstGeom prst="rect">
                            <a:avLst/>
                          </a:prstGeom>
                          <a:noFill/>
                          <a:ln>
                            <a:noFill/>
                          </a:ln>
                        </pic:spPr>
                      </pic:pic>
                    </a:graphicData>
                  </a:graphic>
                </wp:inline>
              </w:drawing>
            </w:r>
          </w:p>
          <w:p w14:paraId="520BD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7271321C">
            <w:pPr>
              <w:keepNext w:val="0"/>
              <w:keepLines w:val="0"/>
              <w:suppressLineNumbers w:val="0"/>
              <w:spacing w:before="0" w:beforeAutospacing="0" w:after="0" w:afterAutospacing="0" w:line="360" w:lineRule="auto"/>
              <w:ind w:left="0" w:right="0"/>
              <w:jc w:val="center"/>
              <w:rPr>
                <w:rFonts w:hint="eastAsia" w:ascii="宋体" w:hAnsi="宋体" w:eastAsia="宋体" w:cs="宋体"/>
                <w:sz w:val="24"/>
                <w:szCs w:val="24"/>
                <w:lang w:val="en-US" w:eastAsia="zh-CN"/>
              </w:rPr>
            </w:pPr>
            <w:r>
              <w:rPr>
                <w:rFonts w:hint="eastAsia"/>
                <w:b/>
              </w:rPr>
              <w:t>图</w:t>
            </w:r>
            <w:r>
              <w:rPr>
                <w:rFonts w:hint="eastAsia"/>
                <w:b/>
                <w:lang w:val="en-US" w:eastAsia="zh-CN"/>
              </w:rPr>
              <w:t xml:space="preserve">6   </w:t>
            </w:r>
            <w:r>
              <w:rPr>
                <w:rFonts w:hint="eastAsia"/>
                <w:b/>
              </w:rPr>
              <w:t>牛、羊杂生产流程及产污环节示意图</w:t>
            </w:r>
          </w:p>
          <w:p w14:paraId="56AB69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将外购挑选合格的牛杂、羊杂清洗干净，放入锅内加入调配好的各种调料煮炖，煮炖完毕后晾凉，分割，进行包装，入库。</w:t>
            </w:r>
          </w:p>
          <w:p w14:paraId="039698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eastAsia="宋体" w:cs="宋体"/>
                <w:sz w:val="24"/>
                <w:szCs w:val="24"/>
                <w:lang w:val="en-US" w:eastAsia="zh-CN"/>
              </w:rPr>
              <w:t>每天有设备</w:t>
            </w:r>
            <w:r>
              <w:rPr>
                <w:rFonts w:hint="eastAsia" w:ascii="宋体" w:hAnsi="宋体" w:cs="宋体"/>
                <w:sz w:val="24"/>
                <w:szCs w:val="24"/>
                <w:lang w:val="en-US" w:eastAsia="zh-CN"/>
              </w:rPr>
              <w:t>擦洗废水</w:t>
            </w:r>
            <w:r>
              <w:rPr>
                <w:rFonts w:hint="eastAsia" w:ascii="宋体" w:hAnsi="宋体" w:eastAsia="宋体" w:cs="宋体"/>
                <w:sz w:val="24"/>
                <w:szCs w:val="24"/>
                <w:lang w:val="en-US" w:eastAsia="zh-CN"/>
              </w:rPr>
              <w:t>、车间地面</w:t>
            </w:r>
            <w:r>
              <w:rPr>
                <w:rFonts w:hint="eastAsia" w:ascii="宋体" w:hAnsi="宋体" w:cs="宋体"/>
                <w:sz w:val="24"/>
                <w:szCs w:val="24"/>
                <w:lang w:val="en-US" w:eastAsia="zh-CN"/>
              </w:rPr>
              <w:t>擦洗废水</w:t>
            </w:r>
            <w:r>
              <w:rPr>
                <w:rFonts w:hint="eastAsia" w:ascii="宋体" w:hAnsi="宋体" w:eastAsia="宋体" w:cs="宋体"/>
                <w:sz w:val="24"/>
                <w:szCs w:val="24"/>
                <w:lang w:val="en-US" w:eastAsia="zh-CN"/>
              </w:rPr>
              <w:t>、生活污水，废包装材料，不合格产品产生。</w:t>
            </w:r>
          </w:p>
          <w:p w14:paraId="077E512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2.5酸奶、奶制品生产工艺流程图</w:t>
            </w:r>
          </w:p>
          <w:p w14:paraId="2BA4FB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奶制品生产工艺简述如下：</w:t>
            </w:r>
          </w:p>
          <w:p w14:paraId="5EB8C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进厂原料乳按照标准要求对嗅觉、味觉、外观、尘埃、温度、酒精、酸度、比重、脂肪率和细菌数等感官、理化、生物指标进行严格检验，合格原料后通过过滤与净化处理，以排除鲜乳中的机械杂质，并可减少乳中的一部分上皮细胞、白血球和细菌等生物、生理杂质，以利于提高产品的色、香、味品质档次，并降低牛乳中微生物的原始数量。净乳处理后原料乳经板式换热器冷却至4℃℃，送贮存缸暂存，以保持在投入生产前牛乳的质量。由贮存缸进入生产线的原料乳经标准化后，通过预热，将乳温提高到 50~65℃℃，即达到均质温度后，送均质机均质处理。均质乳再次进入板式换热器加热段，迅速升温至135℃C以上，并保持4秒钟，完成牛乳的杀菌处理。</w:t>
            </w:r>
          </w:p>
          <w:p w14:paraId="681CBF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完成上述工艺后:</w:t>
            </w:r>
          </w:p>
          <w:p w14:paraId="4BB80B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①灭菌奶:再经超高温灭菌后，经无菌管道引至无菌灌装机，进行无菌灌装后，即可装箱、入库或出厂。</w:t>
            </w:r>
          </w:p>
          <w:p w14:paraId="0C61C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②巴氏杀菌乳:进入板式换热器冷却段，与进入系统的低温奶实现热交换，降温至 20℃℃，经无菌管道引至无菌灌装机，进行无菌灌装后，即可装箱、入库或出厂</w:t>
            </w:r>
          </w:p>
          <w:p w14:paraId="283EBC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工艺流程详见图7。</w:t>
            </w:r>
          </w:p>
          <w:p w14:paraId="586358D1">
            <w:pPr>
              <w:pStyle w:val="2"/>
              <w:keepNext w:val="0"/>
              <w:keepLines w:val="0"/>
              <w:pageBreakBefore w:val="0"/>
              <w:widowControl w:val="0"/>
              <w:kinsoku/>
              <w:wordWrap/>
              <w:overflowPunct/>
              <w:topLinePunct w:val="0"/>
              <w:autoSpaceDE/>
              <w:autoSpaceDN/>
              <w:bidi w:val="0"/>
              <w:adjustRightInd/>
              <w:snapToGrid/>
              <w:ind w:left="0" w:leftChars="0" w:firstLine="0"/>
              <w:textAlignment w:val="auto"/>
              <w:rPr>
                <w:rFonts w:hint="eastAsia"/>
                <w:lang w:val="en-US" w:eastAsia="zh-CN"/>
              </w:rPr>
            </w:pPr>
            <w:r>
              <w:drawing>
                <wp:inline distT="0" distB="0" distL="114300" distR="114300">
                  <wp:extent cx="5062855" cy="2790825"/>
                  <wp:effectExtent l="0" t="0" r="444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062855" cy="2790825"/>
                          </a:xfrm>
                          <a:prstGeom prst="rect">
                            <a:avLst/>
                          </a:prstGeom>
                          <a:noFill/>
                          <a:ln>
                            <a:noFill/>
                          </a:ln>
                        </pic:spPr>
                      </pic:pic>
                    </a:graphicData>
                  </a:graphic>
                </wp:inline>
              </w:drawing>
            </w:r>
          </w:p>
          <w:p w14:paraId="2FB17D7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b/>
                <w:bCs/>
                <w:color w:val="auto"/>
                <w:sz w:val="24"/>
                <w:szCs w:val="24"/>
                <w:lang w:val="en-US" w:eastAsia="zh-CN"/>
              </w:rPr>
            </w:pPr>
            <w:r>
              <w:rPr>
                <w:rFonts w:hint="eastAsia"/>
                <w:b/>
                <w:bCs/>
                <w:color w:val="auto"/>
                <w:sz w:val="24"/>
                <w:szCs w:val="24"/>
                <w:lang w:val="en-US" w:eastAsia="zh-CN"/>
              </w:rPr>
              <w:t>图7   灭菌奶产品生产工艺流程图</w:t>
            </w:r>
          </w:p>
          <w:p w14:paraId="70DF0C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（2）酸奶生产工艺简述:</w:t>
            </w:r>
          </w:p>
          <w:p w14:paraId="69215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进厂原料乳按照标准要求对嗅觉、味觉、外观、尘埃、温度、酒精、酸度比重、脂肪率和细菌数等感官、理化、生物指标进行严格检验，合格原料后通过过滤与净化处理，以排除鲜乳中的机械杂质，并可减少乳中的一部分上皮细胞白血球和细菌等生物、生理杂质，以利于提高产品的色、香、味品质档次，并降低牛乳中微生物的原始数量。</w:t>
            </w:r>
          </w:p>
          <w:p w14:paraId="1643B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从贮存缸进入生产线的新鲜乳经标准化处理，使乳干物质含量（TS）达到11.5%以上，再预热至60~65℃C后，进行均质处理，然后经95~100℃，5min杀菌处理。</w:t>
            </w:r>
          </w:p>
          <w:p w14:paraId="24D11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完成上述工艺后:</w:t>
            </w:r>
          </w:p>
          <w:p w14:paraId="1C578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①调制乳（奶制品）:将巴氏灭菌后的牛奶储存，再经超高温灭菌后，经无菌管道引至无菌灌装机，进行无菌灌装后，即可装箱、入库或出厂。</w:t>
            </w:r>
          </w:p>
          <w:p w14:paraId="43C17C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②酸奶:将巴氏灭菌后的牛奶进迅速冷却至45℃，接种1~3%的发酵剂，在发酵罐保温12℃~43℃，发酵4h，PH值降至4.2以下。发酵结束，冷却至10℃℃，即可作为灌装主剂送屋顶型包装机灌装。灌装时用无菌冷却水稀释主剂至规定浓度，注入无菌屋项型纸包装盒，封口后送冷库等待外售，冷库制冷剂为R-507。停留时间约12h，生产时间约8h。</w:t>
            </w:r>
          </w:p>
          <w:p w14:paraId="06D14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工艺流程详见图8。</w:t>
            </w:r>
          </w:p>
          <w:p w14:paraId="294C8B6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sz w:val="24"/>
                <w:szCs w:val="24"/>
                <w:lang w:val="en-US" w:eastAsia="zh-CN"/>
              </w:rPr>
            </w:pPr>
            <w:r>
              <w:rPr>
                <w:color w:val="auto"/>
              </w:rPr>
              <w:drawing>
                <wp:inline distT="0" distB="0" distL="114300" distR="114300">
                  <wp:extent cx="5060315" cy="2458720"/>
                  <wp:effectExtent l="0" t="0" r="6985" b="177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060315" cy="2458720"/>
                          </a:xfrm>
                          <a:prstGeom prst="rect">
                            <a:avLst/>
                          </a:prstGeom>
                          <a:noFill/>
                          <a:ln>
                            <a:noFill/>
                          </a:ln>
                        </pic:spPr>
                      </pic:pic>
                    </a:graphicData>
                  </a:graphic>
                </wp:inline>
              </w:drawing>
            </w:r>
          </w:p>
          <w:p w14:paraId="4EB0491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rPr>
            </w:pPr>
            <w:r>
              <w:rPr>
                <w:rFonts w:hint="eastAsia"/>
                <w:b/>
                <w:bCs/>
                <w:color w:val="auto"/>
                <w:sz w:val="24"/>
                <w:szCs w:val="24"/>
                <w:lang w:val="en-US" w:eastAsia="zh-CN"/>
              </w:rPr>
              <w:t>图8调制乳（奶制品）生产工艺流程           酸奶生产工艺流程</w:t>
            </w:r>
          </w:p>
          <w:p w14:paraId="170BDAE4">
            <w:pPr>
              <w:autoSpaceDE w:val="0"/>
              <w:autoSpaceDN w:val="0"/>
              <w:adjustRightInd w:val="0"/>
              <w:snapToGrid w:val="0"/>
              <w:spacing w:line="360" w:lineRule="auto"/>
              <w:rPr>
                <w:b/>
                <w:bCs/>
                <w:kern w:val="0"/>
                <w:sz w:val="28"/>
                <w:szCs w:val="28"/>
              </w:rPr>
            </w:pPr>
            <w:r>
              <w:rPr>
                <w:b/>
                <w:bCs/>
                <w:kern w:val="0"/>
                <w:sz w:val="28"/>
                <w:szCs w:val="28"/>
              </w:rPr>
              <w:t>3、主要污染工序</w:t>
            </w:r>
          </w:p>
          <w:p w14:paraId="303FF591">
            <w:pPr>
              <w:autoSpaceDE w:val="0"/>
              <w:autoSpaceDN w:val="0"/>
              <w:adjustRightInd w:val="0"/>
              <w:snapToGrid w:val="0"/>
              <w:spacing w:line="360" w:lineRule="auto"/>
              <w:ind w:firstLine="480" w:firstLineChars="200"/>
              <w:rPr>
                <w:sz w:val="24"/>
              </w:rPr>
            </w:pPr>
            <w:r>
              <w:rPr>
                <w:sz w:val="24"/>
              </w:rPr>
              <w:t>本项目主要污染工序</w:t>
            </w:r>
            <w:r>
              <w:rPr>
                <w:rFonts w:hint="eastAsia"/>
                <w:sz w:val="24"/>
              </w:rPr>
              <w:t>如下</w:t>
            </w:r>
            <w:r>
              <w:rPr>
                <w:sz w:val="24"/>
              </w:rPr>
              <w:t>表：</w:t>
            </w:r>
          </w:p>
          <w:p w14:paraId="3E784853">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表2-</w:t>
            </w:r>
            <w:r>
              <w:rPr>
                <w:rFonts w:hint="eastAsia"/>
                <w:color w:val="auto"/>
                <w:lang w:val="en-US" w:eastAsia="zh-CN"/>
              </w:rPr>
              <w:t>5</w:t>
            </w:r>
            <w:r>
              <w:rPr>
                <w:color w:val="auto"/>
              </w:rPr>
              <w:t>主要污染工序汇总</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8"/>
              <w:gridCol w:w="1039"/>
              <w:gridCol w:w="1646"/>
              <w:gridCol w:w="2205"/>
              <w:gridCol w:w="2399"/>
            </w:tblGrid>
            <w:tr w14:paraId="1A6CC6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Align w:val="center"/>
                </w:tcPr>
                <w:p w14:paraId="038F47C0">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b/>
                      <w:bCs/>
                    </w:rPr>
                  </w:pPr>
                  <w:r>
                    <w:rPr>
                      <w:b/>
                      <w:bCs/>
                    </w:rPr>
                    <w:t>污染类别</w:t>
                  </w:r>
                </w:p>
              </w:tc>
              <w:tc>
                <w:tcPr>
                  <w:tcW w:w="651" w:type="pct"/>
                  <w:vAlign w:val="center"/>
                </w:tcPr>
                <w:p w14:paraId="4DD64ABD">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b/>
                      <w:bCs/>
                    </w:rPr>
                  </w:pPr>
                  <w:r>
                    <w:rPr>
                      <w:b/>
                      <w:bCs/>
                    </w:rPr>
                    <w:t>排污环节</w:t>
                  </w:r>
                </w:p>
              </w:tc>
              <w:tc>
                <w:tcPr>
                  <w:tcW w:w="1031" w:type="pct"/>
                  <w:vAlign w:val="center"/>
                </w:tcPr>
                <w:p w14:paraId="0100085C">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b/>
                      <w:bCs/>
                    </w:rPr>
                  </w:pPr>
                  <w:r>
                    <w:rPr>
                      <w:b/>
                      <w:bCs/>
                    </w:rPr>
                    <w:t>污染物</w:t>
                  </w:r>
                </w:p>
              </w:tc>
              <w:tc>
                <w:tcPr>
                  <w:tcW w:w="1382" w:type="pct"/>
                  <w:vAlign w:val="center"/>
                </w:tcPr>
                <w:p w14:paraId="02BB508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b/>
                      <w:bCs/>
                    </w:rPr>
                  </w:pPr>
                  <w:r>
                    <w:rPr>
                      <w:b/>
                      <w:bCs/>
                    </w:rPr>
                    <w:t>污染因子</w:t>
                  </w:r>
                </w:p>
              </w:tc>
              <w:tc>
                <w:tcPr>
                  <w:tcW w:w="1503" w:type="pct"/>
                  <w:vAlign w:val="center"/>
                </w:tcPr>
                <w:p w14:paraId="62AEC4E6">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b/>
                      <w:bCs/>
                    </w:rPr>
                  </w:pPr>
                  <w:r>
                    <w:rPr>
                      <w:b/>
                      <w:bCs/>
                    </w:rPr>
                    <w:t>排放去向及治理措施</w:t>
                  </w:r>
                </w:p>
              </w:tc>
            </w:tr>
            <w:tr w14:paraId="63FE44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restart"/>
                  <w:vAlign w:val="center"/>
                </w:tcPr>
                <w:p w14:paraId="643C4BD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废气</w:t>
                  </w:r>
                </w:p>
              </w:tc>
              <w:tc>
                <w:tcPr>
                  <w:tcW w:w="651" w:type="pct"/>
                  <w:vAlign w:val="center"/>
                </w:tcPr>
                <w:p w14:paraId="17B0738E">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凉皮、牛筋面</w:t>
                  </w:r>
                  <w:r>
                    <w:rPr>
                      <w:rFonts w:hint="eastAsia" w:eastAsia="宋体"/>
                      <w:lang w:val="en-US" w:eastAsia="zh-CN"/>
                    </w:rPr>
                    <w:t>加工</w:t>
                  </w:r>
                </w:p>
              </w:tc>
              <w:tc>
                <w:tcPr>
                  <w:tcW w:w="1031" w:type="pct"/>
                  <w:vAlign w:val="center"/>
                </w:tcPr>
                <w:p w14:paraId="76772AF5">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lang w:val="en-US" w:eastAsia="zh-CN"/>
                    </w:rPr>
                  </w:pPr>
                  <w:r>
                    <w:rPr>
                      <w:rFonts w:hint="eastAsia" w:eastAsia="宋体"/>
                      <w:lang w:val="en-US" w:eastAsia="zh-CN"/>
                    </w:rPr>
                    <w:t>粉尘</w:t>
                  </w:r>
                </w:p>
              </w:tc>
              <w:tc>
                <w:tcPr>
                  <w:tcW w:w="1382" w:type="pct"/>
                  <w:vAlign w:val="center"/>
                </w:tcPr>
                <w:p w14:paraId="6ADE0D5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lang w:val="en-US" w:eastAsia="zh-CN"/>
                    </w:rPr>
                  </w:pPr>
                  <w:r>
                    <w:rPr>
                      <w:rFonts w:hint="eastAsia" w:eastAsia="宋体"/>
                      <w:lang w:val="en-US" w:eastAsia="zh-CN"/>
                    </w:rPr>
                    <w:t>颗粒物</w:t>
                  </w:r>
                </w:p>
              </w:tc>
              <w:tc>
                <w:tcPr>
                  <w:tcW w:w="1503" w:type="pct"/>
                  <w:vAlign w:val="center"/>
                </w:tcPr>
                <w:p w14:paraId="14C82E1B">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eastAsia="宋体"/>
                      <w:lang w:val="en-US" w:eastAsia="zh-CN"/>
                    </w:rPr>
                    <w:t>面粉装卸、搬运、投加过程中轻拿轻放</w:t>
                  </w:r>
                </w:p>
              </w:tc>
            </w:tr>
            <w:tr w14:paraId="2062FF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431" w:type="pct"/>
                  <w:vMerge w:val="continue"/>
                  <w:vAlign w:val="center"/>
                </w:tcPr>
                <w:p w14:paraId="397AF94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404B3EB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污水处理</w:t>
                  </w:r>
                </w:p>
              </w:tc>
              <w:tc>
                <w:tcPr>
                  <w:tcW w:w="1031" w:type="pct"/>
                  <w:vAlign w:val="center"/>
                </w:tcPr>
                <w:p w14:paraId="43A1D9D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rPr>
                      <w:rFonts w:hint="eastAsia"/>
                      <w:lang w:val="en-US" w:eastAsia="zh-CN"/>
                    </w:rPr>
                    <w:t>恶臭气体</w:t>
                  </w:r>
                </w:p>
              </w:tc>
              <w:tc>
                <w:tcPr>
                  <w:tcW w:w="1382" w:type="pct"/>
                  <w:vAlign w:val="center"/>
                </w:tcPr>
                <w:p w14:paraId="525CEA56">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t>硫化氢</w:t>
                  </w:r>
                  <w:r>
                    <w:rPr>
                      <w:rFonts w:hint="eastAsia"/>
                      <w:lang w:eastAsia="zh-CN"/>
                    </w:rPr>
                    <w:t>、</w:t>
                  </w:r>
                  <w:r>
                    <w:t>氨</w:t>
                  </w:r>
                  <w:r>
                    <w:rPr>
                      <w:rFonts w:hint="eastAsia"/>
                      <w:lang w:eastAsia="zh-CN"/>
                    </w:rPr>
                    <w:t>（</w:t>
                  </w:r>
                  <w:r>
                    <w:rPr>
                      <w:rFonts w:hint="eastAsia"/>
                      <w:lang w:val="en-US" w:eastAsia="zh-CN"/>
                    </w:rPr>
                    <w:t>氨气</w:t>
                  </w:r>
                  <w:r>
                    <w:rPr>
                      <w:rFonts w:hint="eastAsia"/>
                      <w:lang w:eastAsia="zh-CN"/>
                    </w:rPr>
                    <w:t>）、</w:t>
                  </w:r>
                  <w:r>
                    <w:rPr>
                      <w:rFonts w:hint="eastAsia"/>
                      <w:lang w:val="en-US" w:eastAsia="zh-CN"/>
                    </w:rPr>
                    <w:t>臭气浓度</w:t>
                  </w:r>
                </w:p>
              </w:tc>
              <w:tc>
                <w:tcPr>
                  <w:tcW w:w="1503" w:type="pct"/>
                  <w:vAlign w:val="center"/>
                </w:tcPr>
                <w:p w14:paraId="39512883">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t>活性炭吸附后通过15m排气筒排放</w:t>
                  </w:r>
                </w:p>
              </w:tc>
            </w:tr>
            <w:tr w14:paraId="3BB53F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500EC999">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5D7D6E35">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蒸煮、熬汤、卤制</w:t>
                  </w:r>
                </w:p>
              </w:tc>
              <w:tc>
                <w:tcPr>
                  <w:tcW w:w="1031" w:type="pct"/>
                  <w:vAlign w:val="center"/>
                </w:tcPr>
                <w:p w14:paraId="64F7E480">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异味（臭气浓度）</w:t>
                  </w:r>
                </w:p>
              </w:tc>
              <w:tc>
                <w:tcPr>
                  <w:tcW w:w="1382" w:type="pct"/>
                  <w:vAlign w:val="center"/>
                </w:tcPr>
                <w:p w14:paraId="7B2CDE0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臭气浓度</w:t>
                  </w:r>
                </w:p>
              </w:tc>
              <w:tc>
                <w:tcPr>
                  <w:tcW w:w="1503" w:type="pct"/>
                  <w:vAlign w:val="center"/>
                </w:tcPr>
                <w:p w14:paraId="65E8AC6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操作间安装排气扇</w:t>
                  </w:r>
                </w:p>
              </w:tc>
            </w:tr>
            <w:tr w14:paraId="0715C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36932CD3">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628C1528">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lang w:eastAsia="zh-CN"/>
                    </w:rPr>
                  </w:pPr>
                  <w:r>
                    <w:rPr>
                      <w:rFonts w:hint="eastAsia"/>
                      <w:lang w:val="en-US" w:eastAsia="zh-CN"/>
                    </w:rPr>
                    <w:t>炒制</w:t>
                  </w:r>
                </w:p>
              </w:tc>
              <w:tc>
                <w:tcPr>
                  <w:tcW w:w="1031" w:type="pct"/>
                  <w:vAlign w:val="center"/>
                </w:tcPr>
                <w:p w14:paraId="6CE5876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color w:val="auto"/>
                      <w:lang w:eastAsia="zh-CN"/>
                    </w:rPr>
                  </w:pPr>
                  <w:r>
                    <w:rPr>
                      <w:rFonts w:hint="eastAsia"/>
                      <w:color w:val="auto"/>
                      <w:lang w:val="en-US" w:eastAsia="zh-CN"/>
                    </w:rPr>
                    <w:t>油烟</w:t>
                  </w:r>
                </w:p>
              </w:tc>
              <w:tc>
                <w:tcPr>
                  <w:tcW w:w="1382" w:type="pct"/>
                  <w:vAlign w:val="center"/>
                </w:tcPr>
                <w:p w14:paraId="7A17EDF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color w:val="auto"/>
                      <w:lang w:eastAsia="zh-CN"/>
                    </w:rPr>
                  </w:pPr>
                  <w:r>
                    <w:rPr>
                      <w:rFonts w:hint="eastAsia"/>
                      <w:color w:val="auto"/>
                      <w:lang w:val="en-US" w:eastAsia="zh-CN"/>
                    </w:rPr>
                    <w:t>油烟</w:t>
                  </w:r>
                </w:p>
              </w:tc>
              <w:tc>
                <w:tcPr>
                  <w:tcW w:w="1503" w:type="pct"/>
                  <w:vAlign w:val="center"/>
                </w:tcPr>
                <w:p w14:paraId="223CABF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集气罩收集后经油烟净化器净化处理后经专用烟道屋顶排放</w:t>
                  </w:r>
                </w:p>
              </w:tc>
            </w:tr>
            <w:tr w14:paraId="344BAA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restart"/>
                  <w:vAlign w:val="center"/>
                </w:tcPr>
                <w:p w14:paraId="69C211F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废水</w:t>
                  </w:r>
                </w:p>
              </w:tc>
              <w:tc>
                <w:tcPr>
                  <w:tcW w:w="651" w:type="pct"/>
                  <w:vAlign w:val="center"/>
                </w:tcPr>
                <w:p w14:paraId="57A87CC6">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lang w:val="en-US"/>
                    </w:rPr>
                  </w:pPr>
                  <w:r>
                    <w:rPr>
                      <w:rFonts w:hint="eastAsia" w:ascii="宋体" w:hAnsi="宋体" w:cs="宋体"/>
                      <w:i w:val="0"/>
                      <w:iCs w:val="0"/>
                      <w:color w:val="000000"/>
                      <w:kern w:val="0"/>
                      <w:sz w:val="21"/>
                      <w:szCs w:val="21"/>
                      <w:u w:val="none"/>
                      <w:lang w:val="en-US" w:eastAsia="zh-CN" w:bidi="ar"/>
                    </w:rPr>
                    <w:t>生活污水</w:t>
                  </w:r>
                </w:p>
              </w:tc>
              <w:tc>
                <w:tcPr>
                  <w:tcW w:w="1031" w:type="pct"/>
                  <w:vAlign w:val="center"/>
                </w:tcPr>
                <w:p w14:paraId="21ED8A9E">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color w:val="auto"/>
                      <w:lang w:val="en-US" w:eastAsia="zh-CN"/>
                    </w:rPr>
                  </w:pPr>
                  <w:r>
                    <w:rPr>
                      <w:rFonts w:hint="eastAsia"/>
                      <w:color w:val="auto"/>
                      <w:lang w:val="en-US" w:eastAsia="zh-CN"/>
                    </w:rPr>
                    <w:t>生活污水</w:t>
                  </w:r>
                </w:p>
              </w:tc>
              <w:tc>
                <w:tcPr>
                  <w:tcW w:w="1382" w:type="pct"/>
                  <w:vAlign w:val="center"/>
                </w:tcPr>
                <w:p w14:paraId="413CA08D">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PH、COD</w:t>
                  </w:r>
                  <w:r>
                    <w:rPr>
                      <w:rFonts w:hint="eastAsia"/>
                      <w:color w:val="auto"/>
                      <w:lang w:val="en-US" w:eastAsia="zh-CN"/>
                    </w:rPr>
                    <w:t>cr</w:t>
                  </w:r>
                  <w:r>
                    <w:rPr>
                      <w:color w:val="auto"/>
                    </w:rPr>
                    <w:t>、BOD</w:t>
                  </w:r>
                  <w:r>
                    <w:rPr>
                      <w:color w:val="auto"/>
                      <w:vertAlign w:val="subscript"/>
                    </w:rPr>
                    <w:t>5</w:t>
                  </w:r>
                  <w:r>
                    <w:rPr>
                      <w:color w:val="auto"/>
                    </w:rPr>
                    <w:t>、SS、氨氮</w:t>
                  </w:r>
                </w:p>
              </w:tc>
              <w:tc>
                <w:tcPr>
                  <w:tcW w:w="1503" w:type="pct"/>
                  <w:vAlign w:val="center"/>
                </w:tcPr>
                <w:p w14:paraId="3D6F9275">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lang w:val="en-US"/>
                    </w:rPr>
                  </w:pPr>
                  <w:r>
                    <w:rPr>
                      <w:rFonts w:hint="eastAsia"/>
                      <w:lang w:val="en-US" w:eastAsia="zh-CN"/>
                    </w:rPr>
                    <w:t>经化粪池沉淀后排入配套污水处理站</w:t>
                  </w:r>
                </w:p>
              </w:tc>
            </w:tr>
            <w:tr w14:paraId="0B5C3D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3C74374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47B102C8">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lang w:val="en-US" w:eastAsia="zh-CN"/>
                    </w:rPr>
                  </w:pPr>
                  <w:r>
                    <w:rPr>
                      <w:rFonts w:hint="eastAsia"/>
                      <w:lang w:val="en-US" w:eastAsia="zh-CN"/>
                    </w:rPr>
                    <w:t>原料清洗</w:t>
                  </w:r>
                </w:p>
              </w:tc>
              <w:tc>
                <w:tcPr>
                  <w:tcW w:w="1031" w:type="pct"/>
                  <w:vAlign w:val="center"/>
                </w:tcPr>
                <w:p w14:paraId="069DA0C0">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color w:val="auto"/>
                    </w:rPr>
                  </w:pPr>
                  <w:r>
                    <w:rPr>
                      <w:rFonts w:hint="eastAsia" w:ascii="宋体" w:hAnsi="宋体" w:eastAsia="宋体" w:cs="宋体"/>
                      <w:i w:val="0"/>
                      <w:iCs w:val="0"/>
                      <w:color w:val="auto"/>
                      <w:kern w:val="0"/>
                      <w:sz w:val="21"/>
                      <w:szCs w:val="21"/>
                      <w:u w:val="none"/>
                      <w:lang w:val="en-US" w:eastAsia="zh-CN" w:bidi="ar"/>
                    </w:rPr>
                    <w:t>原料清洗</w:t>
                  </w:r>
                  <w:r>
                    <w:rPr>
                      <w:rFonts w:hint="eastAsia" w:ascii="宋体" w:hAnsi="宋体" w:cs="宋体"/>
                      <w:i w:val="0"/>
                      <w:iCs w:val="0"/>
                      <w:color w:val="auto"/>
                      <w:kern w:val="0"/>
                      <w:sz w:val="21"/>
                      <w:szCs w:val="21"/>
                      <w:u w:val="none"/>
                      <w:lang w:val="en-US" w:eastAsia="zh-CN" w:bidi="ar"/>
                    </w:rPr>
                    <w:t>废水</w:t>
                  </w:r>
                </w:p>
              </w:tc>
              <w:tc>
                <w:tcPr>
                  <w:tcW w:w="1382" w:type="pct"/>
                  <w:vAlign w:val="center"/>
                </w:tcPr>
                <w:p w14:paraId="244D348D">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color w:val="auto"/>
                      <w:lang w:val="en-US" w:eastAsia="zh-CN"/>
                    </w:rPr>
                  </w:pPr>
                  <w:r>
                    <w:rPr>
                      <w:color w:val="auto"/>
                    </w:rPr>
                    <w:t>PH、氨氮、COD</w:t>
                  </w:r>
                  <w:r>
                    <w:rPr>
                      <w:rFonts w:hint="eastAsia"/>
                      <w:color w:val="auto"/>
                      <w:lang w:val="en-US" w:eastAsia="zh-CN"/>
                    </w:rPr>
                    <w:t>cr</w:t>
                  </w:r>
                  <w:r>
                    <w:rPr>
                      <w:color w:val="auto"/>
                    </w:rPr>
                    <w:t>、BOD</w:t>
                  </w:r>
                  <w:r>
                    <w:rPr>
                      <w:color w:val="auto"/>
                      <w:vertAlign w:val="subscript"/>
                    </w:rPr>
                    <w:t>5</w:t>
                  </w:r>
                  <w:r>
                    <w:rPr>
                      <w:color w:val="auto"/>
                    </w:rPr>
                    <w:t>、SS</w:t>
                  </w:r>
                  <w:r>
                    <w:rPr>
                      <w:rFonts w:hint="eastAsia"/>
                      <w:color w:val="auto"/>
                      <w:lang w:eastAsia="zh-CN"/>
                    </w:rPr>
                    <w:t>、</w:t>
                  </w:r>
                  <w:r>
                    <w:rPr>
                      <w:rFonts w:hint="eastAsia"/>
                      <w:color w:val="auto"/>
                      <w:lang w:val="en-US" w:eastAsia="zh-CN"/>
                    </w:rPr>
                    <w:t>动植物油</w:t>
                  </w:r>
                </w:p>
              </w:tc>
              <w:tc>
                <w:tcPr>
                  <w:tcW w:w="1503" w:type="pct"/>
                  <w:vAlign w:val="center"/>
                </w:tcPr>
                <w:p w14:paraId="3BBC1118">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经隔油池+本项目配套污水处理站</w:t>
                  </w:r>
                </w:p>
              </w:tc>
            </w:tr>
            <w:tr w14:paraId="68833E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69FC692D">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0B2F1C0D">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lang w:val="en-US" w:eastAsia="zh-CN"/>
                    </w:rPr>
                  </w:pPr>
                  <w:r>
                    <w:rPr>
                      <w:rFonts w:hint="eastAsia"/>
                      <w:lang w:val="en-US" w:eastAsia="zh-CN"/>
                    </w:rPr>
                    <w:t>食品浸泡</w:t>
                  </w:r>
                </w:p>
              </w:tc>
              <w:tc>
                <w:tcPr>
                  <w:tcW w:w="1031" w:type="pct"/>
                  <w:vAlign w:val="center"/>
                </w:tcPr>
                <w:p w14:paraId="6568D439">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color w:val="auto"/>
                      <w:lang w:val="en-US"/>
                    </w:rPr>
                  </w:pPr>
                  <w:r>
                    <w:rPr>
                      <w:rFonts w:hint="eastAsia" w:ascii="宋体" w:hAnsi="宋体" w:eastAsia="宋体" w:cs="宋体"/>
                      <w:i w:val="0"/>
                      <w:iCs w:val="0"/>
                      <w:color w:val="auto"/>
                      <w:kern w:val="0"/>
                      <w:sz w:val="21"/>
                      <w:szCs w:val="21"/>
                      <w:u w:val="none"/>
                      <w:lang w:val="en-US" w:eastAsia="zh-CN" w:bidi="ar"/>
                    </w:rPr>
                    <w:t>食品浸泡</w:t>
                  </w:r>
                  <w:r>
                    <w:rPr>
                      <w:rFonts w:hint="eastAsia" w:ascii="宋体" w:hAnsi="宋体" w:cs="宋体"/>
                      <w:i w:val="0"/>
                      <w:iCs w:val="0"/>
                      <w:color w:val="auto"/>
                      <w:kern w:val="0"/>
                      <w:sz w:val="21"/>
                      <w:szCs w:val="21"/>
                      <w:u w:val="none"/>
                      <w:lang w:val="en-US" w:eastAsia="zh-CN" w:bidi="ar"/>
                    </w:rPr>
                    <w:t>废水</w:t>
                  </w:r>
                </w:p>
              </w:tc>
              <w:tc>
                <w:tcPr>
                  <w:tcW w:w="1382" w:type="pct"/>
                  <w:vAlign w:val="center"/>
                </w:tcPr>
                <w:p w14:paraId="6793FAF4">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w:t>
                  </w:r>
                  <w:r>
                    <w:rPr>
                      <w:rFonts w:hint="eastAsia"/>
                      <w:color w:val="auto"/>
                      <w:lang w:eastAsia="zh-CN"/>
                    </w:rPr>
                    <w:t>、</w:t>
                  </w:r>
                  <w:r>
                    <w:rPr>
                      <w:color w:val="auto"/>
                    </w:rPr>
                    <w:t>COD</w:t>
                  </w:r>
                  <w:r>
                    <w:rPr>
                      <w:color w:val="auto"/>
                      <w:vertAlign w:val="subscript"/>
                    </w:rPr>
                    <w:t>Cr</w:t>
                  </w:r>
                  <w:r>
                    <w:rPr>
                      <w:rFonts w:hint="eastAsia"/>
                      <w:color w:val="auto"/>
                      <w:lang w:eastAsia="zh-CN"/>
                    </w:rPr>
                    <w:t>、</w:t>
                  </w:r>
                  <w:r>
                    <w:rPr>
                      <w:color w:val="auto"/>
                    </w:rPr>
                    <w:t>SS</w:t>
                  </w:r>
                  <w:r>
                    <w:rPr>
                      <w:rFonts w:hint="eastAsia"/>
                      <w:color w:val="auto"/>
                      <w:lang w:eastAsia="zh-CN"/>
                    </w:rPr>
                    <w:t>、</w:t>
                  </w:r>
                  <w:r>
                    <w:rPr>
                      <w:color w:val="auto"/>
                    </w:rPr>
                    <w:t>盐</w:t>
                  </w:r>
                </w:p>
              </w:tc>
              <w:tc>
                <w:tcPr>
                  <w:tcW w:w="1503" w:type="pct"/>
                  <w:vMerge w:val="restart"/>
                  <w:vAlign w:val="center"/>
                </w:tcPr>
                <w:p w14:paraId="04CAFB1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rPr>
                  </w:pPr>
                  <w:r>
                    <w:rPr>
                      <w:rFonts w:hint="eastAsia"/>
                      <w:lang w:val="en-US" w:eastAsia="zh-CN"/>
                    </w:rPr>
                    <w:t>排入本项目配套污水处理站后进入</w:t>
                  </w:r>
                  <w:r>
                    <w:rPr>
                      <w:rFonts w:hint="eastAsia"/>
                    </w:rPr>
                    <w:t>市政下水管网最终进入库尔勒金城洁净排水有限责任公司库尔勒市老城区污水处理厂</w:t>
                  </w:r>
                </w:p>
                <w:p w14:paraId="0C43B20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r>
            <w:tr w14:paraId="55CE32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1FF2F28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2DA312EE">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eastAsia" w:eastAsia="宋体"/>
                      <w:lang w:val="en-US" w:eastAsia="zh-CN"/>
                    </w:rPr>
                  </w:pPr>
                  <w:r>
                    <w:rPr>
                      <w:rFonts w:hint="eastAsia"/>
                      <w:lang w:val="en-US" w:eastAsia="zh-CN"/>
                    </w:rPr>
                    <w:t>蒸煮</w:t>
                  </w:r>
                </w:p>
              </w:tc>
              <w:tc>
                <w:tcPr>
                  <w:tcW w:w="1031" w:type="pct"/>
                  <w:vAlign w:val="center"/>
                </w:tcPr>
                <w:p w14:paraId="1FA8AADF">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color w:val="auto"/>
                      <w:lang w:val="en-US"/>
                    </w:rPr>
                  </w:pPr>
                  <w:r>
                    <w:rPr>
                      <w:rFonts w:hint="eastAsia" w:ascii="宋体" w:hAnsi="宋体" w:eastAsia="宋体" w:cs="宋体"/>
                      <w:i w:val="0"/>
                      <w:iCs w:val="0"/>
                      <w:color w:val="auto"/>
                      <w:kern w:val="0"/>
                      <w:sz w:val="21"/>
                      <w:szCs w:val="21"/>
                      <w:u w:val="none"/>
                      <w:lang w:val="en-US" w:eastAsia="zh-CN" w:bidi="ar"/>
                    </w:rPr>
                    <w:t>蒸煮</w:t>
                  </w:r>
                  <w:r>
                    <w:rPr>
                      <w:rFonts w:hint="eastAsia" w:ascii="宋体" w:hAnsi="宋体" w:cs="宋体"/>
                      <w:i w:val="0"/>
                      <w:iCs w:val="0"/>
                      <w:color w:val="auto"/>
                      <w:kern w:val="0"/>
                      <w:sz w:val="21"/>
                      <w:szCs w:val="21"/>
                      <w:u w:val="none"/>
                      <w:lang w:val="en-US" w:eastAsia="zh-CN" w:bidi="ar"/>
                    </w:rPr>
                    <w:t>废水</w:t>
                  </w:r>
                </w:p>
              </w:tc>
              <w:tc>
                <w:tcPr>
                  <w:tcW w:w="1382" w:type="pct"/>
                  <w:vAlign w:val="center"/>
                </w:tcPr>
                <w:p w14:paraId="2DBD1171">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PH、氨氮、COD、BOD</w:t>
                  </w:r>
                  <w:r>
                    <w:rPr>
                      <w:color w:val="auto"/>
                      <w:vertAlign w:val="subscript"/>
                    </w:rPr>
                    <w:t>5</w:t>
                  </w:r>
                  <w:r>
                    <w:rPr>
                      <w:color w:val="auto"/>
                    </w:rPr>
                    <w:t>、SS</w:t>
                  </w:r>
                </w:p>
              </w:tc>
              <w:tc>
                <w:tcPr>
                  <w:tcW w:w="1503" w:type="pct"/>
                  <w:vMerge w:val="continue"/>
                  <w:vAlign w:val="center"/>
                </w:tcPr>
                <w:p w14:paraId="19D5DD13">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color w:val="auto"/>
                      <w:lang w:val="en-US" w:eastAsia="zh-CN"/>
                    </w:rPr>
                  </w:pPr>
                </w:p>
              </w:tc>
            </w:tr>
            <w:tr w14:paraId="22DDE3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32923C7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59D45DAC">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lang w:val="en-US" w:eastAsia="zh-CN"/>
                    </w:rPr>
                  </w:pPr>
                  <w:r>
                    <w:rPr>
                      <w:rFonts w:hint="eastAsia"/>
                      <w:lang w:val="en-US" w:eastAsia="zh-CN"/>
                    </w:rPr>
                    <w:t>豆制品加工</w:t>
                  </w:r>
                </w:p>
              </w:tc>
              <w:tc>
                <w:tcPr>
                  <w:tcW w:w="1031" w:type="pct"/>
                  <w:vAlign w:val="center"/>
                </w:tcPr>
                <w:p w14:paraId="11F9A88D">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color w:val="auto"/>
                    </w:rPr>
                  </w:pPr>
                  <w:r>
                    <w:rPr>
                      <w:rFonts w:hint="eastAsia" w:ascii="宋体" w:hAnsi="宋体" w:eastAsia="宋体" w:cs="宋体"/>
                      <w:i w:val="0"/>
                      <w:iCs w:val="0"/>
                      <w:color w:val="auto"/>
                      <w:kern w:val="0"/>
                      <w:sz w:val="21"/>
                      <w:szCs w:val="21"/>
                      <w:u w:val="none"/>
                      <w:lang w:val="en-US" w:eastAsia="zh-CN" w:bidi="ar"/>
                    </w:rPr>
                    <w:t>豆制品</w:t>
                  </w:r>
                  <w:r>
                    <w:rPr>
                      <w:rStyle w:val="119"/>
                      <w:color w:val="auto"/>
                      <w:lang w:val="en-US" w:eastAsia="zh-CN" w:bidi="ar"/>
                    </w:rPr>
                    <w:t>磨浆</w:t>
                  </w:r>
                </w:p>
              </w:tc>
              <w:tc>
                <w:tcPr>
                  <w:tcW w:w="1382" w:type="pct"/>
                  <w:vAlign w:val="center"/>
                </w:tcPr>
                <w:p w14:paraId="39ADCA75">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PH、氨氮、COD</w:t>
                  </w:r>
                  <w:r>
                    <w:rPr>
                      <w:rFonts w:hint="eastAsia"/>
                      <w:color w:val="auto"/>
                      <w:lang w:val="en-US" w:eastAsia="zh-CN"/>
                    </w:rPr>
                    <w:t>cr</w:t>
                  </w:r>
                  <w:r>
                    <w:rPr>
                      <w:color w:val="auto"/>
                    </w:rPr>
                    <w:t>、BOD</w:t>
                  </w:r>
                  <w:r>
                    <w:rPr>
                      <w:color w:val="auto"/>
                      <w:vertAlign w:val="subscript"/>
                    </w:rPr>
                    <w:t>5</w:t>
                  </w:r>
                  <w:r>
                    <w:rPr>
                      <w:color w:val="auto"/>
                    </w:rPr>
                    <w:t>、SS</w:t>
                  </w:r>
                </w:p>
              </w:tc>
              <w:tc>
                <w:tcPr>
                  <w:tcW w:w="1503" w:type="pct"/>
                  <w:vMerge w:val="continue"/>
                  <w:vAlign w:val="center"/>
                </w:tcPr>
                <w:p w14:paraId="0452FB49">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p>
              </w:tc>
            </w:tr>
            <w:tr w14:paraId="51F724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2024C6AC">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24A5BE90">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color w:val="auto"/>
                      <w:lang w:val="en-US" w:eastAsia="zh-CN"/>
                    </w:rPr>
                  </w:pPr>
                  <w:r>
                    <w:rPr>
                      <w:rFonts w:hint="eastAsia"/>
                      <w:color w:val="auto"/>
                      <w:lang w:val="en-US" w:eastAsia="zh-CN"/>
                    </w:rPr>
                    <w:t>锅炉供热水</w:t>
                  </w:r>
                </w:p>
              </w:tc>
              <w:tc>
                <w:tcPr>
                  <w:tcW w:w="1031" w:type="pct"/>
                  <w:vAlign w:val="center"/>
                </w:tcPr>
                <w:p w14:paraId="157A905D">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color w:val="auto"/>
                      <w:lang w:val="en-US"/>
                    </w:rPr>
                  </w:pPr>
                  <w:r>
                    <w:rPr>
                      <w:rFonts w:hint="eastAsia" w:ascii="宋体" w:hAnsi="宋体" w:cs="宋体"/>
                      <w:i w:val="0"/>
                      <w:iCs w:val="0"/>
                      <w:color w:val="auto"/>
                      <w:kern w:val="0"/>
                      <w:sz w:val="21"/>
                      <w:szCs w:val="21"/>
                      <w:u w:val="none"/>
                      <w:lang w:val="en-US" w:eastAsia="zh-CN" w:bidi="ar"/>
                    </w:rPr>
                    <w:t>软水制备废水</w:t>
                  </w:r>
                </w:p>
              </w:tc>
              <w:tc>
                <w:tcPr>
                  <w:tcW w:w="1382" w:type="pct"/>
                  <w:vAlign w:val="center"/>
                </w:tcPr>
                <w:p w14:paraId="73D225BE">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rFonts w:hint="eastAsia"/>
                      <w:color w:val="auto"/>
                      <w:lang w:val="en-US" w:eastAsia="zh-CN"/>
                    </w:rPr>
                    <w:t>p</w:t>
                  </w:r>
                  <w:r>
                    <w:rPr>
                      <w:color w:val="auto"/>
                    </w:rPr>
                    <w:t>H、COD</w:t>
                  </w:r>
                  <w:r>
                    <w:rPr>
                      <w:rFonts w:hint="eastAsia"/>
                      <w:color w:val="auto"/>
                      <w:lang w:val="en-US" w:eastAsia="zh-CN"/>
                    </w:rPr>
                    <w:t>cr</w:t>
                  </w:r>
                  <w:r>
                    <w:rPr>
                      <w:color w:val="auto"/>
                    </w:rPr>
                    <w:t>、BOD</w:t>
                  </w:r>
                  <w:r>
                    <w:rPr>
                      <w:color w:val="auto"/>
                      <w:vertAlign w:val="subscript"/>
                    </w:rPr>
                    <w:t>5</w:t>
                  </w:r>
                  <w:r>
                    <w:rPr>
                      <w:color w:val="auto"/>
                    </w:rPr>
                    <w:t>、SS、氨氮、动植物油</w:t>
                  </w:r>
                </w:p>
              </w:tc>
              <w:tc>
                <w:tcPr>
                  <w:tcW w:w="1503" w:type="pct"/>
                  <w:vMerge w:val="continue"/>
                  <w:vAlign w:val="center"/>
                </w:tcPr>
                <w:p w14:paraId="3F93E9CB">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p>
              </w:tc>
            </w:tr>
            <w:tr w14:paraId="18A57E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62E50C90">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4739A9A9">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eastAsia" w:eastAsia="宋体"/>
                      <w:color w:val="auto"/>
                      <w:lang w:val="en-US" w:eastAsia="zh-CN"/>
                    </w:rPr>
                  </w:pPr>
                  <w:r>
                    <w:rPr>
                      <w:rFonts w:hint="eastAsia"/>
                      <w:color w:val="auto"/>
                    </w:rPr>
                    <w:t>CIP清洗系统</w:t>
                  </w:r>
                </w:p>
              </w:tc>
              <w:tc>
                <w:tcPr>
                  <w:tcW w:w="1031" w:type="pct"/>
                  <w:vAlign w:val="center"/>
                </w:tcPr>
                <w:p w14:paraId="5C21A9D0">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纯水制备废水</w:t>
                  </w:r>
                </w:p>
              </w:tc>
              <w:tc>
                <w:tcPr>
                  <w:tcW w:w="1382" w:type="pct"/>
                  <w:vAlign w:val="center"/>
                </w:tcPr>
                <w:p w14:paraId="6FDDE4E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PH、氨氮、COD</w:t>
                  </w:r>
                  <w:r>
                    <w:rPr>
                      <w:rFonts w:hint="eastAsia"/>
                      <w:color w:val="auto"/>
                      <w:lang w:val="en-US" w:eastAsia="zh-CN"/>
                    </w:rPr>
                    <w:t>cr</w:t>
                  </w:r>
                  <w:r>
                    <w:rPr>
                      <w:color w:val="auto"/>
                    </w:rPr>
                    <w:t>、BOD</w:t>
                  </w:r>
                  <w:r>
                    <w:rPr>
                      <w:color w:val="auto"/>
                      <w:vertAlign w:val="subscript"/>
                    </w:rPr>
                    <w:t>5</w:t>
                  </w:r>
                  <w:r>
                    <w:rPr>
                      <w:color w:val="auto"/>
                    </w:rPr>
                    <w:t>、SS</w:t>
                  </w:r>
                </w:p>
              </w:tc>
              <w:tc>
                <w:tcPr>
                  <w:tcW w:w="1503" w:type="pct"/>
                  <w:vMerge w:val="continue"/>
                  <w:vAlign w:val="center"/>
                </w:tcPr>
                <w:p w14:paraId="5FC14E8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p>
              </w:tc>
            </w:tr>
            <w:tr w14:paraId="2362D7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0B96DB5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040AA6C7">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color w:val="auto"/>
                      <w:lang w:val="en-US" w:eastAsia="zh-CN"/>
                    </w:rPr>
                  </w:pPr>
                  <w:r>
                    <w:rPr>
                      <w:rFonts w:hint="eastAsia"/>
                      <w:color w:val="auto"/>
                      <w:lang w:val="en-US" w:eastAsia="zh-CN"/>
                    </w:rPr>
                    <w:t>设备擦洗</w:t>
                  </w:r>
                </w:p>
              </w:tc>
              <w:tc>
                <w:tcPr>
                  <w:tcW w:w="1031" w:type="pct"/>
                  <w:vAlign w:val="center"/>
                </w:tcPr>
                <w:p w14:paraId="085B65BE">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设备擦洗废水</w:t>
                  </w:r>
                </w:p>
              </w:tc>
              <w:tc>
                <w:tcPr>
                  <w:tcW w:w="1382" w:type="pct"/>
                  <w:vAlign w:val="center"/>
                </w:tcPr>
                <w:p w14:paraId="157AF95D">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PH、氨氮、COD</w:t>
                  </w:r>
                  <w:r>
                    <w:rPr>
                      <w:rFonts w:hint="eastAsia"/>
                      <w:color w:val="auto"/>
                      <w:lang w:val="en-US" w:eastAsia="zh-CN"/>
                    </w:rPr>
                    <w:t>cr</w:t>
                  </w:r>
                  <w:r>
                    <w:rPr>
                      <w:color w:val="auto"/>
                    </w:rPr>
                    <w:t>、BOD</w:t>
                  </w:r>
                  <w:r>
                    <w:rPr>
                      <w:color w:val="auto"/>
                      <w:vertAlign w:val="subscript"/>
                    </w:rPr>
                    <w:t>5</w:t>
                  </w:r>
                  <w:r>
                    <w:rPr>
                      <w:color w:val="auto"/>
                    </w:rPr>
                    <w:t>、SS</w:t>
                  </w:r>
                </w:p>
              </w:tc>
              <w:tc>
                <w:tcPr>
                  <w:tcW w:w="1503" w:type="pct"/>
                  <w:vMerge w:val="continue"/>
                  <w:vAlign w:val="center"/>
                </w:tcPr>
                <w:p w14:paraId="01AF9444">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p>
              </w:tc>
            </w:tr>
            <w:tr w14:paraId="1D9B3F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007C3AF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5A4DEE1D">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eastAsia="宋体"/>
                      <w:lang w:val="en-US" w:eastAsia="zh-CN"/>
                    </w:rPr>
                  </w:pPr>
                  <w:r>
                    <w:rPr>
                      <w:rFonts w:hint="eastAsia"/>
                      <w:lang w:val="en-US" w:eastAsia="zh-CN"/>
                    </w:rPr>
                    <w:t>地面清洗</w:t>
                  </w:r>
                </w:p>
              </w:tc>
              <w:tc>
                <w:tcPr>
                  <w:tcW w:w="1031" w:type="pct"/>
                  <w:vAlign w:val="center"/>
                </w:tcPr>
                <w:p w14:paraId="6033C688">
                  <w:pPr>
                    <w:keepNext w:val="0"/>
                    <w:keepLines w:val="0"/>
                    <w:pageBreakBefore w:val="0"/>
                    <w:widowControl/>
                    <w:suppressLineNumbers w:val="0"/>
                    <w:kinsoku/>
                    <w:wordWrap/>
                    <w:overflowPunct/>
                    <w:topLinePunct w:val="0"/>
                    <w:autoSpaceDE/>
                    <w:autoSpaceDN/>
                    <w:bidi w:val="0"/>
                    <w:adjustRightInd/>
                    <w:snapToGrid/>
                    <w:spacing w:line="240" w:lineRule="auto"/>
                    <w:ind w:left="-42" w:leftChars="-20" w:right="-113" w:firstLine="0" w:firstLineChars="0"/>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地面擦洗废水</w:t>
                  </w:r>
                </w:p>
              </w:tc>
              <w:tc>
                <w:tcPr>
                  <w:tcW w:w="1382" w:type="pct"/>
                  <w:vAlign w:val="center"/>
                </w:tcPr>
                <w:p w14:paraId="1218213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color w:val="auto"/>
                    </w:rPr>
                    <w:t>PH、氨氮、COD</w:t>
                  </w:r>
                  <w:r>
                    <w:rPr>
                      <w:rFonts w:hint="eastAsia"/>
                      <w:color w:val="auto"/>
                      <w:lang w:val="en-US" w:eastAsia="zh-CN"/>
                    </w:rPr>
                    <w:t>cr</w:t>
                  </w:r>
                  <w:r>
                    <w:rPr>
                      <w:color w:val="auto"/>
                    </w:rPr>
                    <w:t>、BOD</w:t>
                  </w:r>
                  <w:r>
                    <w:rPr>
                      <w:color w:val="auto"/>
                      <w:vertAlign w:val="subscript"/>
                    </w:rPr>
                    <w:t>5</w:t>
                  </w:r>
                  <w:r>
                    <w:rPr>
                      <w:color w:val="auto"/>
                    </w:rPr>
                    <w:t>、SS</w:t>
                  </w:r>
                </w:p>
              </w:tc>
              <w:tc>
                <w:tcPr>
                  <w:tcW w:w="1503" w:type="pct"/>
                  <w:vMerge w:val="continue"/>
                  <w:vAlign w:val="center"/>
                </w:tcPr>
                <w:p w14:paraId="0BFF491F">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p>
              </w:tc>
            </w:tr>
            <w:tr w14:paraId="5D5D7D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restart"/>
                  <w:vAlign w:val="center"/>
                </w:tcPr>
                <w:p w14:paraId="7361F751">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固</w:t>
                  </w:r>
                  <w:r>
                    <w:rPr>
                      <w:rFonts w:hint="eastAsia" w:cs="Times New Roman"/>
                      <w:kern w:val="2"/>
                      <w:sz w:val="21"/>
                      <w:szCs w:val="24"/>
                      <w:lang w:val="en-US" w:eastAsia="zh-CN" w:bidi="ar-SA"/>
                    </w:rPr>
                    <w:t>体</w:t>
                  </w:r>
                  <w:r>
                    <w:rPr>
                      <w:rFonts w:ascii="Times New Roman" w:hAnsi="Times New Roman" w:eastAsia="宋体" w:cs="Times New Roman"/>
                      <w:kern w:val="2"/>
                      <w:sz w:val="21"/>
                      <w:szCs w:val="24"/>
                      <w:lang w:val="en-US" w:eastAsia="zh-CN" w:bidi="ar-SA"/>
                    </w:rPr>
                    <w:t>废</w:t>
                  </w:r>
                  <w:r>
                    <w:rPr>
                      <w:rFonts w:hint="eastAsia" w:cs="Times New Roman"/>
                      <w:kern w:val="2"/>
                      <w:sz w:val="21"/>
                      <w:szCs w:val="24"/>
                      <w:lang w:val="en-US" w:eastAsia="zh-CN" w:bidi="ar-SA"/>
                    </w:rPr>
                    <w:t>物</w:t>
                  </w:r>
                </w:p>
              </w:tc>
              <w:tc>
                <w:tcPr>
                  <w:tcW w:w="651" w:type="pct"/>
                  <w:vAlign w:val="center"/>
                </w:tcPr>
                <w:p w14:paraId="42C74C2E">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凉皮生产</w:t>
                  </w:r>
                </w:p>
              </w:tc>
              <w:tc>
                <w:tcPr>
                  <w:tcW w:w="1031" w:type="pct"/>
                  <w:vAlign w:val="center"/>
                </w:tcPr>
                <w:p w14:paraId="03666A96">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不合格产品、过期产品</w:t>
                  </w:r>
                </w:p>
              </w:tc>
              <w:tc>
                <w:tcPr>
                  <w:tcW w:w="1382" w:type="pct"/>
                  <w:vMerge w:val="restart"/>
                  <w:vAlign w:val="center"/>
                </w:tcPr>
                <w:p w14:paraId="3D967452">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rPr>
                      <w:rFonts w:ascii="Times New Roman" w:hAnsi="Times New Roman" w:eastAsia="宋体" w:cs="Times New Roman"/>
                      <w:kern w:val="2"/>
                      <w:sz w:val="21"/>
                      <w:szCs w:val="24"/>
                      <w:lang w:val="en-US" w:eastAsia="zh-CN" w:bidi="ar-SA"/>
                    </w:rPr>
                  </w:pPr>
                </w:p>
                <w:p w14:paraId="61677219">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一般固体废物</w:t>
                  </w:r>
                </w:p>
              </w:tc>
              <w:tc>
                <w:tcPr>
                  <w:tcW w:w="1503" w:type="pct"/>
                  <w:vAlign w:val="center"/>
                </w:tcPr>
                <w:p w14:paraId="516E9199">
                  <w:pPr>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center"/>
                    <w:rPr>
                      <w:rFonts w:hint="default"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集中</w:t>
                  </w:r>
                  <w:r>
                    <w:rPr>
                      <w:rFonts w:hint="eastAsia"/>
                      <w:lang w:val="en-US" w:eastAsia="zh-CN"/>
                    </w:rPr>
                    <w:t>收集后外售给肥料厂制造肥料</w:t>
                  </w:r>
                </w:p>
              </w:tc>
            </w:tr>
            <w:tr w14:paraId="51EA12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58F14B57">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ascii="Times New Roman" w:hAnsi="Times New Roman" w:eastAsia="宋体" w:cs="Times New Roman"/>
                      <w:kern w:val="2"/>
                      <w:sz w:val="21"/>
                      <w:szCs w:val="24"/>
                      <w:lang w:val="en-US" w:eastAsia="zh-CN" w:bidi="ar-SA"/>
                    </w:rPr>
                  </w:pPr>
                </w:p>
              </w:tc>
              <w:tc>
                <w:tcPr>
                  <w:tcW w:w="651" w:type="pct"/>
                  <w:vAlign w:val="center"/>
                </w:tcPr>
                <w:p w14:paraId="22650E37">
                  <w:pPr>
                    <w:pStyle w:val="99"/>
                    <w:keepNext w:val="0"/>
                    <w:keepLines w:val="0"/>
                    <w:pageBreakBefore w:val="0"/>
                    <w:kinsoku/>
                    <w:wordWrap/>
                    <w:overflowPunct/>
                    <w:topLinePunct w:val="0"/>
                    <w:autoSpaceDE/>
                    <w:autoSpaceDN/>
                    <w:bidi w:val="0"/>
                    <w:adjustRightInd/>
                    <w:snapToGrid/>
                    <w:spacing w:line="240" w:lineRule="auto"/>
                    <w:ind w:left="-42" w:leftChars="-20" w:right="-113" w:firstLine="210" w:firstLineChars="100"/>
                    <w:jc w:val="both"/>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包装</w:t>
                  </w:r>
                </w:p>
              </w:tc>
              <w:tc>
                <w:tcPr>
                  <w:tcW w:w="1031" w:type="pct"/>
                  <w:vAlign w:val="center"/>
                </w:tcPr>
                <w:p w14:paraId="1F90932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cente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t>包装固废</w:t>
                  </w:r>
                </w:p>
              </w:tc>
              <w:tc>
                <w:tcPr>
                  <w:tcW w:w="1382" w:type="pct"/>
                  <w:vMerge w:val="continue"/>
                  <w:vAlign w:val="center"/>
                </w:tcPr>
                <w:p w14:paraId="0465A6F3">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rPr>
                      <w:rFonts w:ascii="Times New Roman" w:hAnsi="Times New Roman" w:eastAsia="宋体" w:cs="Times New Roman"/>
                      <w:kern w:val="2"/>
                      <w:sz w:val="21"/>
                      <w:szCs w:val="24"/>
                      <w:lang w:val="en-US" w:eastAsia="zh-CN" w:bidi="ar-SA"/>
                    </w:rPr>
                  </w:pPr>
                </w:p>
              </w:tc>
              <w:tc>
                <w:tcPr>
                  <w:tcW w:w="1503" w:type="pct"/>
                  <w:vAlign w:val="center"/>
                </w:tcPr>
                <w:p w14:paraId="4ED80FE6">
                  <w:pPr>
                    <w:pStyle w:val="114"/>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kern w:val="2"/>
                      <w:sz w:val="21"/>
                      <w:szCs w:val="24"/>
                      <w:lang w:val="en-US" w:eastAsia="zh-CN" w:bidi="ar-SA"/>
                    </w:rPr>
                    <w:t>集中</w:t>
                  </w:r>
                  <w:r>
                    <w:rPr>
                      <w:rFonts w:ascii="Times New Roman" w:hAnsi="Times New Roman" w:eastAsia="宋体" w:cs="Times New Roman"/>
                      <w:kern w:val="2"/>
                      <w:sz w:val="21"/>
                      <w:szCs w:val="24"/>
                      <w:lang w:val="en-US" w:eastAsia="zh-CN" w:bidi="ar-SA"/>
                    </w:rPr>
                    <w:t>收集</w:t>
                  </w:r>
                  <w:r>
                    <w:rPr>
                      <w:rFonts w:hint="eastAsia" w:ascii="Times New Roman" w:hAnsi="Times New Roman" w:cs="Times New Roman"/>
                      <w:kern w:val="2"/>
                      <w:sz w:val="21"/>
                      <w:szCs w:val="24"/>
                      <w:lang w:val="en-US" w:eastAsia="zh-CN" w:bidi="ar-SA"/>
                    </w:rPr>
                    <w:t>后</w:t>
                  </w:r>
                  <w:r>
                    <w:rPr>
                      <w:rFonts w:ascii="Times New Roman" w:hAnsi="Times New Roman" w:eastAsia="宋体" w:cs="Times New Roman"/>
                      <w:kern w:val="2"/>
                      <w:sz w:val="21"/>
                      <w:szCs w:val="24"/>
                      <w:lang w:val="en-US" w:eastAsia="zh-CN" w:bidi="ar-SA"/>
                    </w:rPr>
                    <w:t>外售</w:t>
                  </w:r>
                  <w:r>
                    <w:rPr>
                      <w:rFonts w:hint="eastAsia" w:ascii="Times New Roman" w:hAnsi="Times New Roman" w:cs="Times New Roman"/>
                      <w:kern w:val="2"/>
                      <w:sz w:val="21"/>
                      <w:szCs w:val="24"/>
                      <w:lang w:val="en-US" w:eastAsia="zh-CN" w:bidi="ar-SA"/>
                    </w:rPr>
                    <w:t>给废品回收站</w:t>
                  </w:r>
                </w:p>
              </w:tc>
            </w:tr>
            <w:tr w14:paraId="44F57A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7BAAA3F0">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ascii="Times New Roman" w:hAnsi="Times New Roman" w:eastAsia="宋体" w:cs="Times New Roman"/>
                      <w:kern w:val="2"/>
                      <w:sz w:val="21"/>
                      <w:szCs w:val="24"/>
                      <w:lang w:val="en-US" w:eastAsia="zh-CN" w:bidi="ar-SA"/>
                    </w:rPr>
                  </w:pPr>
                </w:p>
              </w:tc>
              <w:tc>
                <w:tcPr>
                  <w:tcW w:w="651" w:type="pct"/>
                  <w:vAlign w:val="center"/>
                </w:tcPr>
                <w:p w14:paraId="04B36DCC">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隔油池</w:t>
                  </w:r>
                </w:p>
              </w:tc>
              <w:tc>
                <w:tcPr>
                  <w:tcW w:w="1031" w:type="pct"/>
                  <w:vAlign w:val="center"/>
                </w:tcPr>
                <w:p w14:paraId="503B6578">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jc w:val="center"/>
                    <w:rPr>
                      <w:rFonts w:hint="eastAsia"/>
                      <w:lang w:val="en-US" w:eastAsia="zh-CN"/>
                    </w:rPr>
                  </w:pPr>
                  <w:r>
                    <w:rPr>
                      <w:rFonts w:hint="eastAsia"/>
                      <w:lang w:val="en-US" w:eastAsia="zh-CN"/>
                    </w:rPr>
                    <w:t>隔油池油污</w:t>
                  </w:r>
                </w:p>
              </w:tc>
              <w:tc>
                <w:tcPr>
                  <w:tcW w:w="1382" w:type="pct"/>
                  <w:vMerge w:val="continue"/>
                  <w:vAlign w:val="center"/>
                </w:tcPr>
                <w:p w14:paraId="61E6B474">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rPr>
                      <w:rFonts w:ascii="Times New Roman" w:hAnsi="Times New Roman" w:eastAsia="宋体" w:cs="Times New Roman"/>
                      <w:kern w:val="2"/>
                      <w:sz w:val="21"/>
                      <w:szCs w:val="24"/>
                      <w:lang w:val="en-US" w:eastAsia="zh-CN" w:bidi="ar-SA"/>
                    </w:rPr>
                  </w:pPr>
                </w:p>
              </w:tc>
              <w:tc>
                <w:tcPr>
                  <w:tcW w:w="1503" w:type="pct"/>
                  <w:vAlign w:val="center"/>
                </w:tcPr>
                <w:p w14:paraId="033062D1">
                  <w:pPr>
                    <w:pStyle w:val="114"/>
                    <w:keepNext w:val="0"/>
                    <w:keepLines w:val="0"/>
                    <w:pageBreakBefore w:val="0"/>
                    <w:kinsoku/>
                    <w:wordWrap/>
                    <w:overflowPunct/>
                    <w:topLinePunct w:val="0"/>
                    <w:autoSpaceDE/>
                    <w:autoSpaceDN/>
                    <w:bidi w:val="0"/>
                    <w:adjustRightInd/>
                    <w:snapToGrid/>
                    <w:spacing w:line="240" w:lineRule="auto"/>
                    <w:ind w:left="-42" w:leftChars="-20" w:right="-113" w:rightChars="0"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收集后外售给肥料厂制造肥料</w:t>
                  </w:r>
                </w:p>
              </w:tc>
            </w:tr>
            <w:tr w14:paraId="1EE9ED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4015296B">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2BB80461">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软化水系统</w:t>
                  </w:r>
                </w:p>
              </w:tc>
              <w:tc>
                <w:tcPr>
                  <w:tcW w:w="1031" w:type="pct"/>
                  <w:vAlign w:val="center"/>
                </w:tcPr>
                <w:p w14:paraId="60AA7ED4">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rPr>
                      <w:rFonts w:hint="eastAsia"/>
                      <w:lang w:val="en-US" w:eastAsia="zh-CN"/>
                    </w:rPr>
                    <w:t>废RO膜</w:t>
                  </w:r>
                </w:p>
              </w:tc>
              <w:tc>
                <w:tcPr>
                  <w:tcW w:w="1382" w:type="pct"/>
                  <w:vAlign w:val="center"/>
                </w:tcPr>
                <w:p w14:paraId="13568615">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pPr>
                  <w:r>
                    <w:t>一般固废</w:t>
                  </w:r>
                </w:p>
              </w:tc>
              <w:tc>
                <w:tcPr>
                  <w:tcW w:w="1503" w:type="pct"/>
                  <w:vAlign w:val="center"/>
                </w:tcPr>
                <w:p w14:paraId="323FA6E6">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rFonts w:hint="eastAsia"/>
                      <w:lang w:val="en-US" w:eastAsia="zh-CN"/>
                    </w:rPr>
                    <w:t>更换时由厂家回收</w:t>
                  </w:r>
                </w:p>
              </w:tc>
            </w:tr>
            <w:tr w14:paraId="417BC9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52ADEA93">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1DA5F255">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豆制品制造</w:t>
                  </w:r>
                </w:p>
              </w:tc>
              <w:tc>
                <w:tcPr>
                  <w:tcW w:w="1031" w:type="pct"/>
                  <w:vAlign w:val="center"/>
                </w:tcPr>
                <w:p w14:paraId="7996B234">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rPr>
                      <w:rFonts w:hint="eastAsia"/>
                      <w:lang w:val="en-US" w:eastAsia="zh-CN"/>
                    </w:rPr>
                    <w:t>豆渣</w:t>
                  </w:r>
                </w:p>
              </w:tc>
              <w:tc>
                <w:tcPr>
                  <w:tcW w:w="1382" w:type="pct"/>
                  <w:vAlign w:val="center"/>
                </w:tcPr>
                <w:p w14:paraId="0E19F526">
                  <w:pPr>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pPr>
                  <w:r>
                    <w:t>一般固废</w:t>
                  </w:r>
                </w:p>
              </w:tc>
              <w:tc>
                <w:tcPr>
                  <w:tcW w:w="1503" w:type="pct"/>
                  <w:vAlign w:val="center"/>
                </w:tcPr>
                <w:p w14:paraId="4F94EFD6">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color w:val="auto"/>
                    </w:rPr>
                  </w:pPr>
                  <w:r>
                    <w:rPr>
                      <w:rFonts w:hint="eastAsia" w:ascii="Times New Roman" w:hAnsi="Times New Roman" w:eastAsia="宋体" w:cs="Times New Roman"/>
                      <w:kern w:val="2"/>
                      <w:sz w:val="21"/>
                      <w:szCs w:val="24"/>
                      <w:lang w:val="en-US" w:eastAsia="zh-CN" w:bidi="ar-SA"/>
                    </w:rPr>
                    <w:t>收集后外售给肥料厂制造肥料</w:t>
                  </w:r>
                </w:p>
              </w:tc>
            </w:tr>
            <w:tr w14:paraId="02BF78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21B201D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1B49296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lang w:val="en-US" w:eastAsia="zh-CN"/>
                    </w:rPr>
                  </w:pPr>
                  <w:r>
                    <w:rPr>
                      <w:rFonts w:hint="eastAsia"/>
                      <w:lang w:val="en-US" w:eastAsia="zh-CN"/>
                    </w:rPr>
                    <w:t>卤制品制造</w:t>
                  </w:r>
                </w:p>
              </w:tc>
              <w:tc>
                <w:tcPr>
                  <w:tcW w:w="1031" w:type="pct"/>
                  <w:shd w:val="clear" w:color="auto" w:fill="auto"/>
                  <w:vAlign w:val="center"/>
                </w:tcPr>
                <w:p w14:paraId="37596A38">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废卤渣</w:t>
                  </w:r>
                </w:p>
              </w:tc>
              <w:tc>
                <w:tcPr>
                  <w:tcW w:w="1382" w:type="pct"/>
                  <w:vAlign w:val="center"/>
                </w:tcPr>
                <w:p w14:paraId="799E318A">
                  <w:pPr>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pPr>
                  <w:r>
                    <w:t>一般固废</w:t>
                  </w:r>
                </w:p>
              </w:tc>
              <w:tc>
                <w:tcPr>
                  <w:tcW w:w="1503" w:type="pct"/>
                  <w:vAlign w:val="center"/>
                </w:tcPr>
                <w:p w14:paraId="32D5D38C">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color w:val="auto"/>
                      <w:lang w:val="en-US" w:eastAsia="zh-CN"/>
                    </w:rPr>
                  </w:pPr>
                  <w:r>
                    <w:rPr>
                      <w:rFonts w:hint="eastAsia" w:ascii="Times New Roman" w:hAnsi="Times New Roman" w:eastAsia="宋体" w:cs="Times New Roman"/>
                      <w:kern w:val="2"/>
                      <w:sz w:val="21"/>
                      <w:szCs w:val="24"/>
                      <w:lang w:val="en-US" w:eastAsia="zh-CN" w:bidi="ar-SA"/>
                    </w:rPr>
                    <w:t>收集后外售给肥料厂制造肥料</w:t>
                  </w:r>
                </w:p>
              </w:tc>
            </w:tr>
            <w:tr w14:paraId="3D5D97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Merge w:val="continue"/>
                  <w:vAlign w:val="center"/>
                </w:tcPr>
                <w:p w14:paraId="5DBF2C5C">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3723102B">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生活垃圾</w:t>
                  </w:r>
                </w:p>
              </w:tc>
              <w:tc>
                <w:tcPr>
                  <w:tcW w:w="1031" w:type="pct"/>
                  <w:vAlign w:val="center"/>
                </w:tcPr>
                <w:p w14:paraId="389BA90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办公生活</w:t>
                  </w:r>
                </w:p>
              </w:tc>
              <w:tc>
                <w:tcPr>
                  <w:tcW w:w="1382" w:type="pct"/>
                  <w:vAlign w:val="center"/>
                </w:tcPr>
                <w:p w14:paraId="4379DC40">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pPr>
                  <w:r>
                    <w:t>生活垃圾</w:t>
                  </w:r>
                </w:p>
              </w:tc>
              <w:tc>
                <w:tcPr>
                  <w:tcW w:w="1503" w:type="pct"/>
                  <w:vAlign w:val="center"/>
                </w:tcPr>
                <w:p w14:paraId="062FCF22">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t>集中收集</w:t>
                  </w:r>
                  <w:r>
                    <w:rPr>
                      <w:rFonts w:hint="eastAsia"/>
                      <w:lang w:val="en-US" w:eastAsia="zh-CN"/>
                    </w:rPr>
                    <w:t>后交由环卫部门处置</w:t>
                  </w:r>
                </w:p>
              </w:tc>
            </w:tr>
            <w:tr w14:paraId="42E6FC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82" w:hRule="atLeast"/>
              </w:trPr>
              <w:tc>
                <w:tcPr>
                  <w:tcW w:w="431" w:type="pct"/>
                  <w:vMerge w:val="continue"/>
                  <w:vAlign w:val="center"/>
                </w:tcPr>
                <w:p w14:paraId="3AEBA5E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p>
              </w:tc>
              <w:tc>
                <w:tcPr>
                  <w:tcW w:w="651" w:type="pct"/>
                  <w:vAlign w:val="center"/>
                </w:tcPr>
                <w:p w14:paraId="218F4B4E">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eastAsia" w:eastAsia="宋体"/>
                      <w:color w:val="auto"/>
                      <w:highlight w:val="none"/>
                      <w:lang w:val="en-US" w:eastAsia="zh-CN"/>
                    </w:rPr>
                  </w:pPr>
                  <w:r>
                    <w:rPr>
                      <w:rFonts w:hint="eastAsia"/>
                      <w:color w:val="auto"/>
                      <w:highlight w:val="none"/>
                      <w:lang w:val="en-US" w:eastAsia="zh-CN"/>
                    </w:rPr>
                    <w:t>废活性炭</w:t>
                  </w:r>
                </w:p>
              </w:tc>
              <w:tc>
                <w:tcPr>
                  <w:tcW w:w="1031" w:type="pct"/>
                  <w:vAlign w:val="center"/>
                </w:tcPr>
                <w:p w14:paraId="0B5739DB">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color w:val="auto"/>
                      <w:highlight w:val="none"/>
                      <w:lang w:val="en-US" w:eastAsia="zh-CN"/>
                    </w:rPr>
                  </w:pPr>
                  <w:r>
                    <w:rPr>
                      <w:rFonts w:hint="eastAsia"/>
                      <w:color w:val="auto"/>
                      <w:highlight w:val="none"/>
                      <w:lang w:val="en-US" w:eastAsia="zh-CN"/>
                    </w:rPr>
                    <w:t>配套污水处理站</w:t>
                  </w:r>
                </w:p>
              </w:tc>
              <w:tc>
                <w:tcPr>
                  <w:tcW w:w="1382" w:type="pct"/>
                  <w:vAlign w:val="center"/>
                </w:tcPr>
                <w:p w14:paraId="6DB7146A">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危险废物</w:t>
                  </w:r>
                </w:p>
              </w:tc>
              <w:tc>
                <w:tcPr>
                  <w:tcW w:w="1503" w:type="pct"/>
                  <w:vAlign w:val="center"/>
                </w:tcPr>
                <w:p w14:paraId="37BCC952">
                  <w:pPr>
                    <w:pStyle w:val="99"/>
                    <w:keepNext w:val="0"/>
                    <w:keepLines w:val="0"/>
                    <w:pageBreakBefore w:val="0"/>
                    <w:kinsoku/>
                    <w:wordWrap/>
                    <w:overflowPunct/>
                    <w:topLinePunct w:val="0"/>
                    <w:autoSpaceDE/>
                    <w:autoSpaceDN/>
                    <w:bidi w:val="0"/>
                    <w:adjustRightInd/>
                    <w:snapToGrid/>
                    <w:spacing w:line="240" w:lineRule="auto"/>
                    <w:ind w:right="-113"/>
                    <w:jc w:val="both"/>
                    <w:rPr>
                      <w:rFonts w:hint="default" w:eastAsia="宋体"/>
                      <w:color w:val="auto"/>
                      <w:highlight w:val="none"/>
                      <w:lang w:val="en-US" w:eastAsia="zh-CN"/>
                    </w:rPr>
                  </w:pPr>
                  <w:r>
                    <w:rPr>
                      <w:rFonts w:hint="eastAsia"/>
                      <w:color w:val="auto"/>
                      <w:highlight w:val="none"/>
                      <w:lang w:val="en-US" w:eastAsia="zh-CN"/>
                    </w:rPr>
                    <w:t>暂存于危废暂存间定期交由有危废处置资质的单位处置</w:t>
                  </w:r>
                </w:p>
              </w:tc>
            </w:tr>
            <w:tr w14:paraId="68A6D5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1" w:type="pct"/>
                  <w:vAlign w:val="center"/>
                </w:tcPr>
                <w:p w14:paraId="619EB900">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t>噪声</w:t>
                  </w:r>
                </w:p>
              </w:tc>
              <w:tc>
                <w:tcPr>
                  <w:tcW w:w="1682" w:type="pct"/>
                  <w:gridSpan w:val="2"/>
                  <w:vAlign w:val="center"/>
                </w:tcPr>
                <w:p w14:paraId="732B911A">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pPr>
                  <w:r>
                    <w:rPr>
                      <w:rFonts w:hint="eastAsia"/>
                      <w:lang w:val="en-US" w:eastAsia="zh-CN"/>
                    </w:rPr>
                    <w:t>生产</w:t>
                  </w:r>
                  <w:r>
                    <w:t>设备</w:t>
                  </w:r>
                </w:p>
              </w:tc>
              <w:tc>
                <w:tcPr>
                  <w:tcW w:w="1382" w:type="pct"/>
                  <w:vAlign w:val="center"/>
                </w:tcPr>
                <w:p w14:paraId="31139E7C">
                  <w:pPr>
                    <w:pStyle w:val="99"/>
                    <w:keepNext w:val="0"/>
                    <w:keepLines w:val="0"/>
                    <w:pageBreakBefore w:val="0"/>
                    <w:widowControl w:val="0"/>
                    <w:kinsoku/>
                    <w:wordWrap/>
                    <w:overflowPunct/>
                    <w:topLinePunct w:val="0"/>
                    <w:autoSpaceDE/>
                    <w:autoSpaceDN/>
                    <w:bidi w:val="0"/>
                    <w:adjustRightInd/>
                    <w:snapToGrid/>
                    <w:spacing w:line="240" w:lineRule="auto"/>
                    <w:ind w:left="-42" w:leftChars="-20" w:right="-113" w:firstLine="0" w:firstLineChars="0"/>
                    <w:jc w:val="center"/>
                    <w:textAlignment w:val="auto"/>
                  </w:pPr>
                  <w:r>
                    <w:t>A声级</w:t>
                  </w:r>
                </w:p>
              </w:tc>
              <w:tc>
                <w:tcPr>
                  <w:tcW w:w="1503" w:type="pct"/>
                  <w:vAlign w:val="center"/>
                </w:tcPr>
                <w:p w14:paraId="3FB8D5C3">
                  <w:pPr>
                    <w:pStyle w:val="99"/>
                    <w:keepNext w:val="0"/>
                    <w:keepLines w:val="0"/>
                    <w:pageBreakBefore w:val="0"/>
                    <w:kinsoku/>
                    <w:wordWrap/>
                    <w:overflowPunct/>
                    <w:topLinePunct w:val="0"/>
                    <w:autoSpaceDE/>
                    <w:autoSpaceDN/>
                    <w:bidi w:val="0"/>
                    <w:adjustRightInd/>
                    <w:snapToGrid/>
                    <w:spacing w:line="240" w:lineRule="auto"/>
                    <w:ind w:left="-42" w:leftChars="-20" w:right="-113" w:firstLine="0" w:firstLineChars="0"/>
                    <w:rPr>
                      <w:rFonts w:hint="default" w:eastAsia="宋体"/>
                      <w:lang w:val="en-US" w:eastAsia="zh-CN"/>
                    </w:rPr>
                  </w:pPr>
                  <w:r>
                    <w:rPr>
                      <w:rFonts w:hint="eastAsia"/>
                      <w:lang w:val="en-US" w:eastAsia="zh-CN"/>
                    </w:rPr>
                    <w:t>采用低噪声设备，采取基础减震、墙体隔声、</w:t>
                  </w:r>
                  <w:r>
                    <w:t>数码控制</w:t>
                  </w:r>
                  <w:r>
                    <w:rPr>
                      <w:rFonts w:hint="eastAsia"/>
                      <w:lang w:val="en-US" w:eastAsia="zh-CN"/>
                    </w:rPr>
                    <w:t>等措施</w:t>
                  </w:r>
                </w:p>
              </w:tc>
            </w:tr>
          </w:tbl>
          <w:p w14:paraId="25714FDA">
            <w:pPr>
              <w:autoSpaceDE w:val="0"/>
              <w:autoSpaceDN w:val="0"/>
              <w:adjustRightInd w:val="0"/>
              <w:snapToGrid w:val="0"/>
              <w:spacing w:line="360" w:lineRule="auto"/>
            </w:pPr>
          </w:p>
        </w:tc>
      </w:tr>
      <w:tr w14:paraId="612D7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305" w:type="pct"/>
            <w:tcBorders>
              <w:tl2br w:val="nil"/>
              <w:tr2bl w:val="nil"/>
            </w:tcBorders>
            <w:vAlign w:val="center"/>
          </w:tcPr>
          <w:p w14:paraId="47898062">
            <w:pPr>
              <w:pStyle w:val="25"/>
              <w:rPr>
                <w:rFonts w:ascii="Times New Roman" w:hAnsi="Times New Roman"/>
                <w:sz w:val="21"/>
                <w:szCs w:val="21"/>
              </w:rPr>
            </w:pPr>
            <w:r>
              <w:rPr>
                <w:rFonts w:ascii="Times New Roman" w:hAnsi="Times New Roman"/>
              </w:rPr>
              <w:t>与项目有关的原有环境污染问题</w:t>
            </w:r>
          </w:p>
        </w:tc>
        <w:tc>
          <w:tcPr>
            <w:tcW w:w="4695" w:type="pct"/>
            <w:tcBorders>
              <w:tl2br w:val="nil"/>
              <w:tr2bl w:val="nil"/>
            </w:tcBorders>
          </w:tcPr>
          <w:p w14:paraId="0EAC30A3">
            <w:pPr>
              <w:adjustRightInd w:val="0"/>
              <w:snapToGrid w:val="0"/>
              <w:spacing w:line="360" w:lineRule="auto"/>
              <w:ind w:firstLine="480" w:firstLineChars="200"/>
              <w:rPr>
                <w:bCs/>
                <w:sz w:val="24"/>
              </w:rPr>
            </w:pPr>
          </w:p>
          <w:p w14:paraId="3BCC8299">
            <w:pPr>
              <w:adjustRightInd w:val="0"/>
              <w:snapToGrid w:val="0"/>
              <w:spacing w:line="360" w:lineRule="auto"/>
              <w:ind w:firstLine="480" w:firstLineChars="200"/>
              <w:rPr>
                <w:bCs/>
                <w:sz w:val="24"/>
              </w:rPr>
            </w:pPr>
            <w:r>
              <w:rPr>
                <w:bCs/>
                <w:sz w:val="24"/>
              </w:rPr>
              <w:t>本项目为新建，</w:t>
            </w:r>
            <w:r>
              <w:rPr>
                <w:rFonts w:hint="eastAsia"/>
                <w:bCs/>
                <w:sz w:val="24"/>
                <w:lang w:val="en-US" w:eastAsia="zh-CN"/>
              </w:rPr>
              <w:t>本项目依托已建成的二层厂房，生产牛筋面、凉皮、豆制品、卤制品和酸奶等，新建配套污水处理站1座（处理规模：150t/d），用于处理生产过程中产生的废水。环评现场踏勘时，厂房已建设完成，厂房内未安装食品加工所需的生产设备，未投产。</w:t>
            </w:r>
          </w:p>
          <w:p w14:paraId="58534553">
            <w:pPr>
              <w:adjustRightInd w:val="0"/>
              <w:snapToGrid w:val="0"/>
              <w:spacing w:line="360" w:lineRule="auto"/>
              <w:rPr>
                <w:bCs/>
                <w:sz w:val="24"/>
              </w:rPr>
            </w:pPr>
          </w:p>
          <w:p w14:paraId="020B16D2">
            <w:pPr>
              <w:rPr>
                <w:bCs/>
                <w:szCs w:val="21"/>
              </w:rPr>
            </w:pPr>
          </w:p>
        </w:tc>
      </w:tr>
    </w:tbl>
    <w:p w14:paraId="65FB57EE">
      <w:pPr>
        <w:pStyle w:val="25"/>
        <w:rPr>
          <w:rFonts w:ascii="Times New Roman" w:hAnsi="Times New Roman"/>
          <w:snapToGrid w:val="0"/>
        </w:rPr>
        <w:sectPr>
          <w:pgSz w:w="11906" w:h="16838"/>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p>
    <w:p w14:paraId="687B170B">
      <w:pPr>
        <w:pStyle w:val="26"/>
        <w:rPr>
          <w:rFonts w:ascii="Times New Roman" w:hAnsi="Times New Roman" w:cs="Times New Roman"/>
          <w:snapToGrid w:val="0"/>
        </w:rPr>
      </w:pPr>
      <w:r>
        <w:rPr>
          <w:rFonts w:ascii="Times New Roman" w:hAnsi="Times New Roman" w:cs="Times New Roman"/>
          <w:snapToGrid w:val="0"/>
        </w:rPr>
        <w:t>三、区域环境质量现状、环境保护目标及评价标准</w:t>
      </w:r>
    </w:p>
    <w:tbl>
      <w:tblPr>
        <w:tblStyle w:val="29"/>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8154"/>
      </w:tblGrid>
      <w:tr w14:paraId="2AEDA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836" w:type="dxa"/>
            <w:vAlign w:val="center"/>
          </w:tcPr>
          <w:p w14:paraId="2CEAFB3F">
            <w:pPr>
              <w:adjustRightInd w:val="0"/>
              <w:snapToGrid w:val="0"/>
              <w:jc w:val="center"/>
              <w:rPr>
                <w:b/>
                <w:bCs/>
                <w:kern w:val="0"/>
                <w:sz w:val="28"/>
                <w:szCs w:val="28"/>
              </w:rPr>
            </w:pPr>
            <w:r>
              <w:rPr>
                <w:b/>
                <w:bCs/>
                <w:kern w:val="0"/>
                <w:sz w:val="28"/>
                <w:szCs w:val="28"/>
              </w:rPr>
              <w:t>区域</w:t>
            </w:r>
          </w:p>
          <w:p w14:paraId="208B168E">
            <w:pPr>
              <w:adjustRightInd w:val="0"/>
              <w:snapToGrid w:val="0"/>
              <w:jc w:val="center"/>
              <w:rPr>
                <w:b/>
                <w:bCs/>
                <w:kern w:val="0"/>
                <w:sz w:val="28"/>
                <w:szCs w:val="28"/>
              </w:rPr>
            </w:pPr>
            <w:r>
              <w:rPr>
                <w:b/>
                <w:bCs/>
                <w:kern w:val="0"/>
                <w:sz w:val="28"/>
                <w:szCs w:val="28"/>
              </w:rPr>
              <w:t>环境</w:t>
            </w:r>
          </w:p>
          <w:p w14:paraId="6B5E40C7">
            <w:pPr>
              <w:adjustRightInd w:val="0"/>
              <w:snapToGrid w:val="0"/>
              <w:jc w:val="center"/>
              <w:rPr>
                <w:b/>
                <w:bCs/>
                <w:kern w:val="0"/>
                <w:sz w:val="28"/>
                <w:szCs w:val="28"/>
              </w:rPr>
            </w:pPr>
            <w:r>
              <w:rPr>
                <w:b/>
                <w:bCs/>
                <w:kern w:val="0"/>
                <w:sz w:val="28"/>
                <w:szCs w:val="28"/>
              </w:rPr>
              <w:t>质量</w:t>
            </w:r>
          </w:p>
          <w:p w14:paraId="2826EF09">
            <w:pPr>
              <w:adjustRightInd w:val="0"/>
              <w:snapToGrid w:val="0"/>
              <w:jc w:val="center"/>
              <w:rPr>
                <w:kern w:val="0"/>
                <w:szCs w:val="21"/>
              </w:rPr>
            </w:pPr>
            <w:r>
              <w:rPr>
                <w:b/>
                <w:bCs/>
                <w:kern w:val="0"/>
                <w:sz w:val="28"/>
                <w:szCs w:val="28"/>
              </w:rPr>
              <w:t>现状</w:t>
            </w:r>
          </w:p>
        </w:tc>
        <w:tc>
          <w:tcPr>
            <w:tcW w:w="8154" w:type="dxa"/>
            <w:vAlign w:val="center"/>
          </w:tcPr>
          <w:p w14:paraId="01710F17">
            <w:pPr>
              <w:pStyle w:val="5"/>
              <w:ind w:firstLine="482"/>
            </w:pPr>
            <w:bookmarkStart w:id="4" w:name="_Toc467057572"/>
            <w:bookmarkStart w:id="5" w:name="_Toc29722416"/>
            <w:r>
              <w:t>1、大气环境质量现状</w:t>
            </w:r>
            <w:bookmarkEnd w:id="4"/>
            <w:bookmarkEnd w:id="5"/>
          </w:p>
          <w:p w14:paraId="31ADB277">
            <w:pPr>
              <w:adjustRightInd w:val="0"/>
              <w:snapToGrid w:val="0"/>
              <w:spacing w:line="360" w:lineRule="auto"/>
              <w:ind w:firstLine="482" w:firstLineChars="200"/>
              <w:rPr>
                <w:b/>
                <w:bCs/>
                <w:sz w:val="24"/>
              </w:rPr>
            </w:pPr>
            <w:r>
              <w:rPr>
                <w:b/>
                <w:bCs/>
                <w:sz w:val="24"/>
              </w:rPr>
              <w:t>1.1基本污染物达标区判定</w:t>
            </w:r>
          </w:p>
          <w:p w14:paraId="47A98641">
            <w:pPr>
              <w:spacing w:line="360" w:lineRule="auto"/>
              <w:ind w:firstLine="480" w:firstLineChars="200"/>
              <w:rPr>
                <w:rFonts w:hint="default" w:ascii="Times New Roman" w:hAnsi="Times New Roman" w:eastAsia="新宋体" w:cs="Times New Roman"/>
                <w:color w:val="auto"/>
                <w:kern w:val="0"/>
                <w:sz w:val="24"/>
                <w:szCs w:val="24"/>
              </w:rPr>
            </w:pPr>
            <w:r>
              <w:rPr>
                <w:rFonts w:hint="default" w:ascii="Times New Roman" w:hAnsi="Times New Roman" w:eastAsia="新宋体" w:cs="Times New Roman"/>
                <w:sz w:val="24"/>
                <w:szCs w:val="24"/>
              </w:rPr>
              <w:t>根据《环境影响评价技术导则大气环境》（H.J2.2-2018</w:t>
            </w:r>
            <w:r>
              <w:rPr>
                <w:rFonts w:hint="eastAsia" w:eastAsia="新宋体" w:cs="Times New Roman"/>
                <w:sz w:val="24"/>
                <w:szCs w:val="24"/>
                <w:lang w:eastAsia="zh-CN"/>
              </w:rPr>
              <w:t>）</w:t>
            </w:r>
            <w:r>
              <w:rPr>
                <w:rFonts w:hint="default" w:ascii="Times New Roman" w:hAnsi="Times New Roman" w:eastAsia="新宋体" w:cs="Times New Roman"/>
                <w:sz w:val="24"/>
                <w:szCs w:val="24"/>
              </w:rPr>
              <w:t>中</w:t>
            </w:r>
            <w:r>
              <w:rPr>
                <w:rFonts w:hint="eastAsia" w:eastAsia="新宋体" w:cs="Times New Roman"/>
                <w:sz w:val="24"/>
                <w:szCs w:val="24"/>
                <w:lang w:eastAsia="zh-CN"/>
              </w:rPr>
              <w:t>“</w:t>
            </w:r>
            <w:r>
              <w:rPr>
                <w:rFonts w:hint="default" w:ascii="Times New Roman" w:hAnsi="Times New Roman" w:eastAsia="新宋体" w:cs="Times New Roman"/>
                <w:sz w:val="24"/>
                <w:szCs w:val="24"/>
              </w:rPr>
              <w:t>评价范围内没有环境空气质量监测网络数据或公开发布的环境空气质量现状监测数据的，可选择符合</w:t>
            </w:r>
            <w:r>
              <w:rPr>
                <w:rFonts w:hint="default" w:ascii="Times New Roman" w:hAnsi="Times New Roman" w:eastAsia="新宋体" w:cs="Times New Roman"/>
                <w:sz w:val="24"/>
                <w:szCs w:val="24"/>
                <w:lang w:eastAsia="zh-CN"/>
              </w:rPr>
              <w:t>《</w:t>
            </w:r>
            <w:r>
              <w:rPr>
                <w:rFonts w:hint="default" w:ascii="Times New Roman" w:hAnsi="Times New Roman" w:eastAsia="新宋体" w:cs="Times New Roman"/>
                <w:sz w:val="24"/>
                <w:szCs w:val="24"/>
                <w:lang w:val="en-US" w:eastAsia="zh-CN"/>
              </w:rPr>
              <w:t>环境空气质量监测点位布设技术规范（试行</w:t>
            </w:r>
            <w:r>
              <w:rPr>
                <w:rFonts w:hint="eastAsia" w:eastAsia="新宋体" w:cs="Times New Roman"/>
                <w:sz w:val="24"/>
                <w:szCs w:val="24"/>
                <w:lang w:val="en-US" w:eastAsia="zh-CN"/>
              </w:rPr>
              <w:t>）</w:t>
            </w:r>
            <w:r>
              <w:rPr>
                <w:rFonts w:hint="default" w:ascii="Times New Roman" w:hAnsi="Times New Roman" w:eastAsia="新宋体" w:cs="Times New Roman"/>
                <w:sz w:val="24"/>
                <w:szCs w:val="24"/>
                <w:lang w:eastAsia="zh-CN"/>
              </w:rPr>
              <w:t>》</w:t>
            </w:r>
            <w:r>
              <w:rPr>
                <w:rFonts w:hint="default" w:ascii="Times New Roman" w:hAnsi="Times New Roman" w:eastAsia="新宋体" w:cs="Times New Roman"/>
                <w:sz w:val="24"/>
                <w:szCs w:val="24"/>
                <w:lang w:val="en-US" w:eastAsia="zh-CN"/>
              </w:rPr>
              <w:t>（</w:t>
            </w:r>
            <w:r>
              <w:rPr>
                <w:rFonts w:hint="default" w:ascii="Times New Roman" w:hAnsi="Times New Roman" w:eastAsia="新宋体" w:cs="Times New Roman"/>
                <w:sz w:val="24"/>
                <w:szCs w:val="24"/>
              </w:rPr>
              <w:t>HJ664</w:t>
            </w:r>
            <w:r>
              <w:rPr>
                <w:rFonts w:hint="default" w:ascii="Times New Roman" w:hAnsi="Times New Roman" w:eastAsia="新宋体" w:cs="Times New Roman"/>
                <w:sz w:val="24"/>
                <w:szCs w:val="24"/>
                <w:lang w:val="en-US" w:eastAsia="zh-CN"/>
              </w:rPr>
              <w:t>-2013</w:t>
            </w:r>
            <w:r>
              <w:rPr>
                <w:rFonts w:hint="eastAsia" w:eastAsia="新宋体" w:cs="Times New Roman"/>
                <w:sz w:val="24"/>
                <w:szCs w:val="24"/>
                <w:lang w:val="en-US" w:eastAsia="zh-CN"/>
              </w:rPr>
              <w:t>）</w:t>
            </w:r>
            <w:r>
              <w:rPr>
                <w:rFonts w:hint="default" w:ascii="Times New Roman" w:hAnsi="Times New Roman" w:eastAsia="新宋体" w:cs="Times New Roman"/>
                <w:sz w:val="24"/>
                <w:szCs w:val="24"/>
              </w:rPr>
              <w:t>规定，并且与评价范围地理位置临近，地形、气候条件相近的环境空气质量城市点或区域点监测数据</w:t>
            </w:r>
            <w:r>
              <w:rPr>
                <w:rFonts w:hint="eastAsia" w:eastAsia="新宋体" w:cs="Times New Roman"/>
                <w:sz w:val="24"/>
                <w:szCs w:val="24"/>
                <w:lang w:eastAsia="zh-CN"/>
              </w:rPr>
              <w:t>”</w:t>
            </w:r>
            <w:r>
              <w:rPr>
                <w:rFonts w:hint="default" w:ascii="Times New Roman" w:hAnsi="Times New Roman" w:eastAsia="新宋体" w:cs="Times New Roman"/>
                <w:sz w:val="24"/>
                <w:szCs w:val="24"/>
              </w:rPr>
              <w:t>的规定，选取距离本项目最近的监测点</w:t>
            </w:r>
            <w:r>
              <w:rPr>
                <w:rFonts w:hint="default" w:ascii="Times New Roman" w:hAnsi="Times New Roman" w:eastAsia="新宋体" w:cs="Times New Roman"/>
                <w:sz w:val="24"/>
                <w:szCs w:val="24"/>
                <w:lang w:val="en-US" w:eastAsia="zh-CN"/>
              </w:rPr>
              <w:t>库尔勒市孔雀公园自动监测站</w:t>
            </w:r>
            <w:r>
              <w:rPr>
                <w:rFonts w:hint="default" w:ascii="Times New Roman" w:hAnsi="Times New Roman" w:eastAsia="新宋体" w:cs="Times New Roman"/>
                <w:sz w:val="24"/>
                <w:szCs w:val="24"/>
              </w:rPr>
              <w:t>，202</w:t>
            </w:r>
            <w:r>
              <w:rPr>
                <w:rFonts w:hint="default" w:ascii="Times New Roman" w:hAnsi="Times New Roman" w:eastAsia="新宋体" w:cs="Times New Roman"/>
                <w:sz w:val="24"/>
                <w:szCs w:val="24"/>
                <w:lang w:val="en-US" w:eastAsia="zh-CN"/>
              </w:rPr>
              <w:t>3</w:t>
            </w:r>
            <w:r>
              <w:rPr>
                <w:rFonts w:hint="default" w:ascii="Times New Roman" w:hAnsi="Times New Roman" w:eastAsia="新宋体" w:cs="Times New Roman"/>
                <w:sz w:val="24"/>
                <w:szCs w:val="24"/>
              </w:rPr>
              <w:t>年基准年连续1年环境质量监测数据作为本项目环境空气现状评价基本污染物SO</w:t>
            </w:r>
            <w:r>
              <w:rPr>
                <w:rFonts w:hint="default" w:ascii="Times New Roman" w:hAnsi="Times New Roman" w:eastAsia="新宋体" w:cs="Times New Roman"/>
                <w:sz w:val="24"/>
                <w:szCs w:val="24"/>
                <w:vertAlign w:val="subscript"/>
              </w:rPr>
              <w:t>2</w:t>
            </w:r>
            <w:r>
              <w:rPr>
                <w:rFonts w:hint="default" w:ascii="Times New Roman" w:hAnsi="Times New Roman" w:eastAsia="新宋体" w:cs="Times New Roman"/>
                <w:sz w:val="24"/>
                <w:szCs w:val="24"/>
              </w:rPr>
              <w:t>、NO</w:t>
            </w:r>
            <w:r>
              <w:rPr>
                <w:rFonts w:hint="default" w:ascii="Times New Roman" w:hAnsi="Times New Roman" w:eastAsia="新宋体" w:cs="Times New Roman"/>
                <w:sz w:val="24"/>
                <w:szCs w:val="24"/>
                <w:vertAlign w:val="subscript"/>
              </w:rPr>
              <w:t>2</w:t>
            </w:r>
            <w:r>
              <w:rPr>
                <w:rFonts w:hint="default" w:ascii="Times New Roman" w:hAnsi="Times New Roman" w:eastAsia="新宋体" w:cs="Times New Roman"/>
                <w:sz w:val="24"/>
                <w:szCs w:val="24"/>
              </w:rPr>
              <w:t>、PM</w:t>
            </w:r>
            <w:r>
              <w:rPr>
                <w:rFonts w:hint="default" w:ascii="Times New Roman" w:hAnsi="Times New Roman" w:eastAsia="新宋体" w:cs="Times New Roman"/>
                <w:sz w:val="24"/>
                <w:szCs w:val="24"/>
                <w:vertAlign w:val="subscript"/>
              </w:rPr>
              <w:t>10</w:t>
            </w:r>
            <w:r>
              <w:rPr>
                <w:rFonts w:hint="default" w:ascii="Times New Roman" w:hAnsi="Times New Roman" w:eastAsia="新宋体" w:cs="Times New Roman"/>
                <w:sz w:val="24"/>
                <w:szCs w:val="24"/>
              </w:rPr>
              <w:t>、PM</w:t>
            </w:r>
            <w:r>
              <w:rPr>
                <w:rFonts w:hint="default" w:ascii="Times New Roman" w:hAnsi="Times New Roman" w:eastAsia="新宋体" w:cs="Times New Roman"/>
                <w:sz w:val="24"/>
                <w:szCs w:val="24"/>
                <w:vertAlign w:val="subscript"/>
              </w:rPr>
              <w:t>2.5</w:t>
            </w:r>
            <w:r>
              <w:rPr>
                <w:rFonts w:hint="default" w:ascii="Times New Roman" w:hAnsi="Times New Roman" w:eastAsia="新宋体" w:cs="Times New Roman"/>
                <w:sz w:val="24"/>
                <w:szCs w:val="24"/>
              </w:rPr>
              <w:t>、CO和O</w:t>
            </w:r>
            <w:r>
              <w:rPr>
                <w:rFonts w:hint="default" w:ascii="Times New Roman" w:hAnsi="Times New Roman" w:eastAsia="新宋体" w:cs="Times New Roman"/>
                <w:sz w:val="24"/>
                <w:szCs w:val="24"/>
                <w:vertAlign w:val="subscript"/>
              </w:rPr>
              <w:t>3</w:t>
            </w:r>
            <w:r>
              <w:rPr>
                <w:rFonts w:hint="default" w:ascii="Times New Roman" w:hAnsi="Times New Roman" w:eastAsia="新宋体" w:cs="Times New Roman"/>
                <w:sz w:val="24"/>
                <w:szCs w:val="24"/>
              </w:rPr>
              <w:t>的数据来源。详见下表</w:t>
            </w:r>
            <w:r>
              <w:rPr>
                <w:rFonts w:hint="default" w:ascii="Times New Roman" w:hAnsi="Times New Roman" w:eastAsia="新宋体" w:cs="Times New Roman"/>
                <w:color w:val="000000"/>
                <w:kern w:val="0"/>
                <w:sz w:val="24"/>
                <w:szCs w:val="24"/>
              </w:rPr>
              <w:t>。</w:t>
            </w:r>
          </w:p>
          <w:p w14:paraId="1B4C41E2">
            <w:pPr>
              <w:ind w:firstLine="0" w:firstLineChars="0"/>
              <w:jc w:val="center"/>
              <w:rPr>
                <w:rFonts w:hint="eastAsia"/>
                <w:b/>
                <w:bCs/>
                <w:color w:val="auto"/>
              </w:rPr>
            </w:pPr>
            <w:r>
              <w:rPr>
                <w:rFonts w:hint="eastAsia"/>
                <w:b/>
                <w:bCs/>
                <w:color w:val="auto"/>
              </w:rPr>
              <w:t>表</w:t>
            </w:r>
            <w:r>
              <w:rPr>
                <w:rFonts w:hint="eastAsia"/>
                <w:b/>
                <w:bCs/>
                <w:color w:val="auto"/>
                <w:lang w:val="en-US" w:eastAsia="zh-CN"/>
              </w:rPr>
              <w:t>3</w:t>
            </w:r>
            <w:r>
              <w:rPr>
                <w:rFonts w:hint="eastAsia"/>
                <w:b/>
                <w:bCs/>
                <w:color w:val="auto"/>
              </w:rPr>
              <w:noBreakHyphen/>
            </w:r>
            <w:r>
              <w:rPr>
                <w:rFonts w:hint="eastAsia"/>
                <w:b/>
                <w:bCs/>
                <w:color w:val="auto"/>
              </w:rPr>
              <w:t>1库尔勒市202</w:t>
            </w:r>
            <w:r>
              <w:rPr>
                <w:rFonts w:hint="eastAsia"/>
                <w:b/>
                <w:bCs/>
                <w:color w:val="auto"/>
                <w:lang w:val="en-US" w:eastAsia="zh-CN"/>
              </w:rPr>
              <w:t>3</w:t>
            </w:r>
            <w:r>
              <w:rPr>
                <w:rFonts w:hint="eastAsia"/>
                <w:b/>
                <w:bCs/>
                <w:color w:val="auto"/>
              </w:rPr>
              <w:t>年空气质量现状评价表</w:t>
            </w:r>
          </w:p>
          <w:tbl>
            <w:tblPr>
              <w:tblStyle w:val="3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001"/>
              <w:gridCol w:w="2330"/>
              <w:gridCol w:w="1033"/>
              <w:gridCol w:w="1446"/>
              <w:gridCol w:w="1161"/>
              <w:gridCol w:w="965"/>
            </w:tblGrid>
            <w:tr w14:paraId="0219DE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630" w:type="pct"/>
                  <w:tcBorders>
                    <w:tl2br w:val="nil"/>
                    <w:tr2bl w:val="nil"/>
                  </w:tcBorders>
                  <w:noWrap w:val="0"/>
                  <w:vAlign w:val="center"/>
                </w:tcPr>
                <w:p w14:paraId="73F3FDB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污染物</w:t>
                  </w:r>
                </w:p>
              </w:tc>
              <w:tc>
                <w:tcPr>
                  <w:tcW w:w="1467" w:type="pct"/>
                  <w:tcBorders>
                    <w:tl2br w:val="nil"/>
                    <w:tr2bl w:val="nil"/>
                  </w:tcBorders>
                  <w:noWrap w:val="0"/>
                  <w:vAlign w:val="center"/>
                </w:tcPr>
                <w:p w14:paraId="6DED0D2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评价项目</w:t>
                  </w:r>
                </w:p>
              </w:tc>
              <w:tc>
                <w:tcPr>
                  <w:tcW w:w="651" w:type="pct"/>
                  <w:tcBorders>
                    <w:tl2br w:val="nil"/>
                    <w:tr2bl w:val="nil"/>
                  </w:tcBorders>
                  <w:noWrap w:val="0"/>
                  <w:vAlign w:val="center"/>
                </w:tcPr>
                <w:p w14:paraId="757AD847">
                  <w:pPr>
                    <w:pStyle w:val="23"/>
                    <w:keepNext w:val="0"/>
                    <w:keepLines w:val="0"/>
                    <w:pageBreakBefore w:val="0"/>
                    <w:widowControl w:val="0"/>
                    <w:kinsoku/>
                    <w:wordWrap/>
                    <w:overflowPunct/>
                    <w:topLinePunct w:val="0"/>
                    <w:bidi w:val="0"/>
                    <w:adjustRightInd w:val="0"/>
                    <w:snapToGrid w:val="0"/>
                    <w:spacing w:before="0" w:after="0" w:line="240" w:lineRule="auto"/>
                    <w:ind w:firstLine="0" w:firstLine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color w:val="auto"/>
                      <w:sz w:val="21"/>
                      <w:szCs w:val="21"/>
                      <w:highlight w:val="none"/>
                    </w:rPr>
                    <w:t>浓度（μ</w:t>
                  </w:r>
                  <w:r>
                    <w:rPr>
                      <w:rFonts w:hint="default" w:ascii="Times New Roman" w:hAnsi="Times New Roman" w:eastAsia="宋体" w:cs="Times New Roman"/>
                      <w:color w:val="auto"/>
                      <w:sz w:val="24"/>
                      <w:szCs w:val="24"/>
                      <w:highlight w:val="none"/>
                      <w:lang w:val="en-US" w:eastAsia="zh-CN"/>
                    </w:rPr>
                    <w:t>g</w:t>
                  </w: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lang w:eastAsia="zh-CN"/>
                    </w:rPr>
                    <w:t>）</w:t>
                  </w:r>
                </w:p>
              </w:tc>
              <w:tc>
                <w:tcPr>
                  <w:tcW w:w="910" w:type="pct"/>
                  <w:tcBorders>
                    <w:tl2br w:val="nil"/>
                    <w:tr2bl w:val="nil"/>
                  </w:tcBorders>
                  <w:noWrap w:val="0"/>
                  <w:vAlign w:val="center"/>
                </w:tcPr>
                <w:p w14:paraId="02675AF6">
                  <w:pPr>
                    <w:pStyle w:val="23"/>
                    <w:keepNext w:val="0"/>
                    <w:keepLines w:val="0"/>
                    <w:pageBreakBefore w:val="0"/>
                    <w:widowControl w:val="0"/>
                    <w:kinsoku/>
                    <w:wordWrap/>
                    <w:overflowPunct/>
                    <w:topLinePunct w:val="0"/>
                    <w:bidi w:val="0"/>
                    <w:adjustRightInd w:val="0"/>
                    <w:snapToGrid w:val="0"/>
                    <w:spacing w:before="0" w:after="0" w:line="240" w:lineRule="auto"/>
                    <w:ind w:firstLine="0" w:firstLine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rPr>
                    <w:t>标准（二级</w:t>
                  </w:r>
                  <w:r>
                    <w:rPr>
                      <w:rFonts w:hint="eastAsia"/>
                      <w:color w:val="auto"/>
                      <w:sz w:val="21"/>
                      <w:szCs w:val="21"/>
                      <w:highlight w:val="none"/>
                      <w:lang w:eastAsia="zh-CN"/>
                    </w:rPr>
                    <w:t>）</w:t>
                  </w:r>
                </w:p>
              </w:tc>
              <w:tc>
                <w:tcPr>
                  <w:tcW w:w="731" w:type="pct"/>
                  <w:tcBorders>
                    <w:tl2br w:val="nil"/>
                    <w:tr2bl w:val="nil"/>
                  </w:tcBorders>
                  <w:noWrap w:val="0"/>
                  <w:vAlign w:val="center"/>
                </w:tcPr>
                <w:p w14:paraId="36CE39D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占标率%</w:t>
                  </w:r>
                </w:p>
              </w:tc>
              <w:tc>
                <w:tcPr>
                  <w:tcW w:w="608" w:type="pct"/>
                  <w:tcBorders>
                    <w:tl2br w:val="nil"/>
                    <w:tr2bl w:val="nil"/>
                  </w:tcBorders>
                  <w:noWrap w:val="0"/>
                  <w:vAlign w:val="center"/>
                </w:tcPr>
                <w:p w14:paraId="6324DC8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达标情况</w:t>
                  </w:r>
                </w:p>
              </w:tc>
            </w:tr>
            <w:tr w14:paraId="7157F8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restart"/>
                  <w:tcBorders>
                    <w:tl2br w:val="nil"/>
                    <w:tr2bl w:val="nil"/>
                  </w:tcBorders>
                  <w:noWrap w:val="0"/>
                  <w:vAlign w:val="center"/>
                </w:tcPr>
                <w:p w14:paraId="0A824B9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SO</w:t>
                  </w:r>
                  <w:r>
                    <w:rPr>
                      <w:rFonts w:hint="eastAsia" w:ascii="Times New Roman" w:hAnsi="Times New Roman" w:eastAsia="宋体" w:cs="Times New Roman"/>
                      <w:b w:val="0"/>
                      <w:bCs w:val="0"/>
                      <w:color w:val="auto"/>
                      <w:kern w:val="2"/>
                      <w:sz w:val="21"/>
                      <w:szCs w:val="21"/>
                      <w:highlight w:val="none"/>
                      <w:vertAlign w:val="subscript"/>
                      <w:lang w:val="en-US" w:eastAsia="zh-CN" w:bidi="ar-SA"/>
                    </w:rPr>
                    <w:t>2</w:t>
                  </w:r>
                </w:p>
              </w:tc>
              <w:tc>
                <w:tcPr>
                  <w:tcW w:w="1467" w:type="pct"/>
                  <w:tcBorders>
                    <w:tl2br w:val="nil"/>
                    <w:tr2bl w:val="nil"/>
                  </w:tcBorders>
                  <w:noWrap w:val="0"/>
                  <w:vAlign w:val="center"/>
                </w:tcPr>
                <w:p w14:paraId="3C2AB44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年平均</w:t>
                  </w:r>
                </w:p>
              </w:tc>
              <w:tc>
                <w:tcPr>
                  <w:tcW w:w="651" w:type="pct"/>
                  <w:tcBorders>
                    <w:tl2br w:val="nil"/>
                    <w:tr2bl w:val="nil"/>
                  </w:tcBorders>
                  <w:noWrap w:val="0"/>
                  <w:vAlign w:val="center"/>
                </w:tcPr>
                <w:p w14:paraId="491521B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p>
              </w:tc>
              <w:tc>
                <w:tcPr>
                  <w:tcW w:w="910" w:type="pct"/>
                  <w:tcBorders>
                    <w:tl2br w:val="nil"/>
                    <w:tr2bl w:val="nil"/>
                  </w:tcBorders>
                  <w:noWrap w:val="0"/>
                  <w:vAlign w:val="center"/>
                </w:tcPr>
                <w:p w14:paraId="1E1A19F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60</w:t>
                  </w:r>
                </w:p>
              </w:tc>
              <w:tc>
                <w:tcPr>
                  <w:tcW w:w="731" w:type="pct"/>
                  <w:tcBorders>
                    <w:tl2br w:val="nil"/>
                    <w:tr2bl w:val="nil"/>
                  </w:tcBorders>
                  <w:noWrap w:val="0"/>
                  <w:vAlign w:val="center"/>
                </w:tcPr>
                <w:p w14:paraId="5AAD01B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8.3</w:t>
                  </w:r>
                </w:p>
              </w:tc>
              <w:tc>
                <w:tcPr>
                  <w:tcW w:w="608" w:type="pct"/>
                  <w:tcBorders>
                    <w:tl2br w:val="nil"/>
                    <w:tr2bl w:val="nil"/>
                  </w:tcBorders>
                  <w:noWrap w:val="0"/>
                  <w:vAlign w:val="center"/>
                </w:tcPr>
                <w:p w14:paraId="2AB438C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067889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continue"/>
                  <w:tcBorders>
                    <w:tl2br w:val="nil"/>
                    <w:tr2bl w:val="nil"/>
                  </w:tcBorders>
                  <w:noWrap w:val="0"/>
                  <w:vAlign w:val="center"/>
                </w:tcPr>
                <w:p w14:paraId="21CEB89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467" w:type="pct"/>
                  <w:tcBorders>
                    <w:tl2br w:val="nil"/>
                    <w:tr2bl w:val="nil"/>
                  </w:tcBorders>
                  <w:noWrap w:val="0"/>
                  <w:vAlign w:val="center"/>
                </w:tcPr>
                <w:p w14:paraId="564AE93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24h平均第98百分位数</w:t>
                  </w:r>
                </w:p>
              </w:tc>
              <w:tc>
                <w:tcPr>
                  <w:tcW w:w="651" w:type="pct"/>
                  <w:tcBorders>
                    <w:tl2br w:val="nil"/>
                    <w:tr2bl w:val="nil"/>
                  </w:tcBorders>
                  <w:noWrap w:val="0"/>
                  <w:vAlign w:val="center"/>
                </w:tcPr>
                <w:p w14:paraId="76C5875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12</w:t>
                  </w:r>
                </w:p>
              </w:tc>
              <w:tc>
                <w:tcPr>
                  <w:tcW w:w="910" w:type="pct"/>
                  <w:tcBorders>
                    <w:tl2br w:val="nil"/>
                    <w:tr2bl w:val="nil"/>
                  </w:tcBorders>
                  <w:noWrap w:val="0"/>
                  <w:vAlign w:val="center"/>
                </w:tcPr>
                <w:p w14:paraId="1D6B7BD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150</w:t>
                  </w:r>
                </w:p>
              </w:tc>
              <w:tc>
                <w:tcPr>
                  <w:tcW w:w="731" w:type="pct"/>
                  <w:tcBorders>
                    <w:tl2br w:val="nil"/>
                    <w:tr2bl w:val="nil"/>
                  </w:tcBorders>
                  <w:noWrap w:val="0"/>
                  <w:vAlign w:val="center"/>
                </w:tcPr>
                <w:p w14:paraId="5EDA83F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w:t>
                  </w:r>
                </w:p>
              </w:tc>
              <w:tc>
                <w:tcPr>
                  <w:tcW w:w="608" w:type="pct"/>
                  <w:tcBorders>
                    <w:tl2br w:val="nil"/>
                    <w:tr2bl w:val="nil"/>
                  </w:tcBorders>
                  <w:noWrap w:val="0"/>
                  <w:vAlign w:val="center"/>
                </w:tcPr>
                <w:p w14:paraId="33D8700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412868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restart"/>
                  <w:tcBorders>
                    <w:tl2br w:val="nil"/>
                    <w:tr2bl w:val="nil"/>
                  </w:tcBorders>
                  <w:noWrap w:val="0"/>
                  <w:vAlign w:val="center"/>
                </w:tcPr>
                <w:p w14:paraId="23CF2B2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NO</w:t>
                  </w:r>
                  <w:r>
                    <w:rPr>
                      <w:rFonts w:hint="eastAsia" w:ascii="Times New Roman" w:hAnsi="Times New Roman" w:eastAsia="宋体" w:cs="Times New Roman"/>
                      <w:b w:val="0"/>
                      <w:bCs w:val="0"/>
                      <w:color w:val="auto"/>
                      <w:kern w:val="2"/>
                      <w:sz w:val="21"/>
                      <w:szCs w:val="21"/>
                      <w:highlight w:val="none"/>
                      <w:vertAlign w:val="subscript"/>
                      <w:lang w:val="en-US" w:eastAsia="zh-CN" w:bidi="ar-SA"/>
                    </w:rPr>
                    <w:t>2</w:t>
                  </w:r>
                </w:p>
              </w:tc>
              <w:tc>
                <w:tcPr>
                  <w:tcW w:w="1467" w:type="pct"/>
                  <w:tcBorders>
                    <w:tl2br w:val="nil"/>
                    <w:tr2bl w:val="nil"/>
                  </w:tcBorders>
                  <w:noWrap w:val="0"/>
                  <w:vAlign w:val="center"/>
                </w:tcPr>
                <w:p w14:paraId="153C019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年平均</w:t>
                  </w:r>
                </w:p>
              </w:tc>
              <w:tc>
                <w:tcPr>
                  <w:tcW w:w="651" w:type="pct"/>
                  <w:tcBorders>
                    <w:tl2br w:val="nil"/>
                    <w:tr2bl w:val="nil"/>
                  </w:tcBorders>
                  <w:noWrap w:val="0"/>
                  <w:vAlign w:val="center"/>
                </w:tcPr>
                <w:p w14:paraId="52A536D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w:t>
                  </w:r>
                </w:p>
              </w:tc>
              <w:tc>
                <w:tcPr>
                  <w:tcW w:w="910" w:type="pct"/>
                  <w:tcBorders>
                    <w:tl2br w:val="nil"/>
                    <w:tr2bl w:val="nil"/>
                  </w:tcBorders>
                  <w:noWrap w:val="0"/>
                  <w:vAlign w:val="center"/>
                </w:tcPr>
                <w:p w14:paraId="774790F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40</w:t>
                  </w:r>
                </w:p>
              </w:tc>
              <w:tc>
                <w:tcPr>
                  <w:tcW w:w="731" w:type="pct"/>
                  <w:tcBorders>
                    <w:tl2br w:val="nil"/>
                    <w:tr2bl w:val="nil"/>
                  </w:tcBorders>
                  <w:noWrap w:val="0"/>
                  <w:vAlign w:val="center"/>
                </w:tcPr>
                <w:p w14:paraId="02C5FAA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72.5</w:t>
                  </w:r>
                </w:p>
              </w:tc>
              <w:tc>
                <w:tcPr>
                  <w:tcW w:w="608" w:type="pct"/>
                  <w:tcBorders>
                    <w:tl2br w:val="nil"/>
                    <w:tr2bl w:val="nil"/>
                  </w:tcBorders>
                  <w:noWrap w:val="0"/>
                  <w:vAlign w:val="center"/>
                </w:tcPr>
                <w:p w14:paraId="7DD5441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180E8D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continue"/>
                  <w:tcBorders>
                    <w:tl2br w:val="nil"/>
                    <w:tr2bl w:val="nil"/>
                  </w:tcBorders>
                  <w:noWrap w:val="0"/>
                  <w:vAlign w:val="center"/>
                </w:tcPr>
                <w:p w14:paraId="61D48F0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467" w:type="pct"/>
                  <w:tcBorders>
                    <w:tl2br w:val="nil"/>
                    <w:tr2bl w:val="nil"/>
                  </w:tcBorders>
                  <w:noWrap w:val="0"/>
                  <w:vAlign w:val="center"/>
                </w:tcPr>
                <w:p w14:paraId="0006021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24h平均第98百分位数</w:t>
                  </w:r>
                </w:p>
              </w:tc>
              <w:tc>
                <w:tcPr>
                  <w:tcW w:w="651" w:type="pct"/>
                  <w:tcBorders>
                    <w:tl2br w:val="nil"/>
                    <w:tr2bl w:val="nil"/>
                  </w:tcBorders>
                  <w:noWrap w:val="0"/>
                  <w:vAlign w:val="center"/>
                </w:tcPr>
                <w:p w14:paraId="6AF4D54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60</w:t>
                  </w:r>
                </w:p>
              </w:tc>
              <w:tc>
                <w:tcPr>
                  <w:tcW w:w="910" w:type="pct"/>
                  <w:tcBorders>
                    <w:tl2br w:val="nil"/>
                    <w:tr2bl w:val="nil"/>
                  </w:tcBorders>
                  <w:noWrap w:val="0"/>
                  <w:vAlign w:val="center"/>
                </w:tcPr>
                <w:p w14:paraId="3A7F178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80</w:t>
                  </w:r>
                </w:p>
              </w:tc>
              <w:tc>
                <w:tcPr>
                  <w:tcW w:w="731" w:type="pct"/>
                  <w:tcBorders>
                    <w:tl2br w:val="nil"/>
                    <w:tr2bl w:val="nil"/>
                  </w:tcBorders>
                  <w:noWrap w:val="0"/>
                  <w:vAlign w:val="center"/>
                </w:tcPr>
                <w:p w14:paraId="0F1794C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75</w:t>
                  </w:r>
                </w:p>
              </w:tc>
              <w:tc>
                <w:tcPr>
                  <w:tcW w:w="608" w:type="pct"/>
                  <w:tcBorders>
                    <w:tl2br w:val="nil"/>
                    <w:tr2bl w:val="nil"/>
                  </w:tcBorders>
                  <w:noWrap w:val="0"/>
                  <w:vAlign w:val="center"/>
                </w:tcPr>
                <w:p w14:paraId="72A3987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0B3C68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tcBorders>
                    <w:tl2br w:val="nil"/>
                    <w:tr2bl w:val="nil"/>
                  </w:tcBorders>
                  <w:noWrap w:val="0"/>
                  <w:vAlign w:val="center"/>
                </w:tcPr>
                <w:p w14:paraId="5B62247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CO</w:t>
                  </w:r>
                </w:p>
                <w:p w14:paraId="52D027D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（mg/m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cs="Times New Roman"/>
                      <w:b w:val="0"/>
                      <w:bCs w:val="0"/>
                      <w:color w:val="auto"/>
                      <w:kern w:val="2"/>
                      <w:sz w:val="21"/>
                      <w:szCs w:val="21"/>
                      <w:highlight w:val="none"/>
                      <w:lang w:val="en-US" w:eastAsia="zh-CN" w:bidi="ar-SA"/>
                    </w:rPr>
                    <w:t>）</w:t>
                  </w:r>
                </w:p>
              </w:tc>
              <w:tc>
                <w:tcPr>
                  <w:tcW w:w="1467" w:type="pct"/>
                  <w:tcBorders>
                    <w:tl2br w:val="nil"/>
                    <w:tr2bl w:val="nil"/>
                  </w:tcBorders>
                  <w:noWrap w:val="0"/>
                  <w:vAlign w:val="center"/>
                </w:tcPr>
                <w:p w14:paraId="7FDA79D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24h平均第95百分位数</w:t>
                  </w:r>
                </w:p>
              </w:tc>
              <w:tc>
                <w:tcPr>
                  <w:tcW w:w="651" w:type="pct"/>
                  <w:tcBorders>
                    <w:tl2br w:val="nil"/>
                    <w:tr2bl w:val="nil"/>
                  </w:tcBorders>
                  <w:noWrap w:val="0"/>
                  <w:vAlign w:val="center"/>
                </w:tcPr>
                <w:p w14:paraId="377DDFD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w:t>
                  </w:r>
                </w:p>
              </w:tc>
              <w:tc>
                <w:tcPr>
                  <w:tcW w:w="910" w:type="pct"/>
                  <w:tcBorders>
                    <w:tl2br w:val="nil"/>
                    <w:tr2bl w:val="nil"/>
                  </w:tcBorders>
                  <w:noWrap w:val="0"/>
                  <w:vAlign w:val="center"/>
                </w:tcPr>
                <w:p w14:paraId="61163FD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w:t>
                  </w:r>
                </w:p>
              </w:tc>
              <w:tc>
                <w:tcPr>
                  <w:tcW w:w="731" w:type="pct"/>
                  <w:tcBorders>
                    <w:tl2br w:val="nil"/>
                    <w:tr2bl w:val="nil"/>
                  </w:tcBorders>
                  <w:noWrap w:val="0"/>
                  <w:vAlign w:val="center"/>
                </w:tcPr>
                <w:p w14:paraId="597E8F0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25</w:t>
                  </w:r>
                </w:p>
              </w:tc>
              <w:tc>
                <w:tcPr>
                  <w:tcW w:w="608" w:type="pct"/>
                  <w:tcBorders>
                    <w:tl2br w:val="nil"/>
                    <w:tr2bl w:val="nil"/>
                  </w:tcBorders>
                  <w:noWrap w:val="0"/>
                  <w:vAlign w:val="center"/>
                </w:tcPr>
                <w:p w14:paraId="5D28459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24AA31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tcBorders>
                    <w:tl2br w:val="nil"/>
                    <w:tr2bl w:val="nil"/>
                  </w:tcBorders>
                  <w:noWrap w:val="0"/>
                  <w:vAlign w:val="center"/>
                </w:tcPr>
                <w:p w14:paraId="5E9D1C3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O</w:t>
                  </w:r>
                  <w:r>
                    <w:rPr>
                      <w:rFonts w:hint="eastAsia" w:ascii="Times New Roman" w:hAnsi="Times New Roman" w:eastAsia="宋体" w:cs="Times New Roman"/>
                      <w:b w:val="0"/>
                      <w:bCs w:val="0"/>
                      <w:color w:val="auto"/>
                      <w:kern w:val="2"/>
                      <w:sz w:val="21"/>
                      <w:szCs w:val="21"/>
                      <w:highlight w:val="none"/>
                      <w:vertAlign w:val="subscript"/>
                      <w:lang w:val="en-US" w:eastAsia="zh-CN" w:bidi="ar-SA"/>
                    </w:rPr>
                    <w:t>3</w:t>
                  </w:r>
                </w:p>
              </w:tc>
              <w:tc>
                <w:tcPr>
                  <w:tcW w:w="1467" w:type="pct"/>
                  <w:tcBorders>
                    <w:tl2br w:val="nil"/>
                    <w:tr2bl w:val="nil"/>
                  </w:tcBorders>
                  <w:noWrap w:val="0"/>
                  <w:vAlign w:val="center"/>
                </w:tcPr>
                <w:p w14:paraId="7B2297F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最大8小时滑动平均值的第90百分位数</w:t>
                  </w:r>
                </w:p>
              </w:tc>
              <w:tc>
                <w:tcPr>
                  <w:tcW w:w="651" w:type="pct"/>
                  <w:tcBorders>
                    <w:tl2br w:val="nil"/>
                    <w:tr2bl w:val="nil"/>
                  </w:tcBorders>
                  <w:noWrap w:val="0"/>
                  <w:vAlign w:val="center"/>
                </w:tcPr>
                <w:p w14:paraId="1146E99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127</w:t>
                  </w:r>
                </w:p>
              </w:tc>
              <w:tc>
                <w:tcPr>
                  <w:tcW w:w="910" w:type="pct"/>
                  <w:tcBorders>
                    <w:tl2br w:val="nil"/>
                    <w:tr2bl w:val="nil"/>
                  </w:tcBorders>
                  <w:noWrap w:val="0"/>
                  <w:vAlign w:val="center"/>
                </w:tcPr>
                <w:p w14:paraId="7A77397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160</w:t>
                  </w:r>
                </w:p>
              </w:tc>
              <w:tc>
                <w:tcPr>
                  <w:tcW w:w="731" w:type="pct"/>
                  <w:tcBorders>
                    <w:tl2br w:val="nil"/>
                    <w:tr2bl w:val="nil"/>
                  </w:tcBorders>
                  <w:noWrap w:val="0"/>
                  <w:vAlign w:val="center"/>
                </w:tcPr>
                <w:p w14:paraId="43B7B36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79.4</w:t>
                  </w:r>
                </w:p>
              </w:tc>
              <w:tc>
                <w:tcPr>
                  <w:tcW w:w="608" w:type="pct"/>
                  <w:tcBorders>
                    <w:tl2br w:val="nil"/>
                    <w:tr2bl w:val="nil"/>
                  </w:tcBorders>
                  <w:noWrap w:val="0"/>
                  <w:vAlign w:val="center"/>
                </w:tcPr>
                <w:p w14:paraId="209BD70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达标</w:t>
                  </w:r>
                </w:p>
              </w:tc>
            </w:tr>
            <w:tr w14:paraId="402D03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restart"/>
                  <w:tcBorders>
                    <w:tl2br w:val="nil"/>
                    <w:tr2bl w:val="nil"/>
                  </w:tcBorders>
                  <w:noWrap w:val="0"/>
                  <w:vAlign w:val="center"/>
                </w:tcPr>
                <w:p w14:paraId="7FEC1E8E">
                  <w:pPr>
                    <w:pStyle w:val="23"/>
                    <w:keepNext w:val="0"/>
                    <w:keepLines w:val="0"/>
                    <w:pageBreakBefore w:val="0"/>
                    <w:widowControl w:val="0"/>
                    <w:kinsoku/>
                    <w:wordWrap/>
                    <w:overflowPunct/>
                    <w:topLinePunct w:val="0"/>
                    <w:bidi w:val="0"/>
                    <w:adjustRightInd w:val="0"/>
                    <w:snapToGrid w:val="0"/>
                    <w:spacing w:before="0" w:after="0" w:line="240" w:lineRule="auto"/>
                    <w:ind w:firstLine="0" w:firstLine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rPr>
                    <w:t>PM</w:t>
                  </w:r>
                  <w:r>
                    <w:rPr>
                      <w:rFonts w:hint="eastAsia"/>
                      <w:color w:val="auto"/>
                      <w:sz w:val="21"/>
                      <w:szCs w:val="21"/>
                      <w:highlight w:val="none"/>
                      <w:vertAlign w:val="subscript"/>
                    </w:rPr>
                    <w:t>10</w:t>
                  </w:r>
                </w:p>
              </w:tc>
              <w:tc>
                <w:tcPr>
                  <w:tcW w:w="1467" w:type="pct"/>
                  <w:tcBorders>
                    <w:tl2br w:val="nil"/>
                    <w:tr2bl w:val="nil"/>
                  </w:tcBorders>
                  <w:noWrap w:val="0"/>
                  <w:vAlign w:val="center"/>
                </w:tcPr>
                <w:p w14:paraId="22B53CD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年平均</w:t>
                  </w:r>
                </w:p>
              </w:tc>
              <w:tc>
                <w:tcPr>
                  <w:tcW w:w="651" w:type="pct"/>
                  <w:tcBorders>
                    <w:tl2br w:val="nil"/>
                    <w:tr2bl w:val="nil"/>
                  </w:tcBorders>
                  <w:noWrap w:val="0"/>
                  <w:vAlign w:val="center"/>
                </w:tcPr>
                <w:p w14:paraId="2704954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147</w:t>
                  </w:r>
                </w:p>
              </w:tc>
              <w:tc>
                <w:tcPr>
                  <w:tcW w:w="910" w:type="pct"/>
                  <w:tcBorders>
                    <w:tl2br w:val="nil"/>
                    <w:tr2bl w:val="nil"/>
                  </w:tcBorders>
                  <w:noWrap w:val="0"/>
                  <w:vAlign w:val="center"/>
                </w:tcPr>
                <w:p w14:paraId="40A6E16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70</w:t>
                  </w:r>
                </w:p>
              </w:tc>
              <w:tc>
                <w:tcPr>
                  <w:tcW w:w="731" w:type="pct"/>
                  <w:tcBorders>
                    <w:tl2br w:val="nil"/>
                    <w:tr2bl w:val="nil"/>
                  </w:tcBorders>
                  <w:noWrap w:val="0"/>
                  <w:vAlign w:val="center"/>
                </w:tcPr>
                <w:p w14:paraId="4FAF708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210</w:t>
                  </w:r>
                </w:p>
              </w:tc>
              <w:tc>
                <w:tcPr>
                  <w:tcW w:w="608" w:type="pct"/>
                  <w:tcBorders>
                    <w:tl2br w:val="nil"/>
                    <w:tr2bl w:val="nil"/>
                  </w:tcBorders>
                  <w:noWrap w:val="0"/>
                  <w:vAlign w:val="center"/>
                </w:tcPr>
                <w:p w14:paraId="243EE95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不达标</w:t>
                  </w:r>
                </w:p>
              </w:tc>
            </w:tr>
            <w:tr w14:paraId="08538A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continue"/>
                  <w:tcBorders>
                    <w:tl2br w:val="nil"/>
                    <w:tr2bl w:val="nil"/>
                  </w:tcBorders>
                  <w:noWrap w:val="0"/>
                  <w:vAlign w:val="center"/>
                </w:tcPr>
                <w:p w14:paraId="287EFAF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467" w:type="pct"/>
                  <w:tcBorders>
                    <w:tl2br w:val="nil"/>
                    <w:tr2bl w:val="nil"/>
                  </w:tcBorders>
                  <w:noWrap w:val="0"/>
                  <w:vAlign w:val="center"/>
                </w:tcPr>
                <w:p w14:paraId="49F88D2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24h平均第95百分位数</w:t>
                  </w:r>
                </w:p>
              </w:tc>
              <w:tc>
                <w:tcPr>
                  <w:tcW w:w="651" w:type="pct"/>
                  <w:tcBorders>
                    <w:tl2br w:val="nil"/>
                    <w:tr2bl w:val="nil"/>
                  </w:tcBorders>
                  <w:noWrap w:val="0"/>
                  <w:vAlign w:val="center"/>
                </w:tcPr>
                <w:p w14:paraId="29F6564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402</w:t>
                  </w:r>
                </w:p>
              </w:tc>
              <w:tc>
                <w:tcPr>
                  <w:tcW w:w="910" w:type="pct"/>
                  <w:tcBorders>
                    <w:tl2br w:val="nil"/>
                    <w:tr2bl w:val="nil"/>
                  </w:tcBorders>
                  <w:noWrap w:val="0"/>
                  <w:vAlign w:val="center"/>
                </w:tcPr>
                <w:p w14:paraId="4EFCD58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150</w:t>
                  </w:r>
                </w:p>
              </w:tc>
              <w:tc>
                <w:tcPr>
                  <w:tcW w:w="731" w:type="pct"/>
                  <w:tcBorders>
                    <w:tl2br w:val="nil"/>
                    <w:tr2bl w:val="nil"/>
                  </w:tcBorders>
                  <w:noWrap w:val="0"/>
                  <w:vAlign w:val="center"/>
                </w:tcPr>
                <w:p w14:paraId="2B56CBD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268</w:t>
                  </w:r>
                </w:p>
              </w:tc>
              <w:tc>
                <w:tcPr>
                  <w:tcW w:w="608" w:type="pct"/>
                  <w:tcBorders>
                    <w:tl2br w:val="nil"/>
                    <w:tr2bl w:val="nil"/>
                  </w:tcBorders>
                  <w:noWrap w:val="0"/>
                  <w:vAlign w:val="center"/>
                </w:tcPr>
                <w:p w14:paraId="1379EE2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不达标</w:t>
                  </w:r>
                </w:p>
              </w:tc>
            </w:tr>
            <w:tr w14:paraId="68B065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restart"/>
                  <w:tcBorders>
                    <w:tl2br w:val="nil"/>
                    <w:tr2bl w:val="nil"/>
                  </w:tcBorders>
                  <w:noWrap w:val="0"/>
                  <w:vAlign w:val="center"/>
                </w:tcPr>
                <w:p w14:paraId="5B57893A">
                  <w:pPr>
                    <w:pStyle w:val="23"/>
                    <w:keepNext w:val="0"/>
                    <w:keepLines w:val="0"/>
                    <w:pageBreakBefore w:val="0"/>
                    <w:widowControl w:val="0"/>
                    <w:kinsoku/>
                    <w:wordWrap/>
                    <w:overflowPunct/>
                    <w:topLinePunct w:val="0"/>
                    <w:bidi w:val="0"/>
                    <w:adjustRightInd w:val="0"/>
                    <w:snapToGrid w:val="0"/>
                    <w:spacing w:before="0" w:after="0" w:line="240" w:lineRule="auto"/>
                    <w:ind w:firstLine="0" w:firstLineChars="0"/>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rPr>
                    <w:t>PM</w:t>
                  </w:r>
                  <w:r>
                    <w:rPr>
                      <w:rFonts w:hint="eastAsia"/>
                      <w:color w:val="auto"/>
                      <w:sz w:val="21"/>
                      <w:szCs w:val="21"/>
                      <w:highlight w:val="none"/>
                      <w:vertAlign w:val="subscript"/>
                    </w:rPr>
                    <w:t>2.5</w:t>
                  </w:r>
                </w:p>
              </w:tc>
              <w:tc>
                <w:tcPr>
                  <w:tcW w:w="1467" w:type="pct"/>
                  <w:tcBorders>
                    <w:tl2br w:val="nil"/>
                    <w:tr2bl w:val="nil"/>
                  </w:tcBorders>
                  <w:noWrap w:val="0"/>
                  <w:vAlign w:val="center"/>
                </w:tcPr>
                <w:p w14:paraId="676A795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年平均</w:t>
                  </w:r>
                </w:p>
              </w:tc>
              <w:tc>
                <w:tcPr>
                  <w:tcW w:w="651" w:type="pct"/>
                  <w:tcBorders>
                    <w:tl2br w:val="nil"/>
                    <w:tr2bl w:val="nil"/>
                  </w:tcBorders>
                  <w:noWrap w:val="0"/>
                  <w:vAlign w:val="center"/>
                </w:tcPr>
                <w:p w14:paraId="308A4CC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39</w:t>
                  </w:r>
                </w:p>
              </w:tc>
              <w:tc>
                <w:tcPr>
                  <w:tcW w:w="910" w:type="pct"/>
                  <w:tcBorders>
                    <w:tl2br w:val="nil"/>
                    <w:tr2bl w:val="nil"/>
                  </w:tcBorders>
                  <w:noWrap w:val="0"/>
                  <w:vAlign w:val="center"/>
                </w:tcPr>
                <w:p w14:paraId="5E5E1CD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35</w:t>
                  </w:r>
                </w:p>
              </w:tc>
              <w:tc>
                <w:tcPr>
                  <w:tcW w:w="731" w:type="pct"/>
                  <w:tcBorders>
                    <w:tl2br w:val="nil"/>
                    <w:tr2bl w:val="nil"/>
                  </w:tcBorders>
                  <w:noWrap w:val="0"/>
                  <w:vAlign w:val="center"/>
                </w:tcPr>
                <w:p w14:paraId="0F07988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111.4</w:t>
                  </w:r>
                </w:p>
              </w:tc>
              <w:tc>
                <w:tcPr>
                  <w:tcW w:w="608" w:type="pct"/>
                  <w:tcBorders>
                    <w:tl2br w:val="nil"/>
                    <w:tr2bl w:val="nil"/>
                  </w:tcBorders>
                  <w:noWrap w:val="0"/>
                  <w:vAlign w:val="center"/>
                </w:tcPr>
                <w:p w14:paraId="7A1419F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不达标</w:t>
                  </w:r>
                </w:p>
              </w:tc>
            </w:tr>
            <w:tr w14:paraId="3A866B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61" w:hRule="atLeast"/>
                <w:jc w:val="center"/>
              </w:trPr>
              <w:tc>
                <w:tcPr>
                  <w:tcW w:w="630" w:type="pct"/>
                  <w:vMerge w:val="continue"/>
                  <w:tcBorders>
                    <w:tl2br w:val="nil"/>
                    <w:tr2bl w:val="nil"/>
                  </w:tcBorders>
                  <w:noWrap w:val="0"/>
                  <w:vAlign w:val="center"/>
                </w:tcPr>
                <w:p w14:paraId="4F8DEB7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p>
              </w:tc>
              <w:tc>
                <w:tcPr>
                  <w:tcW w:w="1467" w:type="pct"/>
                  <w:tcBorders>
                    <w:tl2br w:val="nil"/>
                    <w:tr2bl w:val="nil"/>
                  </w:tcBorders>
                  <w:noWrap w:val="0"/>
                  <w:vAlign w:val="center"/>
                </w:tcPr>
                <w:p w14:paraId="792EEAB9">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24h平均第95百分位数</w:t>
                  </w:r>
                </w:p>
              </w:tc>
              <w:tc>
                <w:tcPr>
                  <w:tcW w:w="651" w:type="pct"/>
                  <w:tcBorders>
                    <w:tl2br w:val="nil"/>
                    <w:tr2bl w:val="nil"/>
                  </w:tcBorders>
                  <w:noWrap w:val="0"/>
                  <w:vAlign w:val="center"/>
                </w:tcPr>
                <w:p w14:paraId="0DCC338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95</w:t>
                  </w:r>
                </w:p>
              </w:tc>
              <w:tc>
                <w:tcPr>
                  <w:tcW w:w="910" w:type="pct"/>
                  <w:tcBorders>
                    <w:tl2br w:val="nil"/>
                    <w:tr2bl w:val="nil"/>
                  </w:tcBorders>
                  <w:noWrap w:val="0"/>
                  <w:vAlign w:val="center"/>
                </w:tcPr>
                <w:p w14:paraId="20DC903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75</w:t>
                  </w:r>
                </w:p>
              </w:tc>
              <w:tc>
                <w:tcPr>
                  <w:tcW w:w="731" w:type="pct"/>
                  <w:tcBorders>
                    <w:tl2br w:val="nil"/>
                    <w:tr2bl w:val="nil"/>
                  </w:tcBorders>
                  <w:noWrap w:val="0"/>
                  <w:vAlign w:val="center"/>
                </w:tcPr>
                <w:p w14:paraId="1E543D7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126.7</w:t>
                  </w:r>
                </w:p>
              </w:tc>
              <w:tc>
                <w:tcPr>
                  <w:tcW w:w="608" w:type="pct"/>
                  <w:tcBorders>
                    <w:tl2br w:val="nil"/>
                    <w:tr2bl w:val="nil"/>
                  </w:tcBorders>
                  <w:noWrap w:val="0"/>
                  <w:vAlign w:val="center"/>
                </w:tcPr>
                <w:p w14:paraId="25664AD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不达标</w:t>
                  </w:r>
                </w:p>
              </w:tc>
            </w:tr>
          </w:tbl>
          <w:p w14:paraId="4728A8FF">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auto"/>
                <w:sz w:val="24"/>
                <w:highlight w:val="none"/>
              </w:rPr>
              <w:t>评价方法</w:t>
            </w:r>
            <w:r>
              <w:rPr>
                <w:rFonts w:hint="eastAsia" w:eastAsia="新宋体" w:cs="Times New Roman"/>
                <w:color w:val="auto"/>
                <w:sz w:val="24"/>
                <w:highlight w:val="none"/>
                <w:lang w:eastAsia="zh-CN"/>
              </w:rPr>
              <w:t>：</w:t>
            </w:r>
            <w:r>
              <w:rPr>
                <w:rFonts w:hint="default" w:ascii="Times New Roman" w:hAnsi="Times New Roman" w:eastAsia="新宋体" w:cs="Times New Roman"/>
                <w:color w:val="auto"/>
                <w:sz w:val="24"/>
                <w:highlight w:val="none"/>
              </w:rPr>
              <w:t>采用最大质量</w:t>
            </w:r>
            <w:r>
              <w:rPr>
                <w:rFonts w:hint="default" w:ascii="Times New Roman" w:hAnsi="Times New Roman" w:eastAsia="新宋体" w:cs="Times New Roman"/>
                <w:color w:val="000000" w:themeColor="text1"/>
                <w:sz w:val="24"/>
                <w:highlight w:val="none"/>
                <w14:textFill>
                  <w14:solidFill>
                    <w14:schemeClr w14:val="tx1"/>
                  </w14:solidFill>
                </w14:textFill>
              </w:rPr>
              <w:t>浓度占相应标准质量浓度限值的百分比</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及超标率对监测结果进行评价分析。计算公式如下：</w:t>
            </w:r>
          </w:p>
          <w:p w14:paraId="0D219D0D">
            <w:pPr>
              <w:spacing w:line="360" w:lineRule="auto"/>
              <w:ind w:firstLine="3120" w:firstLineChars="13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P</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oi</w:t>
            </w:r>
            <w:r>
              <w:rPr>
                <w:rFonts w:hint="default" w:ascii="Times New Roman" w:hAnsi="Times New Roman" w:eastAsia="新宋体" w:cs="Times New Roman"/>
                <w:color w:val="000000" w:themeColor="text1"/>
                <w:sz w:val="24"/>
                <w:highlight w:val="none"/>
                <w14:textFill>
                  <w14:solidFill>
                    <w14:schemeClr w14:val="tx1"/>
                  </w14:solidFill>
                </w14:textFill>
              </w:rPr>
              <w:t>×100%</w:t>
            </w:r>
          </w:p>
          <w:p w14:paraId="514FBB7F">
            <w:pPr>
              <w:spacing w:line="360" w:lineRule="auto"/>
              <w:ind w:firstLine="480" w:firstLineChars="2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式中：P</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—某种污染物的最大地面质量浓度占标率</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4809866E">
            <w:pPr>
              <w:spacing w:line="360" w:lineRule="auto"/>
              <w:ind w:firstLine="1200" w:firstLineChars="5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—某种污染物的实际监测浓度</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mg/m</w:t>
            </w:r>
            <w:r>
              <w:rPr>
                <w:rFonts w:hint="default" w:ascii="Times New Roman" w:hAnsi="Times New Roman" w:eastAsia="新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1A5211E9">
            <w:pPr>
              <w:spacing w:line="360" w:lineRule="auto"/>
              <w:ind w:firstLine="1200" w:firstLineChars="500"/>
              <w:rPr>
                <w:rFonts w:hint="default" w:ascii="Times New Roman" w:hAnsi="Times New Roman" w:eastAsia="新宋体" w:cs="Times New Roman"/>
                <w:color w:val="000000" w:themeColor="text1"/>
                <w:sz w:val="24"/>
                <w:highlight w:val="none"/>
                <w14:textFill>
                  <w14:solidFill>
                    <w14:schemeClr w14:val="tx1"/>
                  </w14:solidFill>
                </w14:textFill>
              </w:rPr>
            </w:pPr>
            <w:r>
              <w:rPr>
                <w:rFonts w:hint="default" w:ascii="Times New Roman" w:hAnsi="Times New Roman" w:eastAsia="新宋体" w:cs="Times New Roman"/>
                <w:color w:val="000000" w:themeColor="text1"/>
                <w:sz w:val="24"/>
                <w:highlight w:val="none"/>
                <w14:textFill>
                  <w14:solidFill>
                    <w14:schemeClr w14:val="tx1"/>
                  </w14:solidFill>
                </w14:textFill>
              </w:rPr>
              <w:t>C</w:t>
            </w:r>
            <w:r>
              <w:rPr>
                <w:rFonts w:hint="default" w:ascii="Times New Roman" w:hAnsi="Times New Roman" w:eastAsia="新宋体" w:cs="Times New Roman"/>
                <w:color w:val="000000" w:themeColor="text1"/>
                <w:sz w:val="24"/>
                <w:highlight w:val="none"/>
                <w:vertAlign w:val="subscript"/>
                <w14:textFill>
                  <w14:solidFill>
                    <w14:schemeClr w14:val="tx1"/>
                  </w14:solidFill>
                </w14:textFill>
              </w:rPr>
              <w:t>oi</w:t>
            </w:r>
            <w:r>
              <w:rPr>
                <w:rFonts w:hint="default" w:ascii="Times New Roman" w:hAnsi="Times New Roman" w:eastAsia="新宋体" w:cs="Times New Roman"/>
                <w:color w:val="000000" w:themeColor="text1"/>
                <w:sz w:val="24"/>
                <w:highlight w:val="none"/>
                <w14:textFill>
                  <w14:solidFill>
                    <w14:schemeClr w14:val="tx1"/>
                  </w14:solidFill>
                </w14:textFill>
              </w:rPr>
              <w:t>—某种污染物的环境空气标准浓度</w:t>
            </w:r>
            <w:r>
              <w:rPr>
                <w:rFonts w:hint="default" w:ascii="Times New Roman" w:hAnsi="Times New Roman" w:eastAsia="新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新宋体" w:cs="Times New Roman"/>
                <w:color w:val="000000" w:themeColor="text1"/>
                <w:sz w:val="24"/>
                <w:highlight w:val="none"/>
                <w14:textFill>
                  <w14:solidFill>
                    <w14:schemeClr w14:val="tx1"/>
                  </w14:solidFill>
                </w14:textFill>
              </w:rPr>
              <w:t>mg/m</w:t>
            </w:r>
            <w:r>
              <w:rPr>
                <w:rFonts w:hint="default" w:ascii="Times New Roman" w:hAnsi="Times New Roman" w:eastAsia="新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新宋体" w:cs="Times New Roman"/>
                <w:color w:val="000000" w:themeColor="text1"/>
                <w:sz w:val="24"/>
                <w:highlight w:val="none"/>
                <w14:textFill>
                  <w14:solidFill>
                    <w14:schemeClr w14:val="tx1"/>
                  </w14:solidFill>
                </w14:textFill>
              </w:rPr>
              <w:t>。</w:t>
            </w:r>
          </w:p>
          <w:p w14:paraId="521145AD">
            <w:pPr>
              <w:keepLines/>
              <w:adjustRightInd w:val="0"/>
              <w:snapToGrid w:val="0"/>
              <w:spacing w:line="360" w:lineRule="auto"/>
              <w:ind w:firstLine="480" w:firstLineChars="200"/>
              <w:textAlignment w:val="baseline"/>
              <w:outlineLvl w:val="2"/>
              <w:rPr>
                <w:rFonts w:hint="default" w:ascii="Times New Roman" w:hAnsi="Times New Roman" w:eastAsia="宋体" w:cs="Times New Roman"/>
                <w:bCs/>
                <w:color w:val="auto"/>
                <w:kern w:val="0"/>
                <w:sz w:val="24"/>
                <w:szCs w:val="20"/>
                <w:highlight w:val="none"/>
                <w:lang w:val="en-US" w:eastAsia="zh-CN" w:bidi="ar-SA"/>
              </w:rPr>
            </w:pP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评价</w:t>
            </w:r>
            <w:r>
              <w:rPr>
                <w:rFonts w:hint="eastAsia" w:eastAsia="新宋体" w:cs="Times New Roman"/>
                <w:color w:val="000000" w:themeColor="text1"/>
                <w:kern w:val="2"/>
                <w:sz w:val="24"/>
                <w:szCs w:val="24"/>
                <w:lang w:val="en-US" w:eastAsia="zh-CN" w:bidi="ar-SA"/>
                <w14:textFill>
                  <w14:solidFill>
                    <w14:schemeClr w14:val="tx1"/>
                  </w14:solidFill>
                </w14:textFill>
              </w:rPr>
              <w:t>结果</w:t>
            </w:r>
            <w:r>
              <w:rPr>
                <w:rFonts w:hint="default" w:ascii="Times New Roman" w:hAnsi="Times New Roman" w:eastAsia="新宋体" w:cs="Times New Roman"/>
                <w:color w:val="000000" w:themeColor="text1"/>
                <w:kern w:val="2"/>
                <w:sz w:val="24"/>
                <w:szCs w:val="24"/>
                <w:lang w:val="en-US" w:eastAsia="zh-CN" w:bidi="ar-SA"/>
                <w14:textFill>
                  <w14:solidFill>
                    <w14:schemeClr w14:val="tx1"/>
                  </w14:solidFill>
                </w14:textFill>
              </w:rPr>
              <w:t>从表3-1可以看出，根据上表基本污染物的年评价值的分析结果，</w:t>
            </w:r>
            <w:r>
              <w:rPr>
                <w:rFonts w:hint="default" w:ascii="Times New Roman" w:hAnsi="Times New Roman" w:eastAsia="宋体" w:cs="Times New Roman"/>
                <w:bCs/>
                <w:color w:val="auto"/>
                <w:kern w:val="0"/>
                <w:sz w:val="24"/>
                <w:szCs w:val="20"/>
                <w:highlight w:val="none"/>
                <w:lang w:val="en-US" w:eastAsia="zh-CN" w:bidi="ar-SA"/>
              </w:rPr>
              <w:t>项目所在区域SO</w:t>
            </w:r>
            <w:r>
              <w:rPr>
                <w:rFonts w:hint="default" w:ascii="Times New Roman" w:hAnsi="Times New Roman" w:eastAsia="宋体" w:cs="Times New Roman"/>
                <w:bCs/>
                <w:color w:val="auto"/>
                <w:kern w:val="0"/>
                <w:sz w:val="24"/>
                <w:szCs w:val="20"/>
                <w:highlight w:val="none"/>
                <w:vertAlign w:val="subscript"/>
                <w:lang w:val="en-US" w:eastAsia="zh-CN" w:bidi="ar-SA"/>
              </w:rPr>
              <w:t>2</w:t>
            </w:r>
            <w:r>
              <w:rPr>
                <w:rFonts w:hint="default" w:ascii="Times New Roman" w:hAnsi="Times New Roman" w:eastAsia="宋体" w:cs="Times New Roman"/>
                <w:bCs/>
                <w:color w:val="auto"/>
                <w:kern w:val="0"/>
                <w:sz w:val="24"/>
                <w:szCs w:val="20"/>
                <w:highlight w:val="none"/>
                <w:lang w:val="en-US" w:eastAsia="zh-CN" w:bidi="ar-SA"/>
              </w:rPr>
              <w:t>、NO</w:t>
            </w:r>
            <w:r>
              <w:rPr>
                <w:rFonts w:hint="default" w:ascii="Times New Roman" w:hAnsi="Times New Roman" w:eastAsia="宋体" w:cs="Times New Roman"/>
                <w:bCs/>
                <w:color w:val="auto"/>
                <w:kern w:val="0"/>
                <w:sz w:val="24"/>
                <w:szCs w:val="20"/>
                <w:highlight w:val="none"/>
                <w:vertAlign w:val="subscript"/>
                <w:lang w:val="en-US" w:eastAsia="zh-CN" w:bidi="ar-SA"/>
              </w:rPr>
              <w:t>2</w:t>
            </w:r>
            <w:r>
              <w:rPr>
                <w:rFonts w:hint="default" w:ascii="Times New Roman" w:hAnsi="Times New Roman" w:eastAsia="宋体" w:cs="Times New Roman"/>
                <w:bCs/>
                <w:color w:val="auto"/>
                <w:kern w:val="0"/>
                <w:sz w:val="24"/>
                <w:szCs w:val="20"/>
                <w:highlight w:val="none"/>
                <w:lang w:val="en-US" w:eastAsia="zh-CN" w:bidi="ar-SA"/>
              </w:rPr>
              <w:t>的年均浓度和日均浓度，CO日均浓度、O</w:t>
            </w:r>
            <w:r>
              <w:rPr>
                <w:rFonts w:hint="default" w:ascii="Times New Roman" w:hAnsi="Times New Roman" w:eastAsia="宋体" w:cs="Times New Roman"/>
                <w:bCs/>
                <w:color w:val="auto"/>
                <w:kern w:val="0"/>
                <w:sz w:val="24"/>
                <w:szCs w:val="20"/>
                <w:highlight w:val="none"/>
                <w:vertAlign w:val="subscript"/>
                <w:lang w:val="en-US" w:eastAsia="zh-CN" w:bidi="ar-SA"/>
              </w:rPr>
              <w:t>3</w:t>
            </w:r>
            <w:r>
              <w:rPr>
                <w:rFonts w:hint="default" w:ascii="Times New Roman" w:hAnsi="Times New Roman" w:eastAsia="宋体" w:cs="Times New Roman"/>
                <w:bCs/>
                <w:color w:val="auto"/>
                <w:kern w:val="0"/>
                <w:sz w:val="24"/>
                <w:szCs w:val="20"/>
                <w:highlight w:val="none"/>
                <w:lang w:val="en-US" w:eastAsia="zh-CN" w:bidi="ar-SA"/>
              </w:rPr>
              <w:t>最大8小时浓度均满足《环境空气质量标准》（GB3095-2012</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的二级标准要求；PM</w:t>
            </w:r>
            <w:r>
              <w:rPr>
                <w:rFonts w:hint="default" w:ascii="Times New Roman" w:hAnsi="Times New Roman" w:eastAsia="宋体" w:cs="Times New Roman"/>
                <w:bCs/>
                <w:color w:val="auto"/>
                <w:kern w:val="0"/>
                <w:sz w:val="24"/>
                <w:szCs w:val="20"/>
                <w:highlight w:val="none"/>
                <w:vertAlign w:val="subscript"/>
                <w:lang w:val="en-US" w:eastAsia="zh-CN" w:bidi="ar-SA"/>
              </w:rPr>
              <w:t>10</w:t>
            </w:r>
            <w:r>
              <w:rPr>
                <w:rFonts w:hint="eastAsia" w:ascii="Times New Roman" w:hAnsi="Times New Roman" w:eastAsia="宋体" w:cs="Times New Roman"/>
                <w:bCs/>
                <w:color w:val="auto"/>
                <w:kern w:val="0"/>
                <w:sz w:val="24"/>
                <w:szCs w:val="20"/>
                <w:highlight w:val="none"/>
                <w:vertAlign w:val="baseli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PM</w:t>
            </w:r>
            <w:r>
              <w:rPr>
                <w:rFonts w:hint="default" w:ascii="Times New Roman" w:hAnsi="Times New Roman" w:eastAsia="宋体" w:cs="Times New Roman"/>
                <w:bCs/>
                <w:color w:val="auto"/>
                <w:kern w:val="0"/>
                <w:sz w:val="24"/>
                <w:szCs w:val="20"/>
                <w:highlight w:val="none"/>
                <w:vertAlign w:val="subscript"/>
                <w:lang w:val="en-US" w:eastAsia="zh-CN" w:bidi="ar-SA"/>
              </w:rPr>
              <w:t>2.5</w:t>
            </w:r>
            <w:r>
              <w:rPr>
                <w:rFonts w:hint="default" w:ascii="Times New Roman" w:hAnsi="Times New Roman" w:eastAsia="宋体" w:cs="Times New Roman"/>
                <w:bCs/>
                <w:color w:val="auto"/>
                <w:kern w:val="0"/>
                <w:sz w:val="24"/>
                <w:szCs w:val="20"/>
                <w:highlight w:val="none"/>
                <w:lang w:val="en-US" w:eastAsia="zh-CN" w:bidi="ar-SA"/>
              </w:rPr>
              <w:t>年均浓度和日均浓度均超过《环境空气质量标准》（GB3095-2012</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的二级标准要求，因此，项目所在区域为不达标区。</w:t>
            </w:r>
          </w:p>
          <w:p w14:paraId="42D41316">
            <w:pPr>
              <w:keepLines/>
              <w:adjustRightInd w:val="0"/>
              <w:snapToGrid w:val="0"/>
              <w:spacing w:line="360" w:lineRule="auto"/>
              <w:ind w:firstLine="480" w:firstLineChars="200"/>
              <w:textAlignment w:val="baseline"/>
              <w:outlineLvl w:val="2"/>
              <w:rPr>
                <w:rFonts w:hint="default" w:ascii="Times New Roman" w:hAnsi="Times New Roman" w:eastAsia="宋体" w:cs="Times New Roman"/>
                <w:bCs/>
                <w:color w:val="auto"/>
                <w:kern w:val="0"/>
                <w:sz w:val="24"/>
                <w:szCs w:val="20"/>
                <w:highlight w:val="none"/>
                <w:lang w:val="en-US" w:eastAsia="zh-CN" w:bidi="ar-SA"/>
              </w:rPr>
            </w:pPr>
            <w:r>
              <w:rPr>
                <w:rFonts w:hint="default" w:ascii="Times New Roman" w:hAnsi="Times New Roman" w:eastAsia="宋体" w:cs="Times New Roman"/>
                <w:bCs/>
                <w:color w:val="auto"/>
                <w:kern w:val="0"/>
                <w:sz w:val="24"/>
                <w:szCs w:val="20"/>
                <w:highlight w:val="none"/>
                <w:lang w:val="en-US" w:eastAsia="zh-CN" w:bidi="ar-SA"/>
              </w:rPr>
              <w:t>造成区域环境空气不达标的主要原因为新疆地区干燥，在风力作用下易造成风力起尘，造成区域颗粒物超出标准。</w:t>
            </w:r>
          </w:p>
          <w:p w14:paraId="78BD852D">
            <w:pPr>
              <w:keepLines/>
              <w:adjustRightInd w:val="0"/>
              <w:snapToGrid w:val="0"/>
              <w:spacing w:line="360" w:lineRule="auto"/>
              <w:ind w:firstLine="480" w:firstLineChars="200"/>
              <w:textAlignment w:val="baseline"/>
              <w:outlineLvl w:val="2"/>
              <w:rPr>
                <w:rFonts w:hint="default" w:ascii="Times New Roman" w:hAnsi="Times New Roman" w:eastAsia="宋体" w:cs="Times New Roman"/>
                <w:bCs/>
                <w:color w:val="auto"/>
                <w:kern w:val="0"/>
                <w:sz w:val="24"/>
                <w:szCs w:val="20"/>
                <w:highlight w:val="none"/>
                <w:lang w:val="en-US" w:eastAsia="zh-CN" w:bidi="ar-SA"/>
              </w:rPr>
            </w:pPr>
            <w:r>
              <w:rPr>
                <w:rFonts w:hint="default" w:ascii="Times New Roman" w:hAnsi="Times New Roman" w:eastAsia="宋体" w:cs="Times New Roman"/>
                <w:bCs/>
                <w:color w:val="auto"/>
                <w:kern w:val="0"/>
                <w:sz w:val="24"/>
                <w:szCs w:val="20"/>
                <w:highlight w:val="none"/>
                <w:lang w:val="en-US" w:eastAsia="zh-CN" w:bidi="ar-SA"/>
              </w:rPr>
              <w:t>根据中华人民共和国生态环境部办公厅《关于将巴音郭楞蒙古自治州吐鲁番市哈密市纳入执行《环境影响评价技术导则大气环境（HJ2.2-2018</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》差别化政策范围的复函》（环办环评函〔2020〕341号</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原则同意对巴音郭楞蒙古自治州、吐鲁番市和哈密市实施环境影响评价差别化政策，新建项目可不提供颗粒物区域削减方案。你区应按照《关于在南疆四地州深度贫困地区实施〈环境影响评价技术导则大气环境（HJ2.2-2018</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〉差别化政策有关事宜的复函》（环办环评函〔2019〕590号</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的相关要求，加强建设项目大气环境影响评价和技术论证等工作，严格建设项目环境准入，统筹做好生态环境保护与脱贫攻坚工作。</w:t>
            </w:r>
            <w:r>
              <w:rPr>
                <w:rFonts w:hint="eastAsia" w:cs="Times New Roman"/>
                <w:bCs/>
                <w:color w:val="auto"/>
                <w:kern w:val="0"/>
                <w:sz w:val="24"/>
                <w:szCs w:val="20"/>
                <w:highlight w:val="none"/>
                <w:lang w:val="en-US" w:eastAsia="zh-CN" w:bidi="ar-SA"/>
              </w:rPr>
              <w:t>”</w:t>
            </w:r>
            <w:r>
              <w:rPr>
                <w:rFonts w:hint="default" w:ascii="Times New Roman" w:hAnsi="Times New Roman" w:eastAsia="宋体" w:cs="Times New Roman"/>
                <w:bCs/>
                <w:color w:val="auto"/>
                <w:kern w:val="0"/>
                <w:sz w:val="24"/>
                <w:szCs w:val="20"/>
                <w:highlight w:val="none"/>
                <w:lang w:val="en-US" w:eastAsia="zh-CN" w:bidi="ar-SA"/>
              </w:rPr>
              <w:t>本项目基准年PM</w:t>
            </w:r>
            <w:r>
              <w:rPr>
                <w:rFonts w:hint="default" w:ascii="Times New Roman" w:hAnsi="Times New Roman" w:eastAsia="宋体" w:cs="Times New Roman"/>
                <w:bCs/>
                <w:color w:val="auto"/>
                <w:kern w:val="0"/>
                <w:sz w:val="24"/>
                <w:szCs w:val="20"/>
                <w:highlight w:val="none"/>
                <w:vertAlign w:val="subscript"/>
                <w:lang w:val="en-US" w:eastAsia="zh-CN" w:bidi="ar-SA"/>
              </w:rPr>
              <w:t>2.5</w:t>
            </w:r>
            <w:r>
              <w:rPr>
                <w:rFonts w:hint="default" w:ascii="Times New Roman" w:hAnsi="Times New Roman" w:eastAsia="宋体" w:cs="Times New Roman"/>
                <w:bCs/>
                <w:color w:val="auto"/>
                <w:kern w:val="0"/>
                <w:sz w:val="24"/>
                <w:szCs w:val="20"/>
                <w:highlight w:val="none"/>
                <w:lang w:val="en-US" w:eastAsia="zh-CN" w:bidi="ar-SA"/>
              </w:rPr>
              <w:t>/PM</w:t>
            </w:r>
            <w:r>
              <w:rPr>
                <w:rFonts w:hint="default" w:ascii="Times New Roman" w:hAnsi="Times New Roman" w:eastAsia="宋体" w:cs="Times New Roman"/>
                <w:bCs/>
                <w:color w:val="auto"/>
                <w:kern w:val="0"/>
                <w:sz w:val="24"/>
                <w:szCs w:val="20"/>
                <w:highlight w:val="none"/>
                <w:vertAlign w:val="subscript"/>
                <w:lang w:val="en-US" w:eastAsia="zh-CN" w:bidi="ar-SA"/>
              </w:rPr>
              <w:t>10</w:t>
            </w:r>
            <w:r>
              <w:rPr>
                <w:rFonts w:hint="default" w:ascii="Times New Roman" w:hAnsi="Times New Roman" w:eastAsia="宋体" w:cs="Times New Roman"/>
                <w:bCs/>
                <w:color w:val="auto"/>
                <w:kern w:val="0"/>
                <w:sz w:val="24"/>
                <w:szCs w:val="20"/>
                <w:highlight w:val="none"/>
                <w:lang w:val="en-US" w:eastAsia="zh-CN" w:bidi="ar-SA"/>
              </w:rPr>
              <w:t>年均值比值为0.</w:t>
            </w:r>
            <w:r>
              <w:rPr>
                <w:rFonts w:hint="eastAsia" w:cs="Times New Roman"/>
                <w:bCs/>
                <w:color w:val="auto"/>
                <w:kern w:val="0"/>
                <w:sz w:val="24"/>
                <w:szCs w:val="20"/>
                <w:highlight w:val="none"/>
                <w:lang w:val="en-US" w:eastAsia="zh-CN" w:bidi="ar-SA"/>
              </w:rPr>
              <w:t>27</w:t>
            </w:r>
            <w:r>
              <w:rPr>
                <w:rFonts w:hint="default" w:ascii="Times New Roman" w:hAnsi="Times New Roman" w:eastAsia="宋体" w:cs="Times New Roman"/>
                <w:bCs/>
                <w:color w:val="auto"/>
                <w:kern w:val="0"/>
                <w:sz w:val="24"/>
                <w:szCs w:val="20"/>
                <w:highlight w:val="none"/>
                <w:lang w:val="en-US" w:eastAsia="zh-CN" w:bidi="ar-SA"/>
              </w:rPr>
              <w:t>＜0.5，属于该复函中明确的不达标区域。本项目适用于该复函中可不提供颗粒物区域消减方案，可执行环境影响评价差别化政策。</w:t>
            </w:r>
          </w:p>
          <w:p w14:paraId="0B8AB702">
            <w:pPr>
              <w:keepLines/>
              <w:adjustRightInd w:val="0"/>
              <w:snapToGrid w:val="0"/>
              <w:spacing w:line="360" w:lineRule="auto"/>
              <w:ind w:firstLine="482" w:firstLineChars="200"/>
              <w:textAlignment w:val="baseline"/>
              <w:outlineLvl w:val="2"/>
              <w:rPr>
                <w:rFonts w:hint="default" w:eastAsia="宋体"/>
                <w:b/>
                <w:color w:val="auto"/>
                <w:kern w:val="0"/>
                <w:sz w:val="24"/>
                <w:lang w:val="en-US" w:eastAsia="zh-CN"/>
              </w:rPr>
            </w:pPr>
            <w:r>
              <w:rPr>
                <w:b/>
                <w:color w:val="auto"/>
                <w:kern w:val="0"/>
                <w:sz w:val="24"/>
              </w:rPr>
              <w:t>1.2其他污染物补充监测</w:t>
            </w:r>
          </w:p>
          <w:p w14:paraId="6C671049">
            <w:pPr>
              <w:keepLines/>
              <w:adjustRightInd w:val="0"/>
              <w:snapToGrid w:val="0"/>
              <w:spacing w:line="360" w:lineRule="auto"/>
              <w:ind w:firstLine="480" w:firstLineChars="200"/>
              <w:textAlignment w:val="baseline"/>
              <w:outlineLvl w:val="2"/>
              <w:rPr>
                <w:color w:val="auto"/>
                <w:sz w:val="24"/>
              </w:rPr>
            </w:pPr>
            <w:r>
              <w:rPr>
                <w:color w:val="auto"/>
                <w:sz w:val="24"/>
              </w:rPr>
              <w:t>本项目排放的大气特征污染物为</w:t>
            </w:r>
            <w:r>
              <w:rPr>
                <w:rFonts w:hint="eastAsia"/>
                <w:color w:val="auto"/>
                <w:sz w:val="24"/>
                <w:lang w:val="en-US" w:eastAsia="zh-CN"/>
              </w:rPr>
              <w:t>颗粒物、硫化氢和氨等，由于氨和硫化氢等污染物无国家、地方环境空气质量标准限值要求，本次环评仅对颗粒物现状监测结果进行评价，监测点位见图3-1</w:t>
            </w:r>
            <w:r>
              <w:rPr>
                <w:rFonts w:hint="eastAsia"/>
                <w:color w:val="auto"/>
                <w:sz w:val="24"/>
                <w:lang w:eastAsia="zh-CN"/>
              </w:rPr>
              <w:t>，</w:t>
            </w:r>
            <w:r>
              <w:rPr>
                <w:color w:val="auto"/>
                <w:sz w:val="24"/>
              </w:rPr>
              <w:t>根据《建设项目环境影响报告表编制技术指南（污染影响类</w:t>
            </w:r>
            <w:r>
              <w:rPr>
                <w:rFonts w:hint="eastAsia"/>
                <w:color w:val="auto"/>
                <w:sz w:val="24"/>
                <w:lang w:eastAsia="zh-CN"/>
              </w:rPr>
              <w:t>）</w:t>
            </w:r>
            <w:r>
              <w:rPr>
                <w:color w:val="auto"/>
                <w:sz w:val="24"/>
              </w:rPr>
              <w:t>（试行</w:t>
            </w:r>
            <w:r>
              <w:rPr>
                <w:rFonts w:hint="eastAsia"/>
                <w:color w:val="auto"/>
                <w:sz w:val="24"/>
                <w:lang w:eastAsia="zh-CN"/>
              </w:rPr>
              <w:t>）</w:t>
            </w:r>
            <w:r>
              <w:rPr>
                <w:color w:val="auto"/>
                <w:sz w:val="24"/>
              </w:rPr>
              <w:t>》</w:t>
            </w:r>
            <w:r>
              <w:rPr>
                <w:rFonts w:hint="eastAsia"/>
                <w:color w:val="auto"/>
                <w:sz w:val="24"/>
                <w:lang w:eastAsia="zh-CN"/>
              </w:rPr>
              <w:t>“</w:t>
            </w:r>
            <w:r>
              <w:rPr>
                <w:color w:val="auto"/>
                <w:sz w:val="24"/>
              </w:rPr>
              <w:t>大气环境：排放国家、地方环境空气质量标准中有标准限值要求的特征污染物时，引用建设项目周边5km范围内近3年的现有监测数据，无相关数据的选择当季主导风向下风向1个点位补充不少于3天的监测数据</w:t>
            </w:r>
            <w:r>
              <w:rPr>
                <w:rFonts w:hint="eastAsia"/>
                <w:color w:val="auto"/>
                <w:sz w:val="24"/>
                <w:lang w:eastAsia="zh-CN"/>
              </w:rPr>
              <w:t>”</w:t>
            </w:r>
            <w:r>
              <w:rPr>
                <w:color w:val="auto"/>
                <w:sz w:val="24"/>
              </w:rPr>
              <w:t>。</w:t>
            </w:r>
          </w:p>
          <w:p w14:paraId="6B780F33">
            <w:pPr>
              <w:keepLines/>
              <w:adjustRightInd w:val="0"/>
              <w:snapToGrid w:val="0"/>
              <w:spacing w:line="360" w:lineRule="auto"/>
              <w:ind w:firstLine="480" w:firstLineChars="200"/>
              <w:textAlignment w:val="baseline"/>
              <w:outlineLvl w:val="2"/>
              <w:rPr>
                <w:rFonts w:hint="default" w:eastAsia="宋体"/>
                <w:color w:val="auto"/>
                <w:sz w:val="24"/>
                <w:lang w:val="en-US" w:eastAsia="zh-CN"/>
              </w:rPr>
            </w:pPr>
            <w:r>
              <w:rPr>
                <w:color w:val="auto"/>
                <w:sz w:val="24"/>
              </w:rPr>
              <w:t>本次</w:t>
            </w:r>
            <w:r>
              <w:rPr>
                <w:rFonts w:hint="eastAsia"/>
                <w:color w:val="auto"/>
                <w:sz w:val="24"/>
                <w:lang w:val="en-US" w:eastAsia="zh-CN"/>
              </w:rPr>
              <w:t>评价引用</w:t>
            </w:r>
            <w:r>
              <w:rPr>
                <w:color w:val="auto"/>
                <w:sz w:val="24"/>
              </w:rPr>
              <w:t>新疆中测测试有限责任公司对</w:t>
            </w:r>
            <w:r>
              <w:rPr>
                <w:rFonts w:hint="eastAsia"/>
                <w:color w:val="auto"/>
                <w:sz w:val="24"/>
                <w:lang w:val="en-US" w:eastAsia="zh-CN"/>
              </w:rPr>
              <w:t>特征污染物总悬浮物颗粒（TSP）的补充监测数据，</w:t>
            </w:r>
            <w:r>
              <w:rPr>
                <w:color w:val="auto"/>
                <w:sz w:val="24"/>
              </w:rPr>
              <w:t>监测点位坐标为：</w:t>
            </w:r>
            <w:r>
              <w:rPr>
                <w:rFonts w:hint="eastAsia"/>
                <w:color w:val="auto"/>
                <w:sz w:val="24"/>
              </w:rPr>
              <w:t>经度</w:t>
            </w:r>
            <w:r>
              <w:rPr>
                <w:rFonts w:hint="eastAsia"/>
                <w:color w:val="auto"/>
                <w:sz w:val="24"/>
                <w:lang w:val="en-US" w:eastAsia="zh-CN"/>
              </w:rPr>
              <w:t>86.077447，</w:t>
            </w:r>
            <w:r>
              <w:rPr>
                <w:rFonts w:hint="eastAsia"/>
                <w:color w:val="auto"/>
                <w:sz w:val="24"/>
              </w:rPr>
              <w:t>纬度</w:t>
            </w:r>
            <w:r>
              <w:rPr>
                <w:rFonts w:hint="eastAsia"/>
                <w:color w:val="auto"/>
                <w:sz w:val="24"/>
                <w:lang w:val="en-US" w:eastAsia="zh-CN"/>
              </w:rPr>
              <w:t>41.797926</w:t>
            </w:r>
            <w:r>
              <w:rPr>
                <w:rFonts w:hint="eastAsia"/>
                <w:color w:val="auto"/>
                <w:sz w:val="24"/>
                <w:lang w:eastAsia="zh-CN"/>
              </w:rPr>
              <w:t>，</w:t>
            </w:r>
            <w:r>
              <w:rPr>
                <w:rFonts w:hint="eastAsia"/>
                <w:color w:val="auto"/>
                <w:sz w:val="24"/>
                <w:lang w:val="en-US" w:eastAsia="zh-CN"/>
              </w:rPr>
              <w:t>距离本项目区4.8km。</w:t>
            </w:r>
          </w:p>
          <w:p w14:paraId="5099743E">
            <w:pPr>
              <w:adjustRightInd w:val="0"/>
              <w:snapToGrid w:val="0"/>
              <w:spacing w:line="360" w:lineRule="auto"/>
              <w:ind w:firstLine="480" w:firstLineChars="200"/>
              <w:rPr>
                <w:color w:val="auto"/>
                <w:sz w:val="24"/>
              </w:rPr>
            </w:pPr>
            <w:r>
              <w:rPr>
                <w:color w:val="auto"/>
                <w:sz w:val="24"/>
              </w:rPr>
              <w:t>（1</w:t>
            </w:r>
            <w:r>
              <w:rPr>
                <w:rFonts w:hint="eastAsia"/>
                <w:color w:val="auto"/>
                <w:sz w:val="24"/>
                <w:lang w:eastAsia="zh-CN"/>
              </w:rPr>
              <w:t>）</w:t>
            </w:r>
            <w:r>
              <w:rPr>
                <w:color w:val="auto"/>
                <w:sz w:val="24"/>
              </w:rPr>
              <w:t>监测地点、监测因子</w:t>
            </w:r>
          </w:p>
          <w:p w14:paraId="5EBDCDF3">
            <w:pPr>
              <w:pStyle w:val="79"/>
              <w:adjustRightInd w:val="0"/>
              <w:snapToGrid w:val="0"/>
              <w:spacing w:line="360" w:lineRule="auto"/>
              <w:ind w:firstLine="480" w:firstLineChars="200"/>
              <w:rPr>
                <w:rFonts w:hint="default" w:ascii="Times New Roman" w:eastAsia="宋体" w:cs="Times New Roman"/>
                <w:color w:val="auto"/>
                <w:sz w:val="24"/>
                <w:szCs w:val="24"/>
                <w:lang w:val="en-US" w:eastAsia="zh-CN"/>
              </w:rPr>
            </w:pPr>
            <w:r>
              <w:rPr>
                <w:color w:val="auto"/>
                <w:sz w:val="24"/>
              </w:rPr>
              <w:t>监测</w:t>
            </w:r>
            <w:r>
              <w:rPr>
                <w:rFonts w:hint="eastAsia"/>
                <w:color w:val="auto"/>
                <w:sz w:val="24"/>
                <w:lang w:val="en-US" w:eastAsia="zh-CN"/>
              </w:rPr>
              <w:t>项目：TSP</w:t>
            </w:r>
          </w:p>
          <w:p w14:paraId="24A37A34">
            <w:pPr>
              <w:adjustRightInd w:val="0"/>
              <w:snapToGrid w:val="0"/>
              <w:spacing w:line="360" w:lineRule="auto"/>
              <w:ind w:firstLine="480" w:firstLineChars="200"/>
              <w:rPr>
                <w:color w:val="auto"/>
                <w:sz w:val="24"/>
              </w:rPr>
            </w:pPr>
            <w:r>
              <w:rPr>
                <w:color w:val="auto"/>
                <w:sz w:val="24"/>
              </w:rPr>
              <w:t>（2</w:t>
            </w:r>
            <w:r>
              <w:rPr>
                <w:rFonts w:hint="eastAsia"/>
                <w:color w:val="auto"/>
                <w:sz w:val="24"/>
                <w:lang w:eastAsia="zh-CN"/>
              </w:rPr>
              <w:t>）</w:t>
            </w:r>
            <w:r>
              <w:rPr>
                <w:color w:val="auto"/>
                <w:sz w:val="24"/>
              </w:rPr>
              <w:t>采样及分析方法</w:t>
            </w:r>
          </w:p>
          <w:p w14:paraId="4CDA19FD">
            <w:pPr>
              <w:adjustRightInd w:val="0"/>
              <w:snapToGrid w:val="0"/>
              <w:spacing w:line="360" w:lineRule="auto"/>
              <w:ind w:firstLine="480" w:firstLineChars="200"/>
              <w:rPr>
                <w:color w:val="auto"/>
                <w:sz w:val="24"/>
              </w:rPr>
            </w:pPr>
            <w:r>
              <w:rPr>
                <w:color w:val="auto"/>
                <w:sz w:val="24"/>
              </w:rPr>
              <w:t>采样方法</w:t>
            </w:r>
            <w:r>
              <w:rPr>
                <w:rFonts w:hint="eastAsia"/>
                <w:color w:val="auto"/>
                <w:sz w:val="24"/>
                <w:lang w:val="en-US" w:eastAsia="zh-CN"/>
              </w:rPr>
              <w:t>和分析方法</w:t>
            </w:r>
            <w:r>
              <w:rPr>
                <w:color w:val="auto"/>
                <w:sz w:val="24"/>
              </w:rPr>
              <w:t>《</w:t>
            </w:r>
            <w:r>
              <w:rPr>
                <w:rFonts w:hint="eastAsia"/>
                <w:color w:val="auto"/>
                <w:sz w:val="24"/>
                <w:lang w:val="en-US" w:eastAsia="zh-CN"/>
              </w:rPr>
              <w:t>环境空气 总悬浮颗粒物的测定 重量法</w:t>
            </w:r>
            <w:r>
              <w:rPr>
                <w:color w:val="auto"/>
                <w:sz w:val="24"/>
              </w:rPr>
              <w:t>》（</w:t>
            </w:r>
            <w:r>
              <w:rPr>
                <w:rFonts w:hint="eastAsia"/>
                <w:color w:val="auto"/>
                <w:sz w:val="24"/>
                <w:lang w:val="en-US" w:eastAsia="zh-CN"/>
              </w:rPr>
              <w:t>HJ 1263-2022</w:t>
            </w:r>
            <w:r>
              <w:rPr>
                <w:rFonts w:hint="eastAsia"/>
                <w:color w:val="auto"/>
                <w:sz w:val="24"/>
                <w:lang w:eastAsia="zh-CN"/>
              </w:rPr>
              <w:t>）</w:t>
            </w:r>
            <w:r>
              <w:rPr>
                <w:color w:val="auto"/>
                <w:sz w:val="24"/>
              </w:rPr>
              <w:t>。</w:t>
            </w:r>
          </w:p>
          <w:p w14:paraId="19D77743">
            <w:pPr>
              <w:adjustRightInd w:val="0"/>
              <w:snapToGrid w:val="0"/>
              <w:spacing w:line="360" w:lineRule="auto"/>
              <w:ind w:firstLine="480" w:firstLineChars="200"/>
              <w:rPr>
                <w:color w:val="auto"/>
                <w:sz w:val="24"/>
              </w:rPr>
            </w:pPr>
            <w:r>
              <w:rPr>
                <w:color w:val="auto"/>
                <w:sz w:val="24"/>
              </w:rPr>
              <w:t>（3</w:t>
            </w:r>
            <w:r>
              <w:rPr>
                <w:rFonts w:hint="eastAsia"/>
                <w:color w:val="auto"/>
                <w:sz w:val="24"/>
                <w:lang w:eastAsia="zh-CN"/>
              </w:rPr>
              <w:t>）</w:t>
            </w:r>
            <w:r>
              <w:rPr>
                <w:color w:val="auto"/>
                <w:sz w:val="24"/>
              </w:rPr>
              <w:t>监测时间及频率</w:t>
            </w:r>
          </w:p>
          <w:p w14:paraId="6507AE0F">
            <w:pPr>
              <w:keepNext w:val="0"/>
              <w:keepLines w:val="0"/>
              <w:widowControl/>
              <w:suppressLineNumbers w:val="0"/>
              <w:ind w:firstLine="480" w:firstLineChars="200"/>
              <w:jc w:val="left"/>
            </w:pPr>
            <w:r>
              <w:rPr>
                <w:rFonts w:hint="eastAsia" w:ascii="Times New Roman" w:cs="Times New Roman"/>
                <w:color w:val="auto"/>
                <w:sz w:val="24"/>
                <w:szCs w:val="24"/>
                <w:lang w:val="en-US" w:eastAsia="zh-CN"/>
              </w:rPr>
              <w:t>TSP</w:t>
            </w:r>
            <w:r>
              <w:rPr>
                <w:rFonts w:ascii="Times New Roman" w:cs="Times New Roman"/>
                <w:color w:val="auto"/>
                <w:sz w:val="24"/>
                <w:szCs w:val="24"/>
              </w:rPr>
              <w:t>：</w:t>
            </w:r>
            <w:r>
              <w:rPr>
                <w:rFonts w:hint="eastAsia"/>
                <w:color w:val="auto"/>
                <w:sz w:val="24"/>
                <w:lang w:val="en-US" w:eastAsia="zh-CN"/>
              </w:rPr>
              <w:t>2024年7月16日</w:t>
            </w:r>
            <w:r>
              <w:rPr>
                <w:rFonts w:hint="eastAsia" w:ascii="宋体" w:hAnsi="宋体" w:eastAsia="宋体" w:cs="宋体"/>
                <w:color w:val="auto"/>
                <w:sz w:val="24"/>
                <w:szCs w:val="24"/>
                <w:lang w:val="en-US" w:eastAsia="zh-CN"/>
              </w:rPr>
              <w:t>～</w:t>
            </w:r>
            <w:r>
              <w:rPr>
                <w:rFonts w:hint="eastAsia" w:hAnsi="宋体" w:cs="宋体"/>
                <w:color w:val="auto"/>
                <w:sz w:val="24"/>
                <w:szCs w:val="24"/>
                <w:lang w:val="en-US" w:eastAsia="zh-CN"/>
              </w:rPr>
              <w:t>19</w:t>
            </w:r>
            <w:r>
              <w:rPr>
                <w:rFonts w:hint="eastAsia" w:ascii="宋体" w:hAnsi="宋体" w:cs="宋体"/>
                <w:color w:val="auto"/>
                <w:sz w:val="24"/>
                <w:szCs w:val="24"/>
                <w:lang w:val="en-US" w:eastAsia="zh-CN"/>
              </w:rPr>
              <w:t>日</w:t>
            </w:r>
            <w:r>
              <w:rPr>
                <w:rFonts w:ascii="Times New Roman" w:cs="Times New Roman"/>
                <w:color w:val="auto"/>
                <w:sz w:val="24"/>
                <w:szCs w:val="24"/>
              </w:rPr>
              <w:t>，</w:t>
            </w:r>
            <w:r>
              <w:rPr>
                <w:rFonts w:ascii="Times New Roman" w:cs="Times New Roman"/>
                <w:color w:val="auto"/>
                <w:sz w:val="24"/>
              </w:rPr>
              <w:t>连续检测3天，测定日均值。</w:t>
            </w:r>
          </w:p>
          <w:p w14:paraId="4852A86C">
            <w:pPr>
              <w:pStyle w:val="79"/>
              <w:adjustRightInd w:val="0"/>
              <w:snapToGrid w:val="0"/>
              <w:spacing w:line="360" w:lineRule="auto"/>
              <w:ind w:firstLine="480" w:firstLineChars="200"/>
              <w:rPr>
                <w:rFonts w:ascii="Times New Roman" w:cs="Times New Roman"/>
                <w:color w:val="auto"/>
                <w:sz w:val="24"/>
                <w:szCs w:val="24"/>
              </w:rPr>
            </w:pPr>
          </w:p>
          <w:p w14:paraId="291985CD">
            <w:pPr>
              <w:adjustRightInd w:val="0"/>
              <w:snapToGrid w:val="0"/>
              <w:spacing w:line="360" w:lineRule="auto"/>
              <w:ind w:firstLine="480" w:firstLineChars="200"/>
              <w:rPr>
                <w:color w:val="auto"/>
                <w:sz w:val="24"/>
              </w:rPr>
            </w:pPr>
            <w:bookmarkStart w:id="6" w:name="_Toc28617"/>
            <w:r>
              <w:rPr>
                <w:color w:val="auto"/>
                <w:sz w:val="24"/>
              </w:rPr>
              <w:t>（4</w:t>
            </w:r>
            <w:r>
              <w:rPr>
                <w:rFonts w:hint="eastAsia"/>
                <w:color w:val="auto"/>
                <w:sz w:val="24"/>
                <w:lang w:eastAsia="zh-CN"/>
              </w:rPr>
              <w:t>）</w:t>
            </w:r>
            <w:r>
              <w:rPr>
                <w:color w:val="auto"/>
                <w:sz w:val="24"/>
              </w:rPr>
              <w:t>评价标准</w:t>
            </w:r>
            <w:bookmarkEnd w:id="6"/>
          </w:p>
          <w:p w14:paraId="1008BA9E">
            <w:pPr>
              <w:adjustRightInd w:val="0"/>
              <w:snapToGrid w:val="0"/>
              <w:spacing w:line="360" w:lineRule="auto"/>
              <w:ind w:firstLine="480" w:firstLineChars="200"/>
              <w:rPr>
                <w:rFonts w:hint="eastAsia"/>
                <w:color w:val="auto"/>
                <w:kern w:val="0"/>
                <w:sz w:val="24"/>
                <w:lang w:val="en-US" w:eastAsia="zh-CN" w:bidi="ar"/>
              </w:rPr>
            </w:pPr>
            <w:bookmarkStart w:id="7" w:name="_Toc311744203"/>
            <w:r>
              <w:rPr>
                <w:rFonts w:hint="eastAsia"/>
                <w:color w:val="auto"/>
                <w:kern w:val="0"/>
                <w:sz w:val="24"/>
                <w:lang w:val="en-US" w:eastAsia="zh-CN" w:bidi="ar"/>
              </w:rPr>
              <w:t>TSP</w:t>
            </w:r>
            <w:r>
              <w:rPr>
                <w:color w:val="auto"/>
                <w:kern w:val="0"/>
                <w:sz w:val="24"/>
                <w:lang w:bidi="ar"/>
              </w:rPr>
              <w:t>：</w:t>
            </w:r>
            <w:r>
              <w:rPr>
                <w:rFonts w:hint="eastAsia"/>
                <w:color w:val="auto"/>
                <w:kern w:val="0"/>
                <w:sz w:val="24"/>
                <w:lang w:val="en-US" w:eastAsia="zh-CN" w:bidi="ar"/>
              </w:rPr>
              <w:t>《环境空气质量标准》（GB3095-2012）中浓度限值300</w:t>
            </w:r>
            <w:r>
              <w:rPr>
                <w:rFonts w:hint="default" w:ascii="Times New Roman" w:hAnsi="Times New Roman" w:eastAsia="宋体" w:cs="Times New Roman"/>
                <w:color w:val="000000"/>
                <w:kern w:val="0"/>
                <w:sz w:val="24"/>
                <w:szCs w:val="24"/>
                <w:lang w:val="en-US" w:eastAsia="zh-CN" w:bidi="ar"/>
              </w:rPr>
              <w:t>μ</w:t>
            </w:r>
            <w:r>
              <w:rPr>
                <w:rFonts w:hint="eastAsia"/>
                <w:color w:val="auto"/>
                <w:kern w:val="0"/>
                <w:sz w:val="24"/>
                <w:lang w:val="en-US" w:eastAsia="zh-CN" w:bidi="ar"/>
              </w:rPr>
              <w:t>g/m</w:t>
            </w:r>
            <w:r>
              <w:rPr>
                <w:rFonts w:hint="eastAsia"/>
                <w:color w:val="auto"/>
                <w:kern w:val="0"/>
                <w:sz w:val="24"/>
                <w:vertAlign w:val="superscript"/>
                <w:lang w:val="en-US" w:eastAsia="zh-CN" w:bidi="ar"/>
              </w:rPr>
              <w:t>3</w:t>
            </w:r>
          </w:p>
          <w:p w14:paraId="47159D63">
            <w:pPr>
              <w:adjustRightInd w:val="0"/>
              <w:snapToGrid w:val="0"/>
              <w:spacing w:line="360" w:lineRule="auto"/>
              <w:ind w:firstLine="480" w:firstLineChars="200"/>
              <w:rPr>
                <w:color w:val="auto"/>
                <w:sz w:val="24"/>
              </w:rPr>
            </w:pPr>
            <w:bookmarkStart w:id="8" w:name="_Toc12004"/>
            <w:r>
              <w:rPr>
                <w:color w:val="auto"/>
                <w:sz w:val="24"/>
              </w:rPr>
              <w:t>（5</w:t>
            </w:r>
            <w:r>
              <w:rPr>
                <w:rFonts w:hint="eastAsia"/>
                <w:color w:val="auto"/>
                <w:sz w:val="24"/>
                <w:lang w:eastAsia="zh-CN"/>
              </w:rPr>
              <w:t>）</w:t>
            </w:r>
            <w:r>
              <w:rPr>
                <w:color w:val="auto"/>
                <w:sz w:val="24"/>
              </w:rPr>
              <w:t>评价方法</w:t>
            </w:r>
            <w:bookmarkEnd w:id="8"/>
          </w:p>
          <w:p w14:paraId="1B216C96">
            <w:pPr>
              <w:adjustRightInd w:val="0"/>
              <w:snapToGrid w:val="0"/>
              <w:spacing w:line="360" w:lineRule="auto"/>
              <w:ind w:firstLine="480" w:firstLineChars="200"/>
              <w:rPr>
                <w:color w:val="auto"/>
                <w:sz w:val="24"/>
              </w:rPr>
            </w:pPr>
            <w:r>
              <w:rPr>
                <w:color w:val="auto"/>
                <w:sz w:val="24"/>
              </w:rPr>
              <w:t>本评价采用单因子评价指数法，单因子评价指数用以下公式计算而得：</w:t>
            </w:r>
          </w:p>
          <w:p w14:paraId="3A19661F">
            <w:pPr>
              <w:adjustRightInd w:val="0"/>
              <w:snapToGrid w:val="0"/>
              <w:spacing w:line="360" w:lineRule="auto"/>
              <w:ind w:firstLine="480" w:firstLineChars="200"/>
              <w:jc w:val="center"/>
              <w:rPr>
                <w:color w:val="auto"/>
                <w:sz w:val="24"/>
              </w:rPr>
            </w:pPr>
            <w:bookmarkStart w:id="9" w:name="_Toc9636_WPSOffice_Level1"/>
            <w:r>
              <w:rPr>
                <w:color w:val="auto"/>
                <w:sz w:val="24"/>
              </w:rPr>
              <w:t>I</w:t>
            </w:r>
            <w:r>
              <w:rPr>
                <w:color w:val="auto"/>
                <w:sz w:val="24"/>
                <w:vertAlign w:val="subscript"/>
              </w:rPr>
              <w:t>i</w:t>
            </w:r>
            <w:r>
              <w:rPr>
                <w:color w:val="auto"/>
                <w:sz w:val="24"/>
              </w:rPr>
              <w:t>=C</w:t>
            </w:r>
            <w:r>
              <w:rPr>
                <w:color w:val="auto"/>
                <w:sz w:val="24"/>
                <w:vertAlign w:val="subscript"/>
              </w:rPr>
              <w:t>i</w:t>
            </w:r>
            <w:r>
              <w:rPr>
                <w:color w:val="auto"/>
                <w:sz w:val="24"/>
              </w:rPr>
              <w:t>/C</w:t>
            </w:r>
            <w:r>
              <w:rPr>
                <w:color w:val="auto"/>
                <w:sz w:val="24"/>
                <w:vertAlign w:val="subscript"/>
              </w:rPr>
              <w:t>o</w:t>
            </w:r>
            <w:bookmarkEnd w:id="9"/>
          </w:p>
          <w:p w14:paraId="4FB9D82A">
            <w:pPr>
              <w:adjustRightInd w:val="0"/>
              <w:snapToGrid w:val="0"/>
              <w:spacing w:line="360" w:lineRule="auto"/>
              <w:ind w:firstLine="480" w:firstLineChars="200"/>
              <w:rPr>
                <w:color w:val="auto"/>
                <w:sz w:val="24"/>
              </w:rPr>
            </w:pPr>
            <w:r>
              <w:rPr>
                <w:color w:val="auto"/>
                <w:sz w:val="24"/>
              </w:rPr>
              <w:t>式中：I</w:t>
            </w:r>
            <w:r>
              <w:rPr>
                <w:color w:val="auto"/>
                <w:sz w:val="24"/>
                <w:vertAlign w:val="subscript"/>
              </w:rPr>
              <w:t>i</w:t>
            </w:r>
            <w:r>
              <w:rPr>
                <w:color w:val="auto"/>
                <w:sz w:val="24"/>
              </w:rPr>
              <w:t>——污染物i的单因子评价指数，无量纲；</w:t>
            </w:r>
          </w:p>
          <w:p w14:paraId="1EF66439">
            <w:pPr>
              <w:adjustRightInd w:val="0"/>
              <w:snapToGrid w:val="0"/>
              <w:spacing w:line="360" w:lineRule="auto"/>
              <w:ind w:firstLine="480" w:firstLineChars="200"/>
              <w:rPr>
                <w:color w:val="auto"/>
                <w:sz w:val="24"/>
              </w:rPr>
            </w:pPr>
            <w:r>
              <w:rPr>
                <w:color w:val="auto"/>
                <w:sz w:val="24"/>
              </w:rPr>
              <w:t>C</w:t>
            </w:r>
            <w:r>
              <w:rPr>
                <w:color w:val="auto"/>
                <w:sz w:val="24"/>
                <w:vertAlign w:val="subscript"/>
              </w:rPr>
              <w:t>i</w:t>
            </w:r>
            <w:r>
              <w:rPr>
                <w:color w:val="auto"/>
                <w:sz w:val="24"/>
              </w:rPr>
              <w:t>——污染物i的实测浓度，mg/m</w:t>
            </w:r>
            <w:r>
              <w:rPr>
                <w:color w:val="auto"/>
                <w:sz w:val="24"/>
                <w:vertAlign w:val="superscript"/>
              </w:rPr>
              <w:t>3</w:t>
            </w:r>
            <w:r>
              <w:rPr>
                <w:color w:val="auto"/>
                <w:sz w:val="24"/>
              </w:rPr>
              <w:t>；</w:t>
            </w:r>
          </w:p>
          <w:p w14:paraId="3E9BE519">
            <w:pPr>
              <w:adjustRightInd w:val="0"/>
              <w:snapToGrid w:val="0"/>
              <w:spacing w:line="360" w:lineRule="auto"/>
              <w:ind w:firstLine="480" w:firstLineChars="200"/>
              <w:rPr>
                <w:color w:val="auto"/>
                <w:sz w:val="24"/>
              </w:rPr>
            </w:pPr>
            <w:r>
              <w:rPr>
                <w:color w:val="auto"/>
                <w:sz w:val="24"/>
              </w:rPr>
              <w:t>C</w:t>
            </w:r>
            <w:r>
              <w:rPr>
                <w:color w:val="auto"/>
                <w:sz w:val="24"/>
                <w:vertAlign w:val="subscript"/>
              </w:rPr>
              <w:t>o</w:t>
            </w:r>
            <w:r>
              <w:rPr>
                <w:color w:val="auto"/>
                <w:sz w:val="24"/>
              </w:rPr>
              <w:t>——污染物i的评价标准，mg/m</w:t>
            </w:r>
            <w:r>
              <w:rPr>
                <w:color w:val="auto"/>
                <w:sz w:val="24"/>
                <w:vertAlign w:val="superscript"/>
              </w:rPr>
              <w:t>3</w:t>
            </w:r>
            <w:r>
              <w:rPr>
                <w:color w:val="auto"/>
                <w:sz w:val="24"/>
              </w:rPr>
              <w:t>；</w:t>
            </w:r>
          </w:p>
          <w:p w14:paraId="4CF2F1E7">
            <w:pPr>
              <w:adjustRightInd w:val="0"/>
              <w:snapToGrid w:val="0"/>
              <w:spacing w:line="360" w:lineRule="auto"/>
              <w:ind w:firstLine="480" w:firstLineChars="200"/>
              <w:rPr>
                <w:color w:val="auto"/>
                <w:sz w:val="24"/>
              </w:rPr>
            </w:pPr>
            <w:r>
              <w:rPr>
                <w:color w:val="auto"/>
                <w:sz w:val="24"/>
              </w:rPr>
              <w:t>根据结果，当I</w:t>
            </w:r>
            <w:r>
              <w:rPr>
                <w:color w:val="auto"/>
                <w:sz w:val="24"/>
                <w:vertAlign w:val="subscript"/>
              </w:rPr>
              <w:t>i</w:t>
            </w:r>
            <w:r>
              <w:rPr>
                <w:color w:val="auto"/>
                <w:sz w:val="24"/>
              </w:rPr>
              <w:t>&lt;1时，表示大气中该污染物浓度不超标；当I</w:t>
            </w:r>
            <w:r>
              <w:rPr>
                <w:color w:val="auto"/>
                <w:sz w:val="24"/>
                <w:vertAlign w:val="subscript"/>
              </w:rPr>
              <w:t>i</w:t>
            </w:r>
            <w:r>
              <w:rPr>
                <w:color w:val="auto"/>
                <w:sz w:val="24"/>
              </w:rPr>
              <w:t>≥1时，表示大气中该污染物浓度超过评价标准。</w:t>
            </w:r>
          </w:p>
          <w:p w14:paraId="16D44819">
            <w:pPr>
              <w:adjustRightInd w:val="0"/>
              <w:snapToGrid w:val="0"/>
              <w:spacing w:line="360" w:lineRule="auto"/>
              <w:ind w:firstLine="480" w:firstLineChars="200"/>
              <w:rPr>
                <w:color w:val="auto"/>
                <w:sz w:val="24"/>
              </w:rPr>
            </w:pPr>
            <w:r>
              <w:rPr>
                <w:color w:val="auto"/>
                <w:sz w:val="24"/>
              </w:rPr>
              <w:t>（6</w:t>
            </w:r>
            <w:r>
              <w:rPr>
                <w:rFonts w:hint="eastAsia"/>
                <w:color w:val="auto"/>
                <w:sz w:val="24"/>
                <w:lang w:eastAsia="zh-CN"/>
              </w:rPr>
              <w:t>）</w:t>
            </w:r>
            <w:r>
              <w:rPr>
                <w:color w:val="auto"/>
                <w:sz w:val="24"/>
              </w:rPr>
              <w:t>评价结果及结论</w:t>
            </w:r>
          </w:p>
          <w:bookmarkEnd w:id="7"/>
          <w:p w14:paraId="7B261900">
            <w:pPr>
              <w:pStyle w:val="91"/>
              <w:rPr>
                <w:color w:val="auto"/>
              </w:rPr>
            </w:pPr>
            <w:r>
              <w:rPr>
                <w:color w:val="auto"/>
              </w:rPr>
              <w:t>表3-2环境空气质量评价结果统计表</w:t>
            </w:r>
          </w:p>
          <w:tbl>
            <w:tblPr>
              <w:tblStyle w:val="29"/>
              <w:tblW w:w="497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788"/>
              <w:gridCol w:w="1207"/>
              <w:gridCol w:w="1205"/>
              <w:gridCol w:w="1195"/>
              <w:gridCol w:w="674"/>
              <w:gridCol w:w="702"/>
              <w:gridCol w:w="670"/>
            </w:tblGrid>
            <w:tr w14:paraId="25A59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26" w:type="pct"/>
                  <w:noWrap/>
                  <w:vAlign w:val="center"/>
                </w:tcPr>
                <w:p w14:paraId="57065BEB">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监测地点</w:t>
                  </w:r>
                </w:p>
              </w:tc>
              <w:tc>
                <w:tcPr>
                  <w:tcW w:w="498" w:type="pct"/>
                  <w:vAlign w:val="center"/>
                </w:tcPr>
                <w:p w14:paraId="2E0BAB4E">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监测</w:t>
                  </w:r>
                </w:p>
                <w:p w14:paraId="3BD55576">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项目</w:t>
                  </w:r>
                </w:p>
              </w:tc>
              <w:tc>
                <w:tcPr>
                  <w:tcW w:w="763" w:type="pct"/>
                  <w:vAlign w:val="center"/>
                </w:tcPr>
                <w:p w14:paraId="072A3D07">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监测</w:t>
                  </w:r>
                </w:p>
                <w:p w14:paraId="59320E64">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日期</w:t>
                  </w:r>
                </w:p>
              </w:tc>
              <w:tc>
                <w:tcPr>
                  <w:tcW w:w="762" w:type="pct"/>
                  <w:vAlign w:val="center"/>
                </w:tcPr>
                <w:p w14:paraId="5B1DFD99">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kern w:val="0"/>
                      <w:szCs w:val="21"/>
                      <w:lang w:eastAsia="zh-CN"/>
                    </w:rPr>
                  </w:pPr>
                  <w:r>
                    <w:rPr>
                      <w:color w:val="auto"/>
                      <w:kern w:val="0"/>
                      <w:szCs w:val="21"/>
                    </w:rPr>
                    <w:t>检测结果</w:t>
                  </w:r>
                  <w:r>
                    <w:rPr>
                      <w:rFonts w:hint="eastAsia"/>
                      <w:color w:val="auto"/>
                      <w:kern w:val="0"/>
                      <w:szCs w:val="21"/>
                      <w:lang w:eastAsia="zh-CN"/>
                    </w:rPr>
                    <w:t>（</w:t>
                  </w:r>
                  <w:r>
                    <w:rPr>
                      <w:rFonts w:hint="default" w:ascii="Times New Roman" w:hAnsi="Times New Roman" w:eastAsia="宋体" w:cs="Times New Roman"/>
                      <w:color w:val="000000"/>
                      <w:kern w:val="0"/>
                      <w:sz w:val="24"/>
                      <w:szCs w:val="24"/>
                      <w:lang w:val="en-US" w:eastAsia="zh-CN" w:bidi="ar"/>
                    </w:rPr>
                    <w:t>μ</w:t>
                  </w:r>
                  <w:r>
                    <w:rPr>
                      <w:rFonts w:hint="eastAsia"/>
                      <w:color w:val="auto"/>
                      <w:kern w:val="0"/>
                      <w:sz w:val="24"/>
                      <w:lang w:val="en-US" w:eastAsia="zh-CN" w:bidi="ar"/>
                    </w:rPr>
                    <w:t>g</w:t>
                  </w:r>
                  <w:r>
                    <w:rPr>
                      <w:color w:val="auto"/>
                      <w:sz w:val="24"/>
                    </w:rPr>
                    <w:t>/m</w:t>
                  </w:r>
                  <w:r>
                    <w:rPr>
                      <w:color w:val="auto"/>
                      <w:sz w:val="24"/>
                      <w:vertAlign w:val="superscript"/>
                    </w:rPr>
                    <w:t>3</w:t>
                  </w:r>
                  <w:r>
                    <w:rPr>
                      <w:rFonts w:hint="eastAsia"/>
                      <w:color w:val="auto"/>
                      <w:kern w:val="0"/>
                      <w:szCs w:val="21"/>
                      <w:lang w:eastAsia="zh-CN"/>
                    </w:rPr>
                    <w:t>）</w:t>
                  </w:r>
                </w:p>
              </w:tc>
              <w:tc>
                <w:tcPr>
                  <w:tcW w:w="755" w:type="pct"/>
                  <w:vAlign w:val="center"/>
                </w:tcPr>
                <w:p w14:paraId="020EA24A">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kern w:val="0"/>
                      <w:szCs w:val="21"/>
                      <w:lang w:eastAsia="zh-CN"/>
                    </w:rPr>
                  </w:pPr>
                  <w:r>
                    <w:rPr>
                      <w:color w:val="auto"/>
                      <w:kern w:val="0"/>
                      <w:szCs w:val="21"/>
                    </w:rPr>
                    <w:t>标准值（</w:t>
                  </w:r>
                  <w:r>
                    <w:rPr>
                      <w:rFonts w:hint="default" w:ascii="Times New Roman" w:hAnsi="Times New Roman" w:eastAsia="宋体" w:cs="Times New Roman"/>
                      <w:color w:val="000000"/>
                      <w:kern w:val="0"/>
                      <w:sz w:val="24"/>
                      <w:szCs w:val="24"/>
                      <w:lang w:val="en-US" w:eastAsia="zh-CN" w:bidi="ar"/>
                    </w:rPr>
                    <w:t>μ</w:t>
                  </w:r>
                  <w:r>
                    <w:rPr>
                      <w:rFonts w:hint="eastAsia"/>
                      <w:color w:val="auto"/>
                      <w:kern w:val="0"/>
                      <w:sz w:val="24"/>
                      <w:lang w:val="en-US" w:eastAsia="zh-CN" w:bidi="ar"/>
                    </w:rPr>
                    <w:t>g</w:t>
                  </w:r>
                  <w:r>
                    <w:rPr>
                      <w:color w:val="auto"/>
                      <w:sz w:val="24"/>
                    </w:rPr>
                    <w:t>/m</w:t>
                  </w:r>
                  <w:r>
                    <w:rPr>
                      <w:color w:val="auto"/>
                      <w:sz w:val="24"/>
                      <w:vertAlign w:val="superscript"/>
                    </w:rPr>
                    <w:t>3</w:t>
                  </w:r>
                  <w:r>
                    <w:rPr>
                      <w:rFonts w:hint="eastAsia"/>
                      <w:color w:val="auto"/>
                      <w:kern w:val="0"/>
                      <w:szCs w:val="21"/>
                      <w:lang w:eastAsia="zh-CN"/>
                    </w:rPr>
                    <w:t>）</w:t>
                  </w:r>
                </w:p>
              </w:tc>
              <w:tc>
                <w:tcPr>
                  <w:tcW w:w="426" w:type="pct"/>
                  <w:vAlign w:val="center"/>
                </w:tcPr>
                <w:p w14:paraId="2B1B9ACB">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评价指数</w:t>
                  </w:r>
                </w:p>
              </w:tc>
              <w:tc>
                <w:tcPr>
                  <w:tcW w:w="443" w:type="pct"/>
                  <w:vAlign w:val="center"/>
                </w:tcPr>
                <w:p w14:paraId="72F38C23">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超标率</w:t>
                  </w:r>
                </w:p>
              </w:tc>
              <w:tc>
                <w:tcPr>
                  <w:tcW w:w="423" w:type="pct"/>
                  <w:vAlign w:val="center"/>
                </w:tcPr>
                <w:p w14:paraId="59DFF6F5">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达标情况</w:t>
                  </w:r>
                </w:p>
              </w:tc>
            </w:tr>
            <w:tr w14:paraId="7AA97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6" w:type="pct"/>
                  <w:vMerge w:val="restart"/>
                  <w:noWrap/>
                  <w:vAlign w:val="center"/>
                </w:tcPr>
                <w:p w14:paraId="5EDCA03B">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szCs w:val="21"/>
                    </w:rPr>
                  </w:pPr>
                  <w:r>
                    <w:rPr>
                      <w:color w:val="auto"/>
                      <w:szCs w:val="21"/>
                    </w:rPr>
                    <w:t>E</w:t>
                  </w:r>
                  <w:r>
                    <w:rPr>
                      <w:rFonts w:hint="eastAsia"/>
                      <w:color w:val="auto"/>
                      <w:sz w:val="24"/>
                      <w:lang w:val="en-US" w:eastAsia="zh-CN"/>
                    </w:rPr>
                    <w:t>86.077447</w:t>
                  </w:r>
                </w:p>
                <w:p w14:paraId="21D0015E">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szCs w:val="21"/>
                    </w:rPr>
                    <w:t>N</w:t>
                  </w:r>
                  <w:r>
                    <w:rPr>
                      <w:rFonts w:hint="eastAsia"/>
                      <w:color w:val="auto"/>
                      <w:sz w:val="24"/>
                      <w:lang w:val="en-US" w:eastAsia="zh-CN"/>
                    </w:rPr>
                    <w:t>41.797926</w:t>
                  </w:r>
                </w:p>
              </w:tc>
              <w:tc>
                <w:tcPr>
                  <w:tcW w:w="498" w:type="pct"/>
                  <w:vMerge w:val="restart"/>
                  <w:vAlign w:val="center"/>
                </w:tcPr>
                <w:p w14:paraId="6ADF096F">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kern w:val="0"/>
                      <w:szCs w:val="21"/>
                      <w:lang w:val="en-US" w:eastAsia="zh-CN"/>
                    </w:rPr>
                    <w:t>TSP</w:t>
                  </w:r>
                </w:p>
              </w:tc>
              <w:tc>
                <w:tcPr>
                  <w:tcW w:w="763" w:type="pct"/>
                  <w:vAlign w:val="center"/>
                </w:tcPr>
                <w:p w14:paraId="60F17FB6">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color w:val="auto"/>
                      <w:szCs w:val="21"/>
                    </w:rPr>
                    <w:t>2024.</w:t>
                  </w:r>
                  <w:r>
                    <w:rPr>
                      <w:rFonts w:hint="eastAsia"/>
                      <w:color w:val="auto"/>
                      <w:szCs w:val="21"/>
                      <w:lang w:val="en-US" w:eastAsia="zh-CN"/>
                    </w:rPr>
                    <w:t>7.17</w:t>
                  </w:r>
                </w:p>
              </w:tc>
              <w:tc>
                <w:tcPr>
                  <w:tcW w:w="762" w:type="pct"/>
                  <w:vAlign w:val="center"/>
                </w:tcPr>
                <w:p w14:paraId="14066B7E">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kern w:val="0"/>
                      <w:szCs w:val="21"/>
                      <w:lang w:val="en-US" w:eastAsia="zh-CN"/>
                    </w:rPr>
                    <w:t>0.219</w:t>
                  </w:r>
                </w:p>
              </w:tc>
              <w:tc>
                <w:tcPr>
                  <w:tcW w:w="755" w:type="pct"/>
                  <w:vAlign w:val="center"/>
                </w:tcPr>
                <w:p w14:paraId="6314A773">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300</w:t>
                  </w:r>
                </w:p>
              </w:tc>
              <w:tc>
                <w:tcPr>
                  <w:tcW w:w="426" w:type="pct"/>
                  <w:noWrap/>
                  <w:vAlign w:val="center"/>
                </w:tcPr>
                <w:p w14:paraId="76636726">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73</w:t>
                  </w:r>
                </w:p>
              </w:tc>
              <w:tc>
                <w:tcPr>
                  <w:tcW w:w="443" w:type="pct"/>
                  <w:noWrap/>
                  <w:vAlign w:val="center"/>
                </w:tcPr>
                <w:p w14:paraId="5635E0BD">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0</w:t>
                  </w:r>
                </w:p>
              </w:tc>
              <w:tc>
                <w:tcPr>
                  <w:tcW w:w="423" w:type="pct"/>
                  <w:noWrap/>
                  <w:vAlign w:val="center"/>
                </w:tcPr>
                <w:p w14:paraId="386DC460">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kern w:val="0"/>
                      <w:szCs w:val="21"/>
                      <w:lang w:eastAsia="zh-CN"/>
                    </w:rPr>
                  </w:pPr>
                  <w:r>
                    <w:rPr>
                      <w:rFonts w:hint="eastAsia"/>
                      <w:color w:val="auto"/>
                      <w:kern w:val="0"/>
                      <w:szCs w:val="21"/>
                      <w:lang w:val="en-US" w:eastAsia="zh-CN"/>
                    </w:rPr>
                    <w:t>达标</w:t>
                  </w:r>
                </w:p>
              </w:tc>
            </w:tr>
            <w:tr w14:paraId="680C3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6" w:type="pct"/>
                  <w:vMerge w:val="continue"/>
                  <w:noWrap/>
                  <w:vAlign w:val="center"/>
                </w:tcPr>
                <w:p w14:paraId="4A45E1B2">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color w:val="auto"/>
                      <w:kern w:val="0"/>
                      <w:szCs w:val="21"/>
                    </w:rPr>
                  </w:pPr>
                </w:p>
              </w:tc>
              <w:tc>
                <w:tcPr>
                  <w:tcW w:w="498" w:type="pct"/>
                  <w:vMerge w:val="continue"/>
                  <w:vAlign w:val="center"/>
                </w:tcPr>
                <w:p w14:paraId="23F15AEF">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p>
              </w:tc>
              <w:tc>
                <w:tcPr>
                  <w:tcW w:w="763" w:type="pct"/>
                  <w:vAlign w:val="center"/>
                </w:tcPr>
                <w:p w14:paraId="5B75E488">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color w:val="auto"/>
                      <w:kern w:val="0"/>
                      <w:szCs w:val="21"/>
                      <w:lang w:val="en-US"/>
                    </w:rPr>
                  </w:pPr>
                  <w:r>
                    <w:rPr>
                      <w:color w:val="auto"/>
                      <w:szCs w:val="21"/>
                    </w:rPr>
                    <w:t>2024.</w:t>
                  </w:r>
                  <w:r>
                    <w:rPr>
                      <w:rFonts w:hint="eastAsia"/>
                      <w:color w:val="auto"/>
                      <w:szCs w:val="21"/>
                      <w:lang w:val="en-US" w:eastAsia="zh-CN"/>
                    </w:rPr>
                    <w:t>7.18</w:t>
                  </w:r>
                </w:p>
              </w:tc>
              <w:tc>
                <w:tcPr>
                  <w:tcW w:w="762" w:type="pct"/>
                  <w:vAlign w:val="center"/>
                </w:tcPr>
                <w:p w14:paraId="5E3FF7BC">
                  <w:pPr>
                    <w:keepNext w:val="0"/>
                    <w:keepLines w:val="0"/>
                    <w:pageBreakBefore w:val="0"/>
                    <w:kinsoku/>
                    <w:wordWrap/>
                    <w:overflowPunct/>
                    <w:topLinePunct w:val="0"/>
                    <w:autoSpaceDE/>
                    <w:autoSpaceDN/>
                    <w:bidi w:val="0"/>
                    <w:ind w:left="-63" w:leftChars="-30" w:right="-63" w:rightChars="-30"/>
                    <w:jc w:val="center"/>
                    <w:textAlignment w:val="auto"/>
                    <w:rPr>
                      <w:rFonts w:hint="default" w:eastAsia="宋体"/>
                      <w:color w:val="auto"/>
                      <w:lang w:val="en-US" w:eastAsia="zh-CN"/>
                    </w:rPr>
                  </w:pPr>
                  <w:r>
                    <w:rPr>
                      <w:rFonts w:hint="eastAsia"/>
                      <w:color w:val="auto"/>
                      <w:lang w:val="en-US" w:eastAsia="zh-CN"/>
                    </w:rPr>
                    <w:t>0.215</w:t>
                  </w:r>
                </w:p>
              </w:tc>
              <w:tc>
                <w:tcPr>
                  <w:tcW w:w="755" w:type="pct"/>
                  <w:vAlign w:val="center"/>
                </w:tcPr>
                <w:p w14:paraId="0A35E2BE">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300</w:t>
                  </w:r>
                </w:p>
              </w:tc>
              <w:tc>
                <w:tcPr>
                  <w:tcW w:w="426" w:type="pct"/>
                  <w:noWrap/>
                  <w:vAlign w:val="center"/>
                </w:tcPr>
                <w:p w14:paraId="246B1BA2">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72</w:t>
                  </w:r>
                </w:p>
              </w:tc>
              <w:tc>
                <w:tcPr>
                  <w:tcW w:w="443" w:type="pct"/>
                  <w:noWrap/>
                  <w:vAlign w:val="center"/>
                </w:tcPr>
                <w:p w14:paraId="253FF6A7">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0</w:t>
                  </w:r>
                </w:p>
              </w:tc>
              <w:tc>
                <w:tcPr>
                  <w:tcW w:w="423" w:type="pct"/>
                  <w:noWrap/>
                  <w:vAlign w:val="center"/>
                </w:tcPr>
                <w:p w14:paraId="363EE072">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kern w:val="0"/>
                      <w:szCs w:val="21"/>
                      <w:lang w:eastAsia="zh-CN"/>
                    </w:rPr>
                  </w:pPr>
                  <w:r>
                    <w:rPr>
                      <w:rFonts w:hint="eastAsia"/>
                      <w:color w:val="auto"/>
                      <w:kern w:val="0"/>
                      <w:szCs w:val="21"/>
                      <w:lang w:val="en-US" w:eastAsia="zh-CN"/>
                    </w:rPr>
                    <w:t>达标</w:t>
                  </w:r>
                </w:p>
              </w:tc>
            </w:tr>
            <w:tr w14:paraId="31464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26" w:type="pct"/>
                  <w:vMerge w:val="continue"/>
                  <w:noWrap/>
                  <w:vAlign w:val="center"/>
                </w:tcPr>
                <w:p w14:paraId="2B512034">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color w:val="auto"/>
                      <w:kern w:val="0"/>
                      <w:szCs w:val="21"/>
                    </w:rPr>
                  </w:pPr>
                </w:p>
              </w:tc>
              <w:tc>
                <w:tcPr>
                  <w:tcW w:w="498" w:type="pct"/>
                  <w:vMerge w:val="continue"/>
                  <w:vAlign w:val="center"/>
                </w:tcPr>
                <w:p w14:paraId="25160DE4">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p>
              </w:tc>
              <w:tc>
                <w:tcPr>
                  <w:tcW w:w="763" w:type="pct"/>
                  <w:vAlign w:val="center"/>
                </w:tcPr>
                <w:p w14:paraId="14903EB0">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color w:val="auto"/>
                      <w:kern w:val="0"/>
                      <w:szCs w:val="21"/>
                      <w:lang w:val="en-US"/>
                    </w:rPr>
                  </w:pPr>
                  <w:r>
                    <w:rPr>
                      <w:color w:val="auto"/>
                      <w:szCs w:val="21"/>
                    </w:rPr>
                    <w:t>2024.</w:t>
                  </w:r>
                  <w:r>
                    <w:rPr>
                      <w:rFonts w:hint="eastAsia"/>
                      <w:color w:val="auto"/>
                      <w:szCs w:val="21"/>
                      <w:lang w:val="en-US" w:eastAsia="zh-CN"/>
                    </w:rPr>
                    <w:t>7.19</w:t>
                  </w:r>
                </w:p>
              </w:tc>
              <w:tc>
                <w:tcPr>
                  <w:tcW w:w="762" w:type="pct"/>
                  <w:vAlign w:val="center"/>
                </w:tcPr>
                <w:p w14:paraId="19D81186">
                  <w:pPr>
                    <w:keepNext w:val="0"/>
                    <w:keepLines w:val="0"/>
                    <w:pageBreakBefore w:val="0"/>
                    <w:kinsoku/>
                    <w:wordWrap/>
                    <w:overflowPunct/>
                    <w:topLinePunct w:val="0"/>
                    <w:autoSpaceDE/>
                    <w:autoSpaceDN/>
                    <w:bidi w:val="0"/>
                    <w:ind w:left="-63" w:leftChars="-30" w:right="-63" w:rightChars="-30"/>
                    <w:jc w:val="center"/>
                    <w:textAlignment w:val="auto"/>
                    <w:rPr>
                      <w:rFonts w:hint="default" w:eastAsia="宋体"/>
                      <w:color w:val="auto"/>
                      <w:lang w:val="en-US" w:eastAsia="zh-CN"/>
                    </w:rPr>
                  </w:pPr>
                  <w:r>
                    <w:rPr>
                      <w:rFonts w:hint="eastAsia"/>
                      <w:color w:val="auto"/>
                      <w:lang w:val="en-US" w:eastAsia="zh-CN"/>
                    </w:rPr>
                    <w:t>0.228</w:t>
                  </w:r>
                </w:p>
              </w:tc>
              <w:tc>
                <w:tcPr>
                  <w:tcW w:w="755" w:type="pct"/>
                  <w:vAlign w:val="center"/>
                </w:tcPr>
                <w:p w14:paraId="482B4E93">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300</w:t>
                  </w:r>
                </w:p>
              </w:tc>
              <w:tc>
                <w:tcPr>
                  <w:tcW w:w="426" w:type="pct"/>
                  <w:noWrap/>
                  <w:vAlign w:val="center"/>
                </w:tcPr>
                <w:p w14:paraId="6294ED90">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eastAsia="宋体"/>
                      <w:color w:val="auto"/>
                      <w:kern w:val="0"/>
                      <w:szCs w:val="21"/>
                      <w:lang w:val="en-US" w:eastAsia="zh-CN"/>
                    </w:rPr>
                  </w:pPr>
                  <w:r>
                    <w:rPr>
                      <w:rFonts w:hint="eastAsia"/>
                      <w:color w:val="auto"/>
                      <w:szCs w:val="21"/>
                      <w:lang w:val="en-US" w:eastAsia="zh-CN"/>
                    </w:rPr>
                    <w:t>76</w:t>
                  </w:r>
                </w:p>
              </w:tc>
              <w:tc>
                <w:tcPr>
                  <w:tcW w:w="443" w:type="pct"/>
                  <w:noWrap/>
                  <w:vAlign w:val="center"/>
                </w:tcPr>
                <w:p w14:paraId="6BBA6999">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color w:val="auto"/>
                      <w:kern w:val="0"/>
                      <w:szCs w:val="21"/>
                    </w:rPr>
                  </w:pPr>
                  <w:r>
                    <w:rPr>
                      <w:color w:val="auto"/>
                      <w:kern w:val="0"/>
                      <w:szCs w:val="21"/>
                    </w:rPr>
                    <w:t>0</w:t>
                  </w:r>
                </w:p>
              </w:tc>
              <w:tc>
                <w:tcPr>
                  <w:tcW w:w="423" w:type="pct"/>
                  <w:noWrap/>
                  <w:vAlign w:val="center"/>
                </w:tcPr>
                <w:p w14:paraId="4569EC49">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kern w:val="0"/>
                      <w:szCs w:val="21"/>
                      <w:lang w:eastAsia="zh-CN"/>
                    </w:rPr>
                  </w:pPr>
                  <w:r>
                    <w:rPr>
                      <w:rFonts w:hint="eastAsia"/>
                      <w:color w:val="auto"/>
                      <w:kern w:val="0"/>
                      <w:szCs w:val="21"/>
                      <w:lang w:val="en-US" w:eastAsia="zh-CN"/>
                    </w:rPr>
                    <w:t>达标</w:t>
                  </w:r>
                </w:p>
              </w:tc>
            </w:tr>
          </w:tbl>
          <w:p w14:paraId="14BBC107">
            <w:pPr>
              <w:pStyle w:val="23"/>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jc w:val="both"/>
              <w:textAlignment w:val="auto"/>
              <w:rPr>
                <w:color w:val="auto"/>
              </w:rPr>
            </w:pPr>
            <w:r>
              <w:rPr>
                <w:rFonts w:hint="eastAsia"/>
                <w:color w:val="auto"/>
                <w:kern w:val="0"/>
                <w:lang w:val="en-US" w:eastAsia="zh-CN" w:bidi="ar"/>
              </w:rPr>
              <w:t xml:space="preserve">根据特征污染物补充监测数据结果，项目所在区域 </w:t>
            </w:r>
            <w:r>
              <w:rPr>
                <w:rFonts w:hint="default"/>
                <w:color w:val="auto"/>
                <w:kern w:val="0"/>
                <w:lang w:val="en-US" w:eastAsia="zh-CN" w:bidi="ar"/>
              </w:rPr>
              <w:t xml:space="preserve">TSP </w:t>
            </w:r>
            <w:r>
              <w:rPr>
                <w:rFonts w:hint="eastAsia"/>
                <w:color w:val="auto"/>
                <w:kern w:val="0"/>
                <w:lang w:val="en-US" w:eastAsia="zh-CN" w:bidi="ar"/>
              </w:rPr>
              <w:t>最大浓度占标率范围在</w:t>
            </w:r>
            <w:r>
              <w:rPr>
                <w:rFonts w:hint="default"/>
                <w:color w:val="auto"/>
                <w:kern w:val="0"/>
                <w:lang w:val="en-US" w:eastAsia="zh-CN" w:bidi="ar"/>
              </w:rPr>
              <w:t>73%-</w:t>
            </w:r>
            <w:r>
              <w:rPr>
                <w:rFonts w:hint="eastAsia"/>
                <w:color w:val="auto"/>
                <w:kern w:val="0"/>
                <w:lang w:val="en-US" w:eastAsia="zh-CN" w:bidi="ar"/>
              </w:rPr>
              <w:t>76</w:t>
            </w:r>
            <w:r>
              <w:rPr>
                <w:rFonts w:hint="default"/>
                <w:color w:val="auto"/>
                <w:kern w:val="0"/>
                <w:lang w:val="en-US" w:eastAsia="zh-CN" w:bidi="ar"/>
              </w:rPr>
              <w:t>%</w:t>
            </w:r>
            <w:r>
              <w:rPr>
                <w:rFonts w:hint="eastAsia"/>
                <w:color w:val="auto"/>
                <w:kern w:val="0"/>
                <w:lang w:val="en-US" w:eastAsia="zh-CN" w:bidi="ar"/>
              </w:rPr>
              <w:t>，满足《环境空气质量标准》（</w:t>
            </w:r>
            <w:r>
              <w:rPr>
                <w:rFonts w:hint="default"/>
                <w:color w:val="auto"/>
                <w:kern w:val="0"/>
                <w:lang w:val="en-US" w:eastAsia="zh-CN" w:bidi="ar"/>
              </w:rPr>
              <w:t>GB3095-2012</w:t>
            </w:r>
            <w:r>
              <w:rPr>
                <w:rFonts w:hint="eastAsia"/>
                <w:color w:val="auto"/>
                <w:kern w:val="0"/>
                <w:lang w:val="en-US" w:eastAsia="zh-CN" w:bidi="ar"/>
              </w:rPr>
              <w:t>）及其修改单二级标准限值要求。</w:t>
            </w:r>
          </w:p>
          <w:p w14:paraId="0B597DFE">
            <w:pPr>
              <w:pStyle w:val="5"/>
              <w:ind w:firstLine="482"/>
            </w:pPr>
            <w:r>
              <w:t>2、地表水环境质量</w:t>
            </w:r>
          </w:p>
          <w:p w14:paraId="2E9A166C">
            <w:pPr>
              <w:adjustRightInd w:val="0"/>
              <w:snapToGrid w:val="0"/>
              <w:spacing w:line="360" w:lineRule="auto"/>
              <w:ind w:firstLine="480" w:firstLineChars="200"/>
              <w:rPr>
                <w:sz w:val="24"/>
              </w:rPr>
            </w:pPr>
            <w:r>
              <w:rPr>
                <w:rFonts w:hint="default" w:ascii="Times New Roman" w:hAnsi="Times New Roman" w:eastAsia="新宋体" w:cs="Times New Roman"/>
                <w:kern w:val="0"/>
                <w:sz w:val="24"/>
              </w:rPr>
              <w:t>本项目附近地表水为</w:t>
            </w:r>
            <w:r>
              <w:rPr>
                <w:rFonts w:hint="eastAsia" w:eastAsia="新宋体" w:cs="Times New Roman"/>
                <w:kern w:val="0"/>
                <w:sz w:val="24"/>
                <w:lang w:val="en-US" w:eastAsia="zh-CN"/>
              </w:rPr>
              <w:t>孔雀河</w:t>
            </w:r>
            <w:r>
              <w:rPr>
                <w:rFonts w:hint="default" w:ascii="Times New Roman" w:hAnsi="Times New Roman" w:eastAsia="新宋体" w:cs="Times New Roman"/>
                <w:kern w:val="0"/>
                <w:sz w:val="24"/>
              </w:rPr>
              <w:t>，</w:t>
            </w:r>
            <w:r>
              <w:rPr>
                <w:sz w:val="24"/>
              </w:rPr>
              <w:t>根据《2023年巴音郭楞蒙古自治州生态环境状况公报》可知：</w:t>
            </w:r>
          </w:p>
          <w:p w14:paraId="53FA2105">
            <w:pPr>
              <w:pStyle w:val="105"/>
              <w:ind w:firstLine="480"/>
            </w:pPr>
            <w:r>
              <w:rPr>
                <w:sz w:val="24"/>
              </w:rPr>
              <w:t>2023年孔雀河、开都河、黄水沟、迪那河、塔里木河、车尔臣河6条主要河流的19个监测断面中Ⅰ-Ⅲ类优良水质断面占100%，与2022年相比无变化。主要水质影响因子为高锰酸盐、氟化物。</w:t>
            </w:r>
            <w:r>
              <w:rPr>
                <w:rFonts w:hint="default" w:ascii="Times New Roman" w:hAnsi="Times New Roman" w:eastAsia="新宋体" w:cs="Times New Roman"/>
                <w:bCs/>
                <w:sz w:val="24"/>
                <w:lang w:val="en-US" w:eastAsia="zh-CN"/>
              </w:rPr>
              <w:t>孔雀河水体</w:t>
            </w:r>
            <w:r>
              <w:rPr>
                <w:rFonts w:hint="default" w:ascii="Times New Roman" w:hAnsi="Times New Roman" w:eastAsia="新宋体" w:cs="Times New Roman"/>
                <w:bCs/>
                <w:kern w:val="0"/>
                <w:sz w:val="24"/>
              </w:rPr>
              <w:t>质量满足《地表水环境质量标准》（GB3838-2002</w:t>
            </w:r>
            <w:r>
              <w:rPr>
                <w:rFonts w:hint="eastAsia" w:eastAsia="新宋体" w:cs="Times New Roman"/>
                <w:bCs/>
                <w:kern w:val="0"/>
                <w:sz w:val="24"/>
                <w:lang w:eastAsia="zh-CN"/>
              </w:rPr>
              <w:t>）Ⅱ类</w:t>
            </w:r>
            <w:r>
              <w:rPr>
                <w:rFonts w:hint="default" w:ascii="Times New Roman" w:hAnsi="Times New Roman" w:eastAsia="新宋体" w:cs="Times New Roman"/>
                <w:bCs/>
                <w:kern w:val="0"/>
                <w:sz w:val="24"/>
              </w:rPr>
              <w:t>标准要求。</w:t>
            </w:r>
            <w:r>
              <w:rPr>
                <w:rFonts w:hint="eastAsia" w:eastAsia="新宋体" w:cs="Times New Roman"/>
                <w:bCs/>
                <w:kern w:val="0"/>
                <w:sz w:val="24"/>
                <w:lang w:val="en-US" w:eastAsia="zh-CN"/>
              </w:rPr>
              <w:t>项目区生产废水和生活污水经配套污水处理设施处理后排入下水管网，最终进入库尔勒金城洁净排水有限责任公司污水处理厂处理，</w:t>
            </w:r>
            <w:r>
              <w:rPr>
                <w:rFonts w:hint="default" w:ascii="Times New Roman" w:hAnsi="Times New Roman" w:eastAsia="新宋体" w:cs="Times New Roman"/>
                <w:bCs/>
                <w:kern w:val="0"/>
                <w:sz w:val="24"/>
                <w:lang w:val="en-US" w:eastAsia="zh-CN"/>
              </w:rPr>
              <w:t>与地表水无水力联系。</w:t>
            </w:r>
          </w:p>
          <w:p w14:paraId="206833D4">
            <w:pPr>
              <w:pStyle w:val="5"/>
              <w:ind w:firstLine="482"/>
            </w:pPr>
            <w:r>
              <w:t>3、声环境质量现状</w:t>
            </w:r>
          </w:p>
          <w:p w14:paraId="2AFBDD44">
            <w:pPr>
              <w:pStyle w:val="105"/>
              <w:ind w:firstLine="480"/>
              <w:rPr>
                <w:color w:val="auto"/>
              </w:rPr>
            </w:pPr>
            <w:r>
              <w:t>根据《建设项目环境影响报告表编制技术指南》（污染影响类</w:t>
            </w:r>
            <w:r>
              <w:rPr>
                <w:rFonts w:hint="eastAsia"/>
                <w:lang w:eastAsia="zh-CN"/>
              </w:rPr>
              <w:t>）</w:t>
            </w:r>
            <w:r>
              <w:t>（试行</w:t>
            </w:r>
            <w:r>
              <w:rPr>
                <w:rFonts w:hint="eastAsia"/>
                <w:lang w:eastAsia="zh-CN"/>
              </w:rPr>
              <w:t>）“</w:t>
            </w:r>
            <w:r>
              <w:rPr>
                <w:szCs w:val="22"/>
              </w:rPr>
              <w:t>厂界外周边50米范围内存在声环境保护目标的建设项目，应监测保护</w:t>
            </w:r>
            <w:r>
              <w:t>目标声环境质量现状</w:t>
            </w:r>
            <w:r>
              <w:rPr>
                <w:color w:val="auto"/>
              </w:rPr>
              <w:t>并评价达标情况</w:t>
            </w:r>
            <w:r>
              <w:rPr>
                <w:rFonts w:hint="eastAsia"/>
                <w:color w:val="auto"/>
                <w:lang w:eastAsia="zh-CN"/>
              </w:rPr>
              <w:t>”</w:t>
            </w:r>
            <w:r>
              <w:rPr>
                <w:color w:val="auto"/>
              </w:rPr>
              <w:t>。本项目厂界周边50m范围内无声环境保护目标，故不进行声环境质量现状监测。</w:t>
            </w:r>
          </w:p>
          <w:p w14:paraId="661D3DE1">
            <w:pPr>
              <w:pStyle w:val="105"/>
              <w:ind w:firstLine="482"/>
              <w:rPr>
                <w:rFonts w:hint="default" w:eastAsia="宋体"/>
                <w:b/>
                <w:bCs/>
                <w:color w:val="auto"/>
                <w:szCs w:val="32"/>
                <w:lang w:val="en-US" w:eastAsia="zh-CN"/>
              </w:rPr>
            </w:pPr>
            <w:r>
              <w:rPr>
                <w:b/>
                <w:bCs/>
                <w:color w:val="auto"/>
                <w:szCs w:val="32"/>
              </w:rPr>
              <w:t>4、地下水</w:t>
            </w:r>
            <w:r>
              <w:rPr>
                <w:rFonts w:hint="eastAsia"/>
                <w:b/>
                <w:bCs/>
                <w:color w:val="auto"/>
                <w:szCs w:val="32"/>
                <w:lang w:val="en-US" w:eastAsia="zh-CN"/>
              </w:rPr>
              <w:t>和土壤环境质量</w:t>
            </w:r>
            <w:r>
              <w:rPr>
                <w:b/>
                <w:bCs/>
                <w:color w:val="auto"/>
                <w:szCs w:val="32"/>
              </w:rPr>
              <w:t>现状</w:t>
            </w:r>
          </w:p>
          <w:p w14:paraId="18C6D508">
            <w:pPr>
              <w:keepNext w:val="0"/>
              <w:keepLines w:val="0"/>
              <w:suppressLineNumbers w:val="0"/>
              <w:spacing w:before="0" w:beforeAutospacing="0" w:after="0" w:afterAutospacing="0" w:line="360" w:lineRule="auto"/>
              <w:ind w:left="0" w:right="0" w:firstLine="480" w:firstLineChars="200"/>
              <w:rPr>
                <w:rFonts w:hint="eastAsia" w:ascii="宋体" w:hAnsi="宋体" w:cs="宋体"/>
                <w:color w:val="auto"/>
                <w:sz w:val="24"/>
              </w:rPr>
            </w:pPr>
            <w:r>
              <w:rPr>
                <w:rFonts w:hint="eastAsia" w:ascii="宋体" w:hAnsi="宋体" w:cs="宋体"/>
                <w:color w:val="auto"/>
                <w:sz w:val="24"/>
              </w:rPr>
              <w:t>根据</w:t>
            </w:r>
            <w:r>
              <w:rPr>
                <w:color w:val="auto"/>
                <w:sz w:val="24"/>
              </w:rPr>
              <w:t>《环境影响评价技术导则地下水环境》（HJ610-2016</w:t>
            </w:r>
            <w:r>
              <w:rPr>
                <w:rFonts w:hint="eastAsia"/>
                <w:color w:val="auto"/>
                <w:sz w:val="24"/>
                <w:lang w:eastAsia="zh-CN"/>
              </w:rPr>
              <w:t>）</w:t>
            </w:r>
            <w:r>
              <w:rPr>
                <w:rFonts w:hint="eastAsia" w:ascii="宋体" w:hAnsi="宋体" w:cs="宋体"/>
                <w:color w:val="auto"/>
                <w:sz w:val="24"/>
              </w:rPr>
              <w:t>附录A《地下水环境影响评价行业分类表》本项目行业类别为：N 轻工，99肉禽类加工和10</w:t>
            </w:r>
            <w:r>
              <w:rPr>
                <w:rFonts w:hint="eastAsia" w:ascii="宋体" w:hAnsi="宋体" w:cs="宋体"/>
                <w:color w:val="auto"/>
                <w:sz w:val="24"/>
                <w:lang w:val="en-US" w:eastAsia="zh-CN"/>
              </w:rPr>
              <w:t>3乳</w:t>
            </w:r>
            <w:r>
              <w:rPr>
                <w:rFonts w:hint="eastAsia" w:ascii="宋体" w:hAnsi="宋体" w:cs="宋体"/>
                <w:color w:val="auto"/>
                <w:sz w:val="24"/>
              </w:rPr>
              <w:t>制品制造。地下水环境影响评价项目类别为Ⅳ类。</w:t>
            </w:r>
          </w:p>
          <w:p w14:paraId="66C60E65">
            <w:pPr>
              <w:pStyle w:val="105"/>
              <w:ind w:firstLine="480"/>
              <w:rPr>
                <w:color w:val="auto"/>
              </w:rPr>
            </w:pPr>
            <w:r>
              <w:rPr>
                <w:rFonts w:hint="eastAsia" w:ascii="宋体" w:hAnsi="宋体" w:cs="宋体"/>
                <w:color w:val="auto"/>
                <w:sz w:val="24"/>
              </w:rPr>
              <w:t>根据《环境影响评价技术导则地下水环境》（HJ610-2016</w:t>
            </w:r>
            <w:r>
              <w:rPr>
                <w:rFonts w:hint="eastAsia" w:ascii="宋体" w:hAnsi="宋体" w:cs="宋体"/>
                <w:color w:val="auto"/>
                <w:sz w:val="24"/>
                <w:lang w:eastAsia="zh-CN"/>
              </w:rPr>
              <w:t>）</w:t>
            </w:r>
            <w:r>
              <w:rPr>
                <w:rFonts w:hint="eastAsia" w:ascii="宋体" w:hAnsi="宋体" w:cs="宋体"/>
                <w:color w:val="auto"/>
                <w:sz w:val="24"/>
              </w:rPr>
              <w:t>4.1一般性原则</w:t>
            </w:r>
            <w:r>
              <w:rPr>
                <w:rFonts w:hint="eastAsia" w:ascii="宋体" w:hAnsi="宋体" w:cs="宋体"/>
                <w:color w:val="auto"/>
                <w:sz w:val="24"/>
                <w:lang w:eastAsia="zh-CN"/>
              </w:rPr>
              <w:t>“</w:t>
            </w:r>
            <w:r>
              <w:rPr>
                <w:rFonts w:hint="eastAsia" w:ascii="宋体" w:hAnsi="宋体" w:cs="宋体"/>
                <w:color w:val="auto"/>
                <w:sz w:val="24"/>
              </w:rPr>
              <w:t>Ⅳ类建设项目不开展地下水环境影响评价</w:t>
            </w:r>
            <w:r>
              <w:rPr>
                <w:rFonts w:hint="eastAsia" w:ascii="宋体" w:hAnsi="宋体" w:cs="宋体"/>
                <w:color w:val="auto"/>
                <w:sz w:val="24"/>
                <w:lang w:eastAsia="zh-CN"/>
              </w:rPr>
              <w:t>”</w:t>
            </w:r>
            <w:r>
              <w:rPr>
                <w:rFonts w:hint="eastAsia" w:ascii="宋体" w:hAnsi="宋体" w:cs="宋体"/>
                <w:color w:val="auto"/>
                <w:sz w:val="24"/>
              </w:rPr>
              <w:t>，故本项目不对地下水进行环境影响评价。</w:t>
            </w:r>
          </w:p>
          <w:p w14:paraId="452D32ED">
            <w:pPr>
              <w:pStyle w:val="105"/>
              <w:ind w:firstLine="480"/>
              <w:rPr>
                <w:rFonts w:hint="eastAsia"/>
                <w:color w:val="auto"/>
                <w:lang w:eastAsia="zh-CN"/>
              </w:rPr>
            </w:pPr>
            <w:r>
              <w:rPr>
                <w:color w:val="auto"/>
              </w:rPr>
              <w:t>本项目根据《环境影响评价技术导则·土壤环境（试行</w:t>
            </w:r>
            <w:r>
              <w:rPr>
                <w:rFonts w:hint="eastAsia"/>
                <w:color w:val="auto"/>
                <w:lang w:eastAsia="zh-CN"/>
              </w:rPr>
              <w:t>）</w:t>
            </w:r>
            <w:r>
              <w:rPr>
                <w:color w:val="auto"/>
              </w:rPr>
              <w:t>》（HJ964—2018</w:t>
            </w:r>
            <w:r>
              <w:rPr>
                <w:rFonts w:hint="eastAsia"/>
                <w:color w:val="auto"/>
                <w:lang w:eastAsia="zh-CN"/>
              </w:rPr>
              <w:t>）</w:t>
            </w:r>
            <w:r>
              <w:rPr>
                <w:color w:val="auto"/>
              </w:rPr>
              <w:t>附录A表A.1土壤环境影响评价项目类别，本项目属于</w:t>
            </w:r>
            <w:r>
              <w:rPr>
                <w:rFonts w:hint="eastAsia"/>
                <w:color w:val="auto"/>
                <w:lang w:val="en-US" w:eastAsia="zh-CN"/>
              </w:rPr>
              <w:t>其他行业</w:t>
            </w:r>
            <w:r>
              <w:rPr>
                <w:color w:val="auto"/>
              </w:rPr>
              <w:t>，</w:t>
            </w:r>
            <w:r>
              <w:rPr>
                <w:rFonts w:hint="eastAsia"/>
                <w:color w:val="auto"/>
                <w:lang w:val="en-US" w:eastAsia="zh-CN"/>
              </w:rPr>
              <w:t>全部</w:t>
            </w:r>
            <w:r>
              <w:rPr>
                <w:color w:val="auto"/>
              </w:rPr>
              <w:t>是</w:t>
            </w:r>
            <w:r>
              <w:rPr>
                <w:rFonts w:hint="eastAsia" w:ascii="宋体" w:hAnsi="宋体" w:cs="宋体"/>
                <w:color w:val="auto"/>
                <w:sz w:val="24"/>
              </w:rPr>
              <w:t>Ⅳ</w:t>
            </w:r>
            <w:r>
              <w:rPr>
                <w:color w:val="auto"/>
              </w:rPr>
              <w:t>类项目</w:t>
            </w:r>
            <w:r>
              <w:rPr>
                <w:rFonts w:hint="eastAsia"/>
                <w:color w:val="auto"/>
                <w:lang w:eastAsia="zh-CN"/>
              </w:rPr>
              <w:t>。</w:t>
            </w:r>
          </w:p>
          <w:p w14:paraId="4DA0CCF9">
            <w:pPr>
              <w:pStyle w:val="105"/>
              <w:ind w:firstLine="480"/>
              <w:rPr>
                <w:color w:val="auto"/>
              </w:rPr>
            </w:pPr>
            <w:r>
              <w:rPr>
                <w:rFonts w:hint="eastAsia" w:ascii="宋体" w:hAnsi="宋体" w:cs="宋体"/>
                <w:color w:val="auto"/>
                <w:sz w:val="24"/>
              </w:rPr>
              <w:t>根据《环境影响评价技术导则·土壤环境（试行</w:t>
            </w:r>
            <w:r>
              <w:rPr>
                <w:rFonts w:hint="eastAsia" w:ascii="宋体" w:hAnsi="宋体" w:cs="宋体"/>
                <w:color w:val="auto"/>
                <w:sz w:val="24"/>
                <w:lang w:eastAsia="zh-CN"/>
              </w:rPr>
              <w:t>）</w:t>
            </w:r>
            <w:r>
              <w:rPr>
                <w:rFonts w:hint="eastAsia" w:ascii="宋体" w:hAnsi="宋体" w:cs="宋体"/>
                <w:color w:val="auto"/>
                <w:sz w:val="24"/>
              </w:rPr>
              <w:t>》（HJ964—2018</w:t>
            </w:r>
            <w:r>
              <w:rPr>
                <w:rFonts w:hint="eastAsia" w:ascii="宋体" w:hAnsi="宋体" w:cs="宋体"/>
                <w:color w:val="auto"/>
                <w:sz w:val="24"/>
                <w:lang w:eastAsia="zh-CN"/>
              </w:rPr>
              <w:t>）</w:t>
            </w:r>
            <w:r>
              <w:rPr>
                <w:rFonts w:hint="eastAsia" w:ascii="宋体" w:hAnsi="宋体" w:cs="宋体"/>
                <w:color w:val="auto"/>
                <w:sz w:val="24"/>
              </w:rPr>
              <w:t>4.1一般性原则</w:t>
            </w:r>
            <w:r>
              <w:rPr>
                <w:rFonts w:hint="eastAsia" w:ascii="宋体" w:hAnsi="宋体" w:cs="宋体"/>
                <w:color w:val="auto"/>
                <w:sz w:val="24"/>
                <w:lang w:eastAsia="zh-CN"/>
              </w:rPr>
              <w:t>“</w:t>
            </w:r>
            <w:r>
              <w:rPr>
                <w:rFonts w:hint="eastAsia" w:ascii="宋体" w:hAnsi="宋体" w:cs="宋体"/>
                <w:color w:val="auto"/>
                <w:sz w:val="24"/>
              </w:rPr>
              <w:t>Ⅳ类建设项目不开展</w:t>
            </w:r>
            <w:r>
              <w:rPr>
                <w:rFonts w:hint="eastAsia" w:ascii="宋体" w:hAnsi="宋体" w:cs="宋体"/>
                <w:color w:val="auto"/>
                <w:sz w:val="24"/>
                <w:lang w:val="en-US" w:eastAsia="zh-CN"/>
              </w:rPr>
              <w:t>土壤</w:t>
            </w:r>
            <w:r>
              <w:rPr>
                <w:rFonts w:hint="eastAsia" w:ascii="宋体" w:hAnsi="宋体" w:cs="宋体"/>
                <w:color w:val="auto"/>
                <w:sz w:val="24"/>
              </w:rPr>
              <w:t>环境影响评价</w:t>
            </w:r>
            <w:r>
              <w:rPr>
                <w:rFonts w:hint="eastAsia" w:ascii="宋体" w:hAnsi="宋体" w:cs="宋体"/>
                <w:color w:val="auto"/>
                <w:sz w:val="24"/>
                <w:lang w:eastAsia="zh-CN"/>
              </w:rPr>
              <w:t>”</w:t>
            </w:r>
            <w:r>
              <w:rPr>
                <w:rFonts w:hint="eastAsia" w:ascii="宋体" w:hAnsi="宋体" w:cs="宋体"/>
                <w:color w:val="auto"/>
                <w:sz w:val="24"/>
              </w:rPr>
              <w:t>，故本项目不对</w:t>
            </w:r>
            <w:r>
              <w:rPr>
                <w:rFonts w:hint="eastAsia" w:ascii="宋体" w:hAnsi="宋体" w:cs="宋体"/>
                <w:color w:val="auto"/>
                <w:sz w:val="24"/>
                <w:lang w:val="en-US" w:eastAsia="zh-CN"/>
              </w:rPr>
              <w:t>土壤</w:t>
            </w:r>
            <w:r>
              <w:rPr>
                <w:rFonts w:hint="eastAsia" w:ascii="宋体" w:hAnsi="宋体" w:cs="宋体"/>
                <w:color w:val="auto"/>
                <w:sz w:val="24"/>
              </w:rPr>
              <w:t>进行环境影响评价。</w:t>
            </w:r>
          </w:p>
          <w:p w14:paraId="00CFC80C">
            <w:pPr>
              <w:spacing w:before="37" w:line="219" w:lineRule="auto"/>
              <w:ind w:left="588"/>
              <w:rPr>
                <w:rFonts w:ascii="宋体" w:hAnsi="宋体" w:eastAsia="宋体" w:cs="宋体"/>
                <w:color w:val="auto"/>
                <w:sz w:val="24"/>
                <w:szCs w:val="24"/>
              </w:rPr>
            </w:pPr>
            <w:r>
              <w:rPr>
                <w:rFonts w:ascii="Times New Roman" w:hAnsi="Times New Roman" w:eastAsia="Times New Roman" w:cs="Times New Roman"/>
                <w:b/>
                <w:bCs/>
                <w:color w:val="auto"/>
                <w:spacing w:val="-6"/>
                <w:sz w:val="24"/>
                <w:szCs w:val="24"/>
              </w:rPr>
              <w:t>5</w:t>
            </w:r>
            <w:r>
              <w:rPr>
                <w:rFonts w:ascii="Times New Roman" w:hAnsi="Times New Roman" w:eastAsia="Times New Roman" w:cs="Times New Roman"/>
                <w:b/>
                <w:bCs/>
                <w:color w:val="auto"/>
                <w:spacing w:val="-28"/>
                <w:sz w:val="24"/>
                <w:szCs w:val="24"/>
              </w:rPr>
              <w:t xml:space="preserve"> </w:t>
            </w:r>
            <w:r>
              <w:rPr>
                <w:rFonts w:ascii="宋体" w:hAnsi="宋体" w:eastAsia="宋体" w:cs="宋体"/>
                <w:b/>
                <w:bCs/>
                <w:color w:val="auto"/>
                <w:spacing w:val="-6"/>
                <w:sz w:val="24"/>
                <w:szCs w:val="24"/>
              </w:rPr>
              <w:t>、生态环境质量现状</w:t>
            </w:r>
          </w:p>
          <w:p w14:paraId="02921796">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color w:val="1F497D" w:themeColor="text2"/>
                <w14:textFill>
                  <w14:solidFill>
                    <w14:schemeClr w14:val="tx2"/>
                  </w14:solidFill>
                </w14:textFill>
              </w:rPr>
            </w:pPr>
            <w:r>
              <w:rPr>
                <w:sz w:val="24"/>
                <w:szCs w:val="24"/>
                <w:lang w:val="en-US" w:eastAsia="zh-CN"/>
              </w:rPr>
              <w:t>本项目位于新疆维吾尔自治区巴音郭楞蒙古自治州和硕县经济开发区多式联运物流园，占地范围内没有生态环境保护目标。根据《建设项目环境影响 报告表编制技术指南（污染影响类</w:t>
            </w:r>
            <w:r>
              <w:rPr>
                <w:rFonts w:hint="eastAsia"/>
                <w:sz w:val="24"/>
                <w:szCs w:val="24"/>
                <w:lang w:val="en-US" w:eastAsia="zh-CN"/>
              </w:rPr>
              <w:t>）</w:t>
            </w:r>
            <w:r>
              <w:rPr>
                <w:sz w:val="24"/>
                <w:szCs w:val="24"/>
                <w:lang w:val="en-US" w:eastAsia="zh-CN"/>
              </w:rPr>
              <w:t>（试行</w:t>
            </w:r>
            <w:r>
              <w:rPr>
                <w:rFonts w:hint="eastAsia"/>
                <w:sz w:val="24"/>
                <w:szCs w:val="24"/>
                <w:lang w:val="en-US" w:eastAsia="zh-CN"/>
              </w:rPr>
              <w:t>）</w:t>
            </w:r>
            <w:r>
              <w:rPr>
                <w:sz w:val="24"/>
                <w:szCs w:val="24"/>
                <w:lang w:val="en-US" w:eastAsia="zh-CN"/>
              </w:rPr>
              <w:t>》，不进行生态现状调查。</w:t>
            </w:r>
          </w:p>
        </w:tc>
      </w:tr>
      <w:tr w14:paraId="0BA10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836" w:type="dxa"/>
            <w:vAlign w:val="center"/>
          </w:tcPr>
          <w:p w14:paraId="657BBE53">
            <w:pPr>
              <w:adjustRightInd w:val="0"/>
              <w:snapToGrid w:val="0"/>
              <w:jc w:val="center"/>
              <w:rPr>
                <w:b/>
                <w:bCs/>
                <w:kern w:val="0"/>
                <w:sz w:val="28"/>
                <w:szCs w:val="28"/>
              </w:rPr>
            </w:pPr>
            <w:r>
              <w:rPr>
                <w:b/>
                <w:bCs/>
                <w:kern w:val="0"/>
                <w:sz w:val="28"/>
                <w:szCs w:val="28"/>
              </w:rPr>
              <w:t>环境</w:t>
            </w:r>
          </w:p>
          <w:p w14:paraId="370D0733">
            <w:pPr>
              <w:adjustRightInd w:val="0"/>
              <w:snapToGrid w:val="0"/>
              <w:jc w:val="center"/>
              <w:rPr>
                <w:b/>
                <w:bCs/>
                <w:kern w:val="0"/>
                <w:sz w:val="28"/>
                <w:szCs w:val="28"/>
              </w:rPr>
            </w:pPr>
            <w:r>
              <w:rPr>
                <w:b/>
                <w:bCs/>
                <w:kern w:val="0"/>
                <w:sz w:val="28"/>
                <w:szCs w:val="28"/>
              </w:rPr>
              <w:t>保护</w:t>
            </w:r>
          </w:p>
          <w:p w14:paraId="60C59D53">
            <w:pPr>
              <w:adjustRightInd w:val="0"/>
              <w:snapToGrid w:val="0"/>
              <w:jc w:val="center"/>
              <w:rPr>
                <w:kern w:val="0"/>
                <w:szCs w:val="21"/>
              </w:rPr>
            </w:pPr>
            <w:r>
              <w:rPr>
                <w:b/>
                <w:bCs/>
                <w:kern w:val="0"/>
                <w:sz w:val="28"/>
                <w:szCs w:val="28"/>
              </w:rPr>
              <w:t>目标</w:t>
            </w:r>
          </w:p>
        </w:tc>
        <w:tc>
          <w:tcPr>
            <w:tcW w:w="8154" w:type="dxa"/>
            <w:vAlign w:val="center"/>
          </w:tcPr>
          <w:p w14:paraId="385110EC">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eastAsia"/>
                <w:lang w:val="en-US" w:eastAsia="zh-CN"/>
              </w:rPr>
            </w:pPr>
            <w:r>
              <w:rPr>
                <w:rFonts w:hint="eastAsia"/>
                <w:lang w:val="en-US" w:eastAsia="zh-CN"/>
              </w:rPr>
              <w:t>1.大气环境保护目标</w:t>
            </w:r>
          </w:p>
          <w:p w14:paraId="5B6DF893">
            <w:pPr>
              <w:pStyle w:val="8"/>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经现场调查，本项目 500 米范围内存在农村地区，主要环境保护目标和</w:t>
            </w:r>
          </w:p>
          <w:p w14:paraId="7DC8274F">
            <w:pPr>
              <w:pStyle w:val="8"/>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其保护级别见表 3-3。 </w:t>
            </w:r>
          </w:p>
          <w:p w14:paraId="46BCCD3B">
            <w:pPr>
              <w:pStyle w:val="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cs="Times New Roman"/>
                <w:b/>
                <w:bCs w:val="0"/>
                <w:sz w:val="24"/>
                <w:lang w:val="en-US" w:eastAsia="zh-CN"/>
              </w:rPr>
            </w:pPr>
            <w:r>
              <w:rPr>
                <w:rFonts w:hint="eastAsia" w:cs="Times New Roman"/>
                <w:b/>
                <w:bCs w:val="0"/>
                <w:sz w:val="24"/>
                <w:lang w:val="en-US" w:eastAsia="zh-CN"/>
              </w:rPr>
              <w:t>表3-3  项目涉及大气环境保护目标一览表</w:t>
            </w:r>
          </w:p>
          <w:tbl>
            <w:tblPr>
              <w:tblStyle w:val="30"/>
              <w:tblW w:w="789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633"/>
              <w:gridCol w:w="1128"/>
              <w:gridCol w:w="1128"/>
              <w:gridCol w:w="1128"/>
              <w:gridCol w:w="1128"/>
              <w:gridCol w:w="1128"/>
            </w:tblGrid>
            <w:tr w14:paraId="06495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23" w:type="dxa"/>
                  <w:tcBorders>
                    <w:tl2br w:val="nil"/>
                    <w:tr2bl w:val="nil"/>
                  </w:tcBorders>
                  <w:vAlign w:val="center"/>
                </w:tcPr>
                <w:p w14:paraId="0DF15AA4">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名称</w:t>
                  </w:r>
                </w:p>
              </w:tc>
              <w:tc>
                <w:tcPr>
                  <w:tcW w:w="1633" w:type="dxa"/>
                  <w:tcBorders>
                    <w:tl2br w:val="nil"/>
                    <w:tr2bl w:val="nil"/>
                  </w:tcBorders>
                  <w:vAlign w:val="center"/>
                </w:tcPr>
                <w:p w14:paraId="5AE13606">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坐标</w:t>
                  </w:r>
                </w:p>
              </w:tc>
              <w:tc>
                <w:tcPr>
                  <w:tcW w:w="1128" w:type="dxa"/>
                  <w:tcBorders>
                    <w:tl2br w:val="nil"/>
                    <w:tr2bl w:val="nil"/>
                  </w:tcBorders>
                  <w:vAlign w:val="center"/>
                </w:tcPr>
                <w:p w14:paraId="57D61C2C">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保护对象</w:t>
                  </w:r>
                </w:p>
              </w:tc>
              <w:tc>
                <w:tcPr>
                  <w:tcW w:w="1128" w:type="dxa"/>
                  <w:tcBorders>
                    <w:tl2br w:val="nil"/>
                    <w:tr2bl w:val="nil"/>
                  </w:tcBorders>
                  <w:vAlign w:val="center"/>
                </w:tcPr>
                <w:p w14:paraId="13B55259">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保护人数</w:t>
                  </w:r>
                </w:p>
              </w:tc>
              <w:tc>
                <w:tcPr>
                  <w:tcW w:w="1128" w:type="dxa"/>
                  <w:tcBorders>
                    <w:tl2br w:val="nil"/>
                    <w:tr2bl w:val="nil"/>
                  </w:tcBorders>
                  <w:vAlign w:val="center"/>
                </w:tcPr>
                <w:p w14:paraId="0B298430">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环境功能区</w:t>
                  </w:r>
                </w:p>
              </w:tc>
              <w:tc>
                <w:tcPr>
                  <w:tcW w:w="1128" w:type="dxa"/>
                  <w:tcBorders>
                    <w:tl2br w:val="nil"/>
                    <w:tr2bl w:val="nil"/>
                  </w:tcBorders>
                  <w:vAlign w:val="center"/>
                </w:tcPr>
                <w:p w14:paraId="17FBEB40">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相对厂址方位</w:t>
                  </w:r>
                </w:p>
              </w:tc>
              <w:tc>
                <w:tcPr>
                  <w:tcW w:w="1128" w:type="dxa"/>
                  <w:tcBorders>
                    <w:tl2br w:val="nil"/>
                    <w:tr2bl w:val="nil"/>
                  </w:tcBorders>
                  <w:vAlign w:val="center"/>
                </w:tcPr>
                <w:p w14:paraId="626B806E">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相对厂界距离</w:t>
                  </w:r>
                </w:p>
              </w:tc>
            </w:tr>
            <w:tr w14:paraId="72BDE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23" w:type="dxa"/>
                  <w:vMerge w:val="restart"/>
                  <w:tcBorders>
                    <w:tl2br w:val="nil"/>
                    <w:tr2bl w:val="nil"/>
                  </w:tcBorders>
                  <w:vAlign w:val="center"/>
                </w:tcPr>
                <w:p w14:paraId="0F697AAA">
                  <w:pPr>
                    <w:keepNext w:val="0"/>
                    <w:keepLines w:val="0"/>
                    <w:pageBreakBefore w:val="0"/>
                    <w:widowControl w:val="0"/>
                    <w:kinsoku/>
                    <w:wordWrap/>
                    <w:overflowPunct/>
                    <w:topLinePunct w:val="0"/>
                    <w:autoSpaceDE/>
                    <w:autoSpaceDN/>
                    <w:bidi w:val="0"/>
                    <w:adjustRightInd/>
                    <w:snapToGrid/>
                    <w:ind w:left="-63" w:leftChars="-30" w:right="-63" w:rightChars="-30"/>
                    <w:jc w:val="both"/>
                    <w:textAlignment w:val="auto"/>
                    <w:rPr>
                      <w:rFonts w:hint="default" w:ascii="Times New Roman" w:hAnsi="Times New Roman" w:eastAsia="宋体" w:cs="Times New Roman"/>
                      <w:sz w:val="21"/>
                      <w:szCs w:val="21"/>
                      <w:vertAlign w:val="baseline"/>
                      <w:lang w:val="en-US" w:eastAsia="zh-CN"/>
                    </w:rPr>
                  </w:pPr>
                </w:p>
                <w:p w14:paraId="4E8BB2E8">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大气环境</w:t>
                  </w:r>
                </w:p>
              </w:tc>
              <w:tc>
                <w:tcPr>
                  <w:tcW w:w="1633" w:type="dxa"/>
                  <w:tcBorders>
                    <w:tl2br w:val="nil"/>
                    <w:tr2bl w:val="nil"/>
                  </w:tcBorders>
                  <w:vAlign w:val="center"/>
                </w:tcPr>
                <w:p w14:paraId="333D5902">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E</w:t>
                  </w:r>
                  <w:r>
                    <w:rPr>
                      <w:rFonts w:hint="default" w:ascii="Times New Roman" w:hAnsi="Times New Roman" w:eastAsia="宋体" w:cs="Times New Roman"/>
                      <w:sz w:val="21"/>
                      <w:szCs w:val="21"/>
                      <w:vertAlign w:val="baseline"/>
                      <w:lang w:eastAsia="zh-CN"/>
                    </w:rPr>
                    <w:t>86.05011463,</w:t>
                  </w:r>
                </w:p>
                <w:p w14:paraId="5A8A939A">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N</w:t>
                  </w:r>
                  <w:r>
                    <w:rPr>
                      <w:rFonts w:hint="default" w:ascii="Times New Roman" w:hAnsi="Times New Roman" w:eastAsia="宋体" w:cs="Times New Roman"/>
                      <w:sz w:val="21"/>
                      <w:szCs w:val="21"/>
                      <w:vertAlign w:val="baseline"/>
                      <w:lang w:eastAsia="zh-CN"/>
                    </w:rPr>
                    <w:t>41.76126080</w:t>
                  </w:r>
                </w:p>
              </w:tc>
              <w:tc>
                <w:tcPr>
                  <w:tcW w:w="1128" w:type="dxa"/>
                  <w:tcBorders>
                    <w:tl2br w:val="nil"/>
                    <w:tr2bl w:val="nil"/>
                  </w:tcBorders>
                  <w:vAlign w:val="center"/>
                </w:tcPr>
                <w:p w14:paraId="314B6D15">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新村</w:t>
                  </w:r>
                </w:p>
              </w:tc>
              <w:tc>
                <w:tcPr>
                  <w:tcW w:w="1128" w:type="dxa"/>
                  <w:tcBorders>
                    <w:tl2br w:val="nil"/>
                    <w:tr2bl w:val="nil"/>
                  </w:tcBorders>
                  <w:vAlign w:val="center"/>
                </w:tcPr>
                <w:p w14:paraId="77E03F7C">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876</w:t>
                  </w:r>
                </w:p>
              </w:tc>
              <w:tc>
                <w:tcPr>
                  <w:tcW w:w="1128" w:type="dxa"/>
                  <w:vMerge w:val="restart"/>
                  <w:tcBorders>
                    <w:tl2br w:val="nil"/>
                    <w:tr2bl w:val="nil"/>
                  </w:tcBorders>
                  <w:vAlign w:val="center"/>
                </w:tcPr>
                <w:p w14:paraId="079EEA8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《环境空气质量标</w:t>
                  </w:r>
                </w:p>
                <w:p w14:paraId="7863310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准》（GB3095-2012</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二类功能区</w:t>
                  </w:r>
                </w:p>
                <w:p w14:paraId="7A73880B">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128" w:type="dxa"/>
                  <w:tcBorders>
                    <w:tl2br w:val="nil"/>
                    <w:tr2bl w:val="nil"/>
                  </w:tcBorders>
                  <w:vAlign w:val="center"/>
                </w:tcPr>
                <w:p w14:paraId="328DE4DA">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东北</w:t>
                  </w:r>
                </w:p>
              </w:tc>
              <w:tc>
                <w:tcPr>
                  <w:tcW w:w="1128" w:type="dxa"/>
                  <w:tcBorders>
                    <w:tl2br w:val="nil"/>
                    <w:tr2bl w:val="nil"/>
                  </w:tcBorders>
                  <w:vAlign w:val="center"/>
                </w:tcPr>
                <w:p w14:paraId="26216301">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143m</w:t>
                  </w:r>
                </w:p>
              </w:tc>
            </w:tr>
            <w:tr w14:paraId="32FD2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23" w:type="dxa"/>
                  <w:vMerge w:val="continue"/>
                  <w:tcBorders>
                    <w:tl2br w:val="nil"/>
                    <w:tr2bl w:val="nil"/>
                  </w:tcBorders>
                  <w:vAlign w:val="center"/>
                </w:tcPr>
                <w:p w14:paraId="1D178E5A">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633" w:type="dxa"/>
                  <w:tcBorders>
                    <w:tl2br w:val="nil"/>
                    <w:tr2bl w:val="nil"/>
                  </w:tcBorders>
                  <w:vAlign w:val="center"/>
                </w:tcPr>
                <w:p w14:paraId="76A55055">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E</w:t>
                  </w:r>
                  <w:r>
                    <w:rPr>
                      <w:rFonts w:hint="default" w:ascii="Times New Roman" w:hAnsi="Times New Roman" w:eastAsia="宋体" w:cs="Times New Roman"/>
                      <w:sz w:val="21"/>
                      <w:szCs w:val="21"/>
                      <w:vertAlign w:val="baseline"/>
                      <w:lang w:eastAsia="zh-CN"/>
                    </w:rPr>
                    <w:t>86.04676723,</w:t>
                  </w:r>
                </w:p>
                <w:p w14:paraId="573603DB">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N</w:t>
                  </w:r>
                  <w:r>
                    <w:rPr>
                      <w:rFonts w:hint="default" w:ascii="Times New Roman" w:hAnsi="Times New Roman" w:eastAsia="宋体" w:cs="Times New Roman"/>
                      <w:sz w:val="21"/>
                      <w:szCs w:val="21"/>
                      <w:vertAlign w:val="baseline"/>
                      <w:lang w:eastAsia="zh-CN"/>
                    </w:rPr>
                    <w:t>41.75594663</w:t>
                  </w:r>
                </w:p>
              </w:tc>
              <w:tc>
                <w:tcPr>
                  <w:tcW w:w="1128" w:type="dxa"/>
                  <w:tcBorders>
                    <w:tl2br w:val="nil"/>
                    <w:tr2bl w:val="nil"/>
                  </w:tcBorders>
                  <w:vAlign w:val="center"/>
                </w:tcPr>
                <w:p w14:paraId="436EC5A6">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兰干村</w:t>
                  </w:r>
                </w:p>
              </w:tc>
              <w:tc>
                <w:tcPr>
                  <w:tcW w:w="1128" w:type="dxa"/>
                  <w:tcBorders>
                    <w:tl2br w:val="nil"/>
                    <w:tr2bl w:val="nil"/>
                  </w:tcBorders>
                  <w:vAlign w:val="center"/>
                </w:tcPr>
                <w:p w14:paraId="110A064D">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2370</w:t>
                  </w:r>
                </w:p>
              </w:tc>
              <w:tc>
                <w:tcPr>
                  <w:tcW w:w="1128" w:type="dxa"/>
                  <w:vMerge w:val="continue"/>
                  <w:tcBorders>
                    <w:tl2br w:val="nil"/>
                    <w:tr2bl w:val="nil"/>
                  </w:tcBorders>
                  <w:vAlign w:val="center"/>
                </w:tcPr>
                <w:p w14:paraId="17C16243">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128" w:type="dxa"/>
                  <w:tcBorders>
                    <w:tl2br w:val="nil"/>
                    <w:tr2bl w:val="nil"/>
                  </w:tcBorders>
                  <w:vAlign w:val="center"/>
                </w:tcPr>
                <w:p w14:paraId="3A0B665D">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南侧</w:t>
                  </w:r>
                </w:p>
              </w:tc>
              <w:tc>
                <w:tcPr>
                  <w:tcW w:w="1128" w:type="dxa"/>
                  <w:tcBorders>
                    <w:tl2br w:val="nil"/>
                    <w:tr2bl w:val="nil"/>
                  </w:tcBorders>
                  <w:vAlign w:val="center"/>
                </w:tcPr>
                <w:p w14:paraId="2FF6766B">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460m</w:t>
                  </w:r>
                </w:p>
              </w:tc>
            </w:tr>
            <w:tr w14:paraId="2A8D38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23" w:type="dxa"/>
                  <w:vMerge w:val="continue"/>
                  <w:tcBorders>
                    <w:tl2br w:val="nil"/>
                    <w:tr2bl w:val="nil"/>
                  </w:tcBorders>
                  <w:vAlign w:val="center"/>
                </w:tcPr>
                <w:p w14:paraId="463202DB">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633" w:type="dxa"/>
                  <w:tcBorders>
                    <w:tl2br w:val="nil"/>
                    <w:tr2bl w:val="nil"/>
                  </w:tcBorders>
                  <w:vAlign w:val="center"/>
                </w:tcPr>
                <w:p w14:paraId="127C262C">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E</w:t>
                  </w:r>
                  <w:r>
                    <w:rPr>
                      <w:rFonts w:hint="default" w:ascii="Times New Roman" w:hAnsi="Times New Roman" w:eastAsia="宋体" w:cs="Times New Roman"/>
                      <w:sz w:val="21"/>
                      <w:szCs w:val="21"/>
                      <w:vertAlign w:val="baseline"/>
                      <w:lang w:eastAsia="zh-CN"/>
                    </w:rPr>
                    <w:t>86.05238914,</w:t>
                  </w:r>
                </w:p>
                <w:p w14:paraId="14BF086F">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N</w:t>
                  </w:r>
                  <w:r>
                    <w:rPr>
                      <w:rFonts w:hint="default" w:ascii="Times New Roman" w:hAnsi="Times New Roman" w:eastAsia="宋体" w:cs="Times New Roman"/>
                      <w:sz w:val="21"/>
                      <w:szCs w:val="21"/>
                      <w:vertAlign w:val="baseline"/>
                      <w:lang w:eastAsia="zh-CN"/>
                    </w:rPr>
                    <w:t>41.75970821</w:t>
                  </w:r>
                </w:p>
              </w:tc>
              <w:tc>
                <w:tcPr>
                  <w:tcW w:w="1128" w:type="dxa"/>
                  <w:tcBorders>
                    <w:tl2br w:val="nil"/>
                    <w:tr2bl w:val="nil"/>
                  </w:tcBorders>
                  <w:vAlign w:val="center"/>
                </w:tcPr>
                <w:p w14:paraId="0C6250B8">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兰干乡中学</w:t>
                  </w:r>
                </w:p>
              </w:tc>
              <w:tc>
                <w:tcPr>
                  <w:tcW w:w="1128" w:type="dxa"/>
                  <w:tcBorders>
                    <w:tl2br w:val="nil"/>
                    <w:tr2bl w:val="nil"/>
                  </w:tcBorders>
                  <w:vAlign w:val="center"/>
                </w:tcPr>
                <w:p w14:paraId="1A9BBAFE">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1400</w:t>
                  </w:r>
                </w:p>
              </w:tc>
              <w:tc>
                <w:tcPr>
                  <w:tcW w:w="1128" w:type="dxa"/>
                  <w:vMerge w:val="continue"/>
                  <w:tcBorders>
                    <w:tl2br w:val="nil"/>
                    <w:tr2bl w:val="nil"/>
                  </w:tcBorders>
                  <w:vAlign w:val="center"/>
                </w:tcPr>
                <w:p w14:paraId="7C35522C">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128" w:type="dxa"/>
                  <w:tcBorders>
                    <w:tl2br w:val="nil"/>
                    <w:tr2bl w:val="nil"/>
                  </w:tcBorders>
                  <w:vAlign w:val="center"/>
                </w:tcPr>
                <w:p w14:paraId="71CC74C5">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东南</w:t>
                  </w:r>
                </w:p>
              </w:tc>
              <w:tc>
                <w:tcPr>
                  <w:tcW w:w="1128" w:type="dxa"/>
                  <w:tcBorders>
                    <w:tl2br w:val="nil"/>
                    <w:tr2bl w:val="nil"/>
                  </w:tcBorders>
                  <w:vAlign w:val="center"/>
                </w:tcPr>
                <w:p w14:paraId="10E08353">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300m</w:t>
                  </w:r>
                </w:p>
              </w:tc>
            </w:tr>
            <w:tr w14:paraId="5DAC6B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23" w:type="dxa"/>
                  <w:vMerge w:val="continue"/>
                  <w:tcBorders>
                    <w:tl2br w:val="nil"/>
                    <w:tr2bl w:val="nil"/>
                  </w:tcBorders>
                  <w:vAlign w:val="center"/>
                </w:tcPr>
                <w:p w14:paraId="0E21C1A2">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633" w:type="dxa"/>
                  <w:tcBorders>
                    <w:tl2br w:val="nil"/>
                    <w:tr2bl w:val="nil"/>
                  </w:tcBorders>
                  <w:vAlign w:val="center"/>
                </w:tcPr>
                <w:p w14:paraId="4B351938">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E</w:t>
                  </w:r>
                  <w:r>
                    <w:rPr>
                      <w:rFonts w:hint="default" w:ascii="Times New Roman" w:hAnsi="Times New Roman" w:eastAsia="宋体" w:cs="Times New Roman"/>
                      <w:sz w:val="21"/>
                      <w:szCs w:val="21"/>
                      <w:vertAlign w:val="baseline"/>
                      <w:lang w:eastAsia="zh-CN"/>
                    </w:rPr>
                    <w:t>86.04889154,</w:t>
                  </w:r>
                </w:p>
                <w:p w14:paraId="66B906DF">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val="en-US" w:eastAsia="zh-CN"/>
                    </w:rPr>
                    <w:t>N</w:t>
                  </w:r>
                  <w:r>
                    <w:rPr>
                      <w:rFonts w:hint="default" w:ascii="Times New Roman" w:hAnsi="Times New Roman" w:eastAsia="宋体" w:cs="Times New Roman"/>
                      <w:sz w:val="21"/>
                      <w:szCs w:val="21"/>
                      <w:vertAlign w:val="baseline"/>
                      <w:lang w:eastAsia="zh-CN"/>
                    </w:rPr>
                    <w:t>41.75700310</w:t>
                  </w:r>
                </w:p>
              </w:tc>
              <w:tc>
                <w:tcPr>
                  <w:tcW w:w="1128" w:type="dxa"/>
                  <w:tcBorders>
                    <w:tl2br w:val="nil"/>
                    <w:tr2bl w:val="nil"/>
                  </w:tcBorders>
                  <w:vAlign w:val="center"/>
                </w:tcPr>
                <w:p w14:paraId="0863B4B3">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兰干乡中心小学</w:t>
                  </w:r>
                </w:p>
              </w:tc>
              <w:tc>
                <w:tcPr>
                  <w:tcW w:w="1128" w:type="dxa"/>
                  <w:tcBorders>
                    <w:tl2br w:val="nil"/>
                    <w:tr2bl w:val="nil"/>
                  </w:tcBorders>
                  <w:vAlign w:val="center"/>
                </w:tcPr>
                <w:p w14:paraId="40FB817F">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726</w:t>
                  </w:r>
                </w:p>
              </w:tc>
              <w:tc>
                <w:tcPr>
                  <w:tcW w:w="1128" w:type="dxa"/>
                  <w:vMerge w:val="continue"/>
                  <w:tcBorders>
                    <w:tl2br w:val="nil"/>
                    <w:tr2bl w:val="nil"/>
                  </w:tcBorders>
                  <w:vAlign w:val="center"/>
                </w:tcPr>
                <w:p w14:paraId="6941C428">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eastAsia="zh-CN"/>
                    </w:rPr>
                  </w:pPr>
                </w:p>
              </w:tc>
              <w:tc>
                <w:tcPr>
                  <w:tcW w:w="1128" w:type="dxa"/>
                  <w:tcBorders>
                    <w:tl2br w:val="nil"/>
                    <w:tr2bl w:val="nil"/>
                  </w:tcBorders>
                  <w:vAlign w:val="center"/>
                </w:tcPr>
                <w:p w14:paraId="1C3DADDA">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南侧</w:t>
                  </w:r>
                </w:p>
              </w:tc>
              <w:tc>
                <w:tcPr>
                  <w:tcW w:w="1128" w:type="dxa"/>
                  <w:tcBorders>
                    <w:tl2br w:val="nil"/>
                    <w:tr2bl w:val="nil"/>
                  </w:tcBorders>
                  <w:vAlign w:val="center"/>
                </w:tcPr>
                <w:p w14:paraId="63AACE75">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353m</w:t>
                  </w:r>
                </w:p>
              </w:tc>
            </w:tr>
          </w:tbl>
          <w:p w14:paraId="1D327F4E">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2.声环境保护目标 </w:t>
            </w:r>
          </w:p>
          <w:p w14:paraId="38C33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根据《声环境质量标准》（GB3096-2008</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可知项目区位于2类声环境功能区。根据《建设项目环境影响报告表编制技术指南（污染影响型</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（试行</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 xml:space="preserve">》指南要求，调查到本项目厂界外50m范围内不含人群较集中的区域保护目标。 </w:t>
            </w:r>
          </w:p>
          <w:p w14:paraId="4035E8EA">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3.地下水环境保护目标 </w:t>
            </w:r>
          </w:p>
          <w:p w14:paraId="74E77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本项目厂界外 500m 范围内无地下水集中式饮用水水源和热水、矿泉水、温泉等特殊地下水资源。 </w:t>
            </w:r>
          </w:p>
          <w:p w14:paraId="1578CE3B">
            <w:pPr>
              <w:pStyle w:val="5"/>
              <w:keepNext/>
              <w:keepLines/>
              <w:pageBreakBefore w:val="0"/>
              <w:widowControl w:val="0"/>
              <w:numPr>
                <w:ilvl w:val="0"/>
                <w:numId w:val="0"/>
              </w:numPr>
              <w:kinsoku/>
              <w:wordWrap/>
              <w:overflowPunct/>
              <w:topLinePunct w:val="0"/>
              <w:autoSpaceDE/>
              <w:autoSpaceDN/>
              <w:bidi w:val="0"/>
              <w:adjustRightInd/>
              <w:snapToGrid/>
              <w:spacing w:before="313" w:beforeLines="1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4.生态环境保护目标 </w:t>
            </w:r>
          </w:p>
          <w:p w14:paraId="684E0D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根据《建设项目环境影响报告表编制技术指南（污染影响类</w:t>
            </w:r>
            <w:r>
              <w:rPr>
                <w:rFonts w:hint="eastAsia" w:ascii="宋体" w:hAnsi="宋体" w:cs="宋体"/>
                <w:sz w:val="24"/>
                <w:szCs w:val="24"/>
                <w:lang w:val="en-US" w:eastAsia="zh-CN"/>
              </w:rPr>
              <w:t>）</w:t>
            </w:r>
            <w:r>
              <w:rPr>
                <w:rFonts w:hint="default" w:ascii="宋体" w:hAnsi="宋体" w:eastAsia="宋体" w:cs="宋体"/>
                <w:sz w:val="24"/>
                <w:szCs w:val="24"/>
                <w:lang w:val="en-US" w:eastAsia="zh-CN"/>
              </w:rPr>
              <w:t>（试行</w:t>
            </w:r>
            <w:r>
              <w:rPr>
                <w:rFonts w:hint="eastAsia" w:ascii="宋体" w:hAnsi="宋体" w:cs="宋体"/>
                <w:sz w:val="24"/>
                <w:szCs w:val="24"/>
                <w:lang w:val="en-US" w:eastAsia="zh-CN"/>
              </w:rPr>
              <w:t>）</w:t>
            </w:r>
            <w:r>
              <w:rPr>
                <w:rFonts w:hint="default" w:ascii="宋体" w:hAnsi="宋体" w:eastAsia="宋体" w:cs="宋体"/>
                <w:sz w:val="24"/>
                <w:szCs w:val="24"/>
                <w:lang w:val="en-US" w:eastAsia="zh-CN"/>
              </w:rPr>
              <w:t xml:space="preserve">》 </w:t>
            </w:r>
          </w:p>
          <w:p w14:paraId="190CD78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的要求，本项目土地用途为工业用地，用地范围内无生态环境保护目标。</w:t>
            </w:r>
          </w:p>
          <w:p w14:paraId="4EBE6A18"/>
        </w:tc>
      </w:tr>
      <w:tr w14:paraId="6F614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1" w:hRule="atLeast"/>
          <w:jc w:val="center"/>
        </w:trPr>
        <w:tc>
          <w:tcPr>
            <w:tcW w:w="836" w:type="dxa"/>
            <w:tcMar>
              <w:left w:w="28" w:type="dxa"/>
              <w:right w:w="28" w:type="dxa"/>
            </w:tcMar>
            <w:vAlign w:val="center"/>
          </w:tcPr>
          <w:p w14:paraId="4E75726D">
            <w:pPr>
              <w:adjustRightInd w:val="0"/>
              <w:snapToGrid w:val="0"/>
              <w:jc w:val="center"/>
              <w:rPr>
                <w:b/>
                <w:bCs/>
                <w:kern w:val="0"/>
                <w:sz w:val="28"/>
                <w:szCs w:val="28"/>
              </w:rPr>
            </w:pPr>
            <w:r>
              <w:rPr>
                <w:b/>
                <w:bCs/>
                <w:kern w:val="0"/>
                <w:sz w:val="28"/>
                <w:szCs w:val="28"/>
              </w:rPr>
              <w:t>污染</w:t>
            </w:r>
          </w:p>
          <w:p w14:paraId="14FD2A5F">
            <w:pPr>
              <w:adjustRightInd w:val="0"/>
              <w:snapToGrid w:val="0"/>
              <w:jc w:val="center"/>
              <w:rPr>
                <w:b/>
                <w:bCs/>
                <w:kern w:val="0"/>
                <w:sz w:val="28"/>
                <w:szCs w:val="28"/>
              </w:rPr>
            </w:pPr>
            <w:r>
              <w:rPr>
                <w:b/>
                <w:bCs/>
                <w:kern w:val="0"/>
                <w:sz w:val="28"/>
                <w:szCs w:val="28"/>
              </w:rPr>
              <w:t>物排</w:t>
            </w:r>
          </w:p>
          <w:p w14:paraId="23ACE7E7">
            <w:pPr>
              <w:adjustRightInd w:val="0"/>
              <w:snapToGrid w:val="0"/>
              <w:jc w:val="center"/>
              <w:rPr>
                <w:b/>
                <w:bCs/>
                <w:kern w:val="0"/>
                <w:sz w:val="28"/>
                <w:szCs w:val="28"/>
              </w:rPr>
            </w:pPr>
            <w:r>
              <w:rPr>
                <w:b/>
                <w:bCs/>
                <w:kern w:val="0"/>
                <w:sz w:val="28"/>
                <w:szCs w:val="28"/>
              </w:rPr>
              <w:t>放控</w:t>
            </w:r>
          </w:p>
          <w:p w14:paraId="630685AA">
            <w:pPr>
              <w:adjustRightInd w:val="0"/>
              <w:snapToGrid w:val="0"/>
              <w:jc w:val="center"/>
              <w:rPr>
                <w:b/>
                <w:bCs/>
                <w:kern w:val="0"/>
                <w:sz w:val="28"/>
                <w:szCs w:val="28"/>
              </w:rPr>
            </w:pPr>
            <w:r>
              <w:rPr>
                <w:b/>
                <w:bCs/>
                <w:kern w:val="0"/>
                <w:sz w:val="28"/>
                <w:szCs w:val="28"/>
              </w:rPr>
              <w:t>制标</w:t>
            </w:r>
          </w:p>
          <w:p w14:paraId="3B9B5992">
            <w:pPr>
              <w:adjustRightInd w:val="0"/>
              <w:snapToGrid w:val="0"/>
              <w:jc w:val="center"/>
              <w:rPr>
                <w:kern w:val="0"/>
                <w:szCs w:val="21"/>
              </w:rPr>
            </w:pPr>
            <w:r>
              <w:rPr>
                <w:b/>
                <w:bCs/>
                <w:kern w:val="0"/>
                <w:sz w:val="28"/>
                <w:szCs w:val="28"/>
              </w:rPr>
              <w:t>准</w:t>
            </w:r>
          </w:p>
        </w:tc>
        <w:tc>
          <w:tcPr>
            <w:tcW w:w="8154" w:type="dxa"/>
          </w:tcPr>
          <w:p w14:paraId="1B512260">
            <w:pPr>
              <w:pStyle w:val="5"/>
              <w:ind w:left="0" w:leftChars="0" w:firstLine="0" w:firstLineChars="0"/>
            </w:pPr>
            <w:bookmarkStart w:id="10" w:name="_Toc13030"/>
            <w:bookmarkStart w:id="11" w:name="_Toc29182"/>
            <w:r>
              <w:t>1、施工期</w:t>
            </w:r>
          </w:p>
          <w:p w14:paraId="5FEB491F">
            <w:pPr>
              <w:widowControl/>
              <w:adjustRightInd w:val="0"/>
              <w:snapToGrid w:val="0"/>
              <w:spacing w:line="360" w:lineRule="auto"/>
              <w:rPr>
                <w:bCs/>
                <w:kern w:val="0"/>
                <w:sz w:val="24"/>
              </w:rPr>
            </w:pPr>
            <w:r>
              <w:rPr>
                <w:bCs/>
                <w:kern w:val="0"/>
                <w:sz w:val="24"/>
              </w:rPr>
              <w:t>（1</w:t>
            </w:r>
            <w:r>
              <w:rPr>
                <w:rFonts w:hint="eastAsia"/>
                <w:bCs/>
                <w:kern w:val="0"/>
                <w:sz w:val="24"/>
                <w:lang w:eastAsia="zh-CN"/>
              </w:rPr>
              <w:t>）</w:t>
            </w:r>
            <w:r>
              <w:rPr>
                <w:bCs/>
                <w:kern w:val="0"/>
                <w:sz w:val="24"/>
              </w:rPr>
              <w:t>废气</w:t>
            </w:r>
          </w:p>
          <w:p w14:paraId="1E3CB947">
            <w:pPr>
              <w:adjustRightInd w:val="0"/>
              <w:snapToGrid w:val="0"/>
              <w:spacing w:line="360" w:lineRule="auto"/>
              <w:ind w:firstLine="480" w:firstLineChars="200"/>
              <w:rPr>
                <w:bCs/>
                <w:kern w:val="0"/>
                <w:sz w:val="24"/>
              </w:rPr>
            </w:pPr>
            <w:r>
              <w:rPr>
                <w:bCs/>
                <w:kern w:val="0"/>
                <w:sz w:val="24"/>
              </w:rPr>
              <w:t>本项目施工扬尘执行《大气污染物综合排放标准》（GB16297-1996</w:t>
            </w:r>
            <w:r>
              <w:rPr>
                <w:rFonts w:hint="eastAsia"/>
                <w:bCs/>
                <w:kern w:val="0"/>
                <w:sz w:val="24"/>
                <w:lang w:eastAsia="zh-CN"/>
              </w:rPr>
              <w:t>）</w:t>
            </w:r>
            <w:r>
              <w:rPr>
                <w:bCs/>
                <w:kern w:val="0"/>
                <w:sz w:val="24"/>
              </w:rPr>
              <w:t>表2中无组织排放监控浓度限值要求，具体见</w:t>
            </w:r>
            <w:bookmarkStart w:id="12" w:name="_Ref379546700"/>
            <w:r>
              <w:rPr>
                <w:bCs/>
                <w:kern w:val="0"/>
                <w:sz w:val="24"/>
              </w:rPr>
              <w:t>表</w:t>
            </w:r>
            <w:bookmarkStart w:id="13" w:name="_Ref396828303"/>
            <w:r>
              <w:rPr>
                <w:bCs/>
                <w:kern w:val="0"/>
                <w:sz w:val="24"/>
              </w:rPr>
              <w:t>3-</w:t>
            </w:r>
            <w:r>
              <w:rPr>
                <w:rFonts w:hint="eastAsia"/>
                <w:bCs/>
                <w:kern w:val="0"/>
                <w:sz w:val="24"/>
                <w:lang w:val="en-US" w:eastAsia="zh-CN"/>
              </w:rPr>
              <w:t>4</w:t>
            </w:r>
            <w:r>
              <w:rPr>
                <w:bCs/>
                <w:kern w:val="0"/>
                <w:sz w:val="24"/>
              </w:rPr>
              <w:t>。</w:t>
            </w:r>
          </w:p>
          <w:p w14:paraId="26A10A32">
            <w:pPr>
              <w:pStyle w:val="91"/>
              <w:rPr>
                <w:color w:val="auto"/>
              </w:rPr>
            </w:pPr>
            <w:r>
              <w:rPr>
                <w:color w:val="auto"/>
              </w:rPr>
              <w:t>表</w:t>
            </w:r>
            <w:bookmarkEnd w:id="12"/>
            <w:bookmarkEnd w:id="13"/>
            <w:r>
              <w:rPr>
                <w:color w:val="auto"/>
              </w:rPr>
              <w:t>3-</w:t>
            </w:r>
            <w:r>
              <w:rPr>
                <w:rFonts w:hint="eastAsia"/>
                <w:color w:val="auto"/>
                <w:lang w:val="en-US" w:eastAsia="zh-CN"/>
              </w:rPr>
              <w:t>4</w:t>
            </w:r>
            <w:r>
              <w:rPr>
                <w:color w:val="auto"/>
              </w:rPr>
              <w:t>大气污染物排放标准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2849"/>
              <w:gridCol w:w="3931"/>
            </w:tblGrid>
            <w:tr w14:paraId="7581A8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27" w:type="pct"/>
                  <w:vMerge w:val="restart"/>
                  <w:vAlign w:val="center"/>
                </w:tcPr>
                <w:p w14:paraId="5496F974">
                  <w:pPr>
                    <w:jc w:val="center"/>
                    <w:rPr>
                      <w:szCs w:val="21"/>
                      <w:lang w:bidi="ar"/>
                    </w:rPr>
                  </w:pPr>
                  <w:r>
                    <w:rPr>
                      <w:szCs w:val="21"/>
                      <w:lang w:bidi="ar"/>
                    </w:rPr>
                    <w:t>污染物</w:t>
                  </w:r>
                </w:p>
              </w:tc>
              <w:tc>
                <w:tcPr>
                  <w:tcW w:w="1795" w:type="pct"/>
                  <w:vAlign w:val="center"/>
                </w:tcPr>
                <w:p w14:paraId="1D80A74E">
                  <w:pPr>
                    <w:jc w:val="center"/>
                    <w:rPr>
                      <w:szCs w:val="21"/>
                      <w:lang w:bidi="ar"/>
                    </w:rPr>
                  </w:pPr>
                  <w:r>
                    <w:rPr>
                      <w:szCs w:val="21"/>
                      <w:lang w:bidi="ar"/>
                    </w:rPr>
                    <w:t>标准限值</w:t>
                  </w:r>
                </w:p>
              </w:tc>
              <w:tc>
                <w:tcPr>
                  <w:tcW w:w="2477" w:type="pct"/>
                  <w:vMerge w:val="restart"/>
                  <w:vAlign w:val="center"/>
                </w:tcPr>
                <w:p w14:paraId="19C10AC8">
                  <w:pPr>
                    <w:jc w:val="center"/>
                    <w:rPr>
                      <w:szCs w:val="21"/>
                      <w:lang w:bidi="ar"/>
                    </w:rPr>
                  </w:pPr>
                  <w:r>
                    <w:rPr>
                      <w:szCs w:val="21"/>
                      <w:lang w:bidi="ar"/>
                    </w:rPr>
                    <w:t>执行标准</w:t>
                  </w:r>
                </w:p>
              </w:tc>
            </w:tr>
            <w:tr w14:paraId="40D9B3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27" w:type="pct"/>
                  <w:vMerge w:val="continue"/>
                  <w:vAlign w:val="center"/>
                </w:tcPr>
                <w:p w14:paraId="1CAAB89E">
                  <w:pPr>
                    <w:jc w:val="center"/>
                    <w:rPr>
                      <w:szCs w:val="21"/>
                      <w:lang w:bidi="ar"/>
                    </w:rPr>
                  </w:pPr>
                </w:p>
              </w:tc>
              <w:tc>
                <w:tcPr>
                  <w:tcW w:w="1795" w:type="pct"/>
                  <w:vAlign w:val="center"/>
                </w:tcPr>
                <w:p w14:paraId="45A33DF7">
                  <w:pPr>
                    <w:jc w:val="center"/>
                    <w:rPr>
                      <w:rFonts w:hint="eastAsia" w:eastAsia="宋体"/>
                      <w:szCs w:val="21"/>
                      <w:lang w:eastAsia="zh-CN" w:bidi="ar"/>
                    </w:rPr>
                  </w:pPr>
                  <w:r>
                    <w:rPr>
                      <w:szCs w:val="21"/>
                      <w:lang w:bidi="ar"/>
                    </w:rPr>
                    <w:t>无组织排放监控浓度限值（mg/m</w:t>
                  </w:r>
                  <w:r>
                    <w:rPr>
                      <w:szCs w:val="21"/>
                      <w:vertAlign w:val="superscript"/>
                      <w:lang w:bidi="ar"/>
                    </w:rPr>
                    <w:t>3</w:t>
                  </w:r>
                  <w:r>
                    <w:rPr>
                      <w:rFonts w:hint="eastAsia"/>
                      <w:szCs w:val="21"/>
                      <w:lang w:eastAsia="zh-CN" w:bidi="ar"/>
                    </w:rPr>
                    <w:t>）</w:t>
                  </w:r>
                </w:p>
              </w:tc>
              <w:tc>
                <w:tcPr>
                  <w:tcW w:w="2477" w:type="pct"/>
                  <w:vMerge w:val="continue"/>
                  <w:vAlign w:val="center"/>
                </w:tcPr>
                <w:p w14:paraId="1736A325">
                  <w:pPr>
                    <w:jc w:val="center"/>
                    <w:rPr>
                      <w:szCs w:val="21"/>
                      <w:lang w:bidi="ar"/>
                    </w:rPr>
                  </w:pPr>
                </w:p>
              </w:tc>
            </w:tr>
            <w:tr w14:paraId="692B42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7" w:type="pct"/>
                  <w:vAlign w:val="center"/>
                </w:tcPr>
                <w:p w14:paraId="74642E9D">
                  <w:pPr>
                    <w:jc w:val="center"/>
                    <w:rPr>
                      <w:szCs w:val="21"/>
                      <w:lang w:bidi="ar"/>
                    </w:rPr>
                  </w:pPr>
                  <w:r>
                    <w:rPr>
                      <w:szCs w:val="21"/>
                      <w:lang w:bidi="ar"/>
                    </w:rPr>
                    <w:t>颗粒物</w:t>
                  </w:r>
                </w:p>
              </w:tc>
              <w:tc>
                <w:tcPr>
                  <w:tcW w:w="1795" w:type="pct"/>
                  <w:vAlign w:val="center"/>
                </w:tcPr>
                <w:p w14:paraId="6F230A6F">
                  <w:pPr>
                    <w:jc w:val="center"/>
                    <w:rPr>
                      <w:szCs w:val="21"/>
                      <w:lang w:bidi="ar"/>
                    </w:rPr>
                  </w:pPr>
                  <w:r>
                    <w:rPr>
                      <w:szCs w:val="21"/>
                      <w:lang w:bidi="ar"/>
                    </w:rPr>
                    <w:t>1.0</w:t>
                  </w:r>
                </w:p>
              </w:tc>
              <w:tc>
                <w:tcPr>
                  <w:tcW w:w="2477" w:type="pct"/>
                  <w:vAlign w:val="center"/>
                </w:tcPr>
                <w:p w14:paraId="2A03B6E4">
                  <w:pPr>
                    <w:wordWrap w:val="0"/>
                    <w:jc w:val="center"/>
                    <w:rPr>
                      <w:szCs w:val="21"/>
                      <w:lang w:bidi="ar"/>
                    </w:rPr>
                  </w:pPr>
                  <w:r>
                    <w:rPr>
                      <w:szCs w:val="21"/>
                      <w:lang w:bidi="ar"/>
                    </w:rPr>
                    <w:t>《大气污染物综合排放标准》（GB16297-1996</w:t>
                  </w:r>
                  <w:r>
                    <w:rPr>
                      <w:rFonts w:hint="eastAsia"/>
                      <w:szCs w:val="21"/>
                      <w:lang w:eastAsia="zh-CN" w:bidi="ar"/>
                    </w:rPr>
                    <w:t>）</w:t>
                  </w:r>
                  <w:r>
                    <w:rPr>
                      <w:szCs w:val="21"/>
                      <w:lang w:bidi="ar"/>
                    </w:rPr>
                    <w:t>表2标准</w:t>
                  </w:r>
                </w:p>
              </w:tc>
            </w:tr>
          </w:tbl>
          <w:p w14:paraId="241E40E8">
            <w:pPr>
              <w:widowControl/>
              <w:adjustRightInd w:val="0"/>
              <w:snapToGrid w:val="0"/>
              <w:spacing w:line="360" w:lineRule="auto"/>
              <w:rPr>
                <w:bCs/>
                <w:kern w:val="0"/>
                <w:sz w:val="24"/>
              </w:rPr>
            </w:pPr>
            <w:r>
              <w:rPr>
                <w:bCs/>
                <w:kern w:val="0"/>
                <w:sz w:val="24"/>
              </w:rPr>
              <w:t>（2</w:t>
            </w:r>
            <w:r>
              <w:rPr>
                <w:rFonts w:hint="eastAsia"/>
                <w:bCs/>
                <w:kern w:val="0"/>
                <w:sz w:val="24"/>
                <w:lang w:eastAsia="zh-CN"/>
              </w:rPr>
              <w:t>）</w:t>
            </w:r>
            <w:r>
              <w:rPr>
                <w:bCs/>
                <w:kern w:val="0"/>
                <w:sz w:val="24"/>
              </w:rPr>
              <w:t>噪声</w:t>
            </w:r>
          </w:p>
          <w:p w14:paraId="0EB41279">
            <w:pPr>
              <w:adjustRightInd w:val="0"/>
              <w:snapToGrid w:val="0"/>
              <w:spacing w:line="360" w:lineRule="auto"/>
              <w:ind w:firstLine="480" w:firstLineChars="200"/>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施工期噪声执行《建筑施工场界环境噪声排放标准》（GB12523-2011</w:t>
            </w:r>
            <w:r>
              <w:rPr>
                <w:rFonts w:hint="eastAsia" w:cs="Times New Roman"/>
                <w:bCs/>
                <w:kern w:val="0"/>
                <w:sz w:val="24"/>
                <w:lang w:eastAsia="zh-CN"/>
              </w:rPr>
              <w:t>）</w:t>
            </w:r>
            <w:r>
              <w:rPr>
                <w:rFonts w:hint="default" w:ascii="Times New Roman" w:hAnsi="Times New Roman" w:eastAsia="宋体" w:cs="Times New Roman"/>
                <w:bCs/>
                <w:kern w:val="0"/>
                <w:sz w:val="24"/>
              </w:rPr>
              <w:t>表1中标准，见表3-</w:t>
            </w:r>
            <w:r>
              <w:rPr>
                <w:rFonts w:hint="eastAsia" w:cs="Times New Roman"/>
                <w:bCs/>
                <w:kern w:val="0"/>
                <w:sz w:val="24"/>
                <w:lang w:val="en-US" w:eastAsia="zh-CN"/>
              </w:rPr>
              <w:t>5</w:t>
            </w:r>
            <w:r>
              <w:rPr>
                <w:rFonts w:hint="default" w:ascii="Times New Roman" w:hAnsi="Times New Roman" w:eastAsia="宋体" w:cs="Times New Roman"/>
                <w:bCs/>
                <w:kern w:val="0"/>
                <w:sz w:val="24"/>
              </w:rPr>
              <w:t>。</w:t>
            </w:r>
          </w:p>
          <w:p w14:paraId="1F922A44">
            <w:pPr>
              <w:pStyle w:val="91"/>
              <w:rPr>
                <w:rFonts w:hint="eastAsia" w:eastAsia="宋体"/>
                <w:color w:val="auto"/>
                <w:lang w:eastAsia="zh-CN"/>
              </w:rPr>
            </w:pPr>
            <w:r>
              <w:rPr>
                <w:color w:val="auto"/>
              </w:rPr>
              <w:t>表3-</w:t>
            </w:r>
            <w:r>
              <w:rPr>
                <w:rFonts w:hint="eastAsia"/>
                <w:color w:val="auto"/>
                <w:lang w:val="en-US" w:eastAsia="zh-CN"/>
              </w:rPr>
              <w:t>5</w:t>
            </w:r>
            <w:r>
              <w:rPr>
                <w:color w:val="auto"/>
              </w:rPr>
              <w:t>建筑施工场界环境噪声排放限值单位：dB（A</w:t>
            </w:r>
            <w:r>
              <w:rPr>
                <w:rFonts w:hint="eastAsia"/>
                <w:color w:val="auto"/>
                <w:lang w:eastAsia="zh-CN"/>
              </w:rPr>
              <w:t>）</w:t>
            </w:r>
          </w:p>
          <w:tbl>
            <w:tblPr>
              <w:tblStyle w:val="2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01"/>
              <w:gridCol w:w="4034"/>
            </w:tblGrid>
            <w:tr w14:paraId="40C3E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58" w:type="pct"/>
                  <w:tcBorders>
                    <w:tl2br w:val="nil"/>
                    <w:tr2bl w:val="nil"/>
                  </w:tcBorders>
                  <w:vAlign w:val="center"/>
                </w:tcPr>
                <w:p w14:paraId="2667AB90">
                  <w:pPr>
                    <w:pStyle w:val="43"/>
                    <w:jc w:val="center"/>
                    <w:rPr>
                      <w:rFonts w:ascii="Times New Roman" w:hAnsi="Times New Roman" w:cs="Times New Roman"/>
                      <w:szCs w:val="21"/>
                    </w:rPr>
                  </w:pPr>
                  <w:r>
                    <w:rPr>
                      <w:rFonts w:ascii="Times New Roman" w:hAnsi="Times New Roman" w:cs="Times New Roman"/>
                      <w:szCs w:val="21"/>
                    </w:rPr>
                    <w:t>昼间</w:t>
                  </w:r>
                </w:p>
              </w:tc>
              <w:tc>
                <w:tcPr>
                  <w:tcW w:w="2541" w:type="pct"/>
                  <w:tcBorders>
                    <w:tl2br w:val="nil"/>
                    <w:tr2bl w:val="nil"/>
                  </w:tcBorders>
                  <w:vAlign w:val="center"/>
                </w:tcPr>
                <w:p w14:paraId="3CBABB63">
                  <w:pPr>
                    <w:pStyle w:val="43"/>
                    <w:jc w:val="center"/>
                    <w:rPr>
                      <w:rFonts w:ascii="Times New Roman" w:hAnsi="Times New Roman" w:cs="Times New Roman"/>
                      <w:szCs w:val="21"/>
                    </w:rPr>
                  </w:pPr>
                  <w:r>
                    <w:rPr>
                      <w:rFonts w:ascii="Times New Roman" w:hAnsi="Times New Roman" w:cs="Times New Roman"/>
                      <w:szCs w:val="21"/>
                    </w:rPr>
                    <w:t>夜间</w:t>
                  </w:r>
                </w:p>
              </w:tc>
            </w:tr>
            <w:tr w14:paraId="1E9A27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458" w:type="pct"/>
                  <w:tcBorders>
                    <w:tl2br w:val="nil"/>
                    <w:tr2bl w:val="nil"/>
                  </w:tcBorders>
                  <w:vAlign w:val="center"/>
                </w:tcPr>
                <w:p w14:paraId="488050E3">
                  <w:pPr>
                    <w:pStyle w:val="43"/>
                    <w:jc w:val="center"/>
                    <w:rPr>
                      <w:rFonts w:ascii="Times New Roman" w:hAnsi="Times New Roman" w:cs="Times New Roman"/>
                      <w:szCs w:val="21"/>
                    </w:rPr>
                  </w:pPr>
                  <w:r>
                    <w:rPr>
                      <w:rFonts w:ascii="Times New Roman" w:hAnsi="Times New Roman" w:cs="Times New Roman"/>
                      <w:szCs w:val="21"/>
                    </w:rPr>
                    <w:t>70</w:t>
                  </w:r>
                </w:p>
              </w:tc>
              <w:tc>
                <w:tcPr>
                  <w:tcW w:w="2541" w:type="pct"/>
                  <w:tcBorders>
                    <w:tl2br w:val="nil"/>
                    <w:tr2bl w:val="nil"/>
                  </w:tcBorders>
                  <w:vAlign w:val="center"/>
                </w:tcPr>
                <w:p w14:paraId="72993CD3">
                  <w:pPr>
                    <w:pStyle w:val="43"/>
                    <w:jc w:val="center"/>
                    <w:rPr>
                      <w:rFonts w:ascii="Times New Roman" w:hAnsi="Times New Roman" w:cs="Times New Roman"/>
                      <w:szCs w:val="21"/>
                    </w:rPr>
                  </w:pPr>
                  <w:r>
                    <w:rPr>
                      <w:rFonts w:ascii="Times New Roman" w:hAnsi="Times New Roman" w:cs="Times New Roman"/>
                      <w:szCs w:val="21"/>
                    </w:rPr>
                    <w:t>55</w:t>
                  </w:r>
                </w:p>
              </w:tc>
            </w:tr>
          </w:tbl>
          <w:p w14:paraId="3B9040D2">
            <w:pPr>
              <w:pStyle w:val="5"/>
              <w:ind w:firstLine="482"/>
            </w:pPr>
            <w:r>
              <w:t>2、运营期</w:t>
            </w:r>
          </w:p>
          <w:p w14:paraId="10A373C5">
            <w:pPr>
              <w:adjustRightInd w:val="0"/>
              <w:snapToGrid w:val="0"/>
              <w:spacing w:line="360" w:lineRule="auto"/>
              <w:ind w:firstLine="480" w:firstLineChars="200"/>
              <w:rPr>
                <w:rFonts w:hint="eastAsia" w:ascii="Times New Roman" w:hAnsi="Times New Roman" w:eastAsia="宋体" w:cs="Times New Roman"/>
                <w:bCs/>
                <w:kern w:val="0"/>
                <w:sz w:val="24"/>
                <w:lang w:val="en-US" w:eastAsia="zh-CN"/>
              </w:rPr>
            </w:pPr>
            <w:r>
              <w:rPr>
                <w:rFonts w:hint="eastAsia" w:ascii="Times New Roman" w:hAnsi="Times New Roman" w:eastAsia="宋体" w:cs="Times New Roman"/>
                <w:bCs/>
                <w:kern w:val="0"/>
                <w:sz w:val="24"/>
                <w:lang w:eastAsia="zh-CN"/>
              </w:rPr>
              <w:t>（</w:t>
            </w:r>
            <w:r>
              <w:rPr>
                <w:rFonts w:hint="eastAsia" w:ascii="Times New Roman" w:hAnsi="Times New Roman" w:eastAsia="宋体" w:cs="Times New Roman"/>
                <w:bCs/>
                <w:kern w:val="0"/>
                <w:sz w:val="24"/>
                <w:lang w:val="en-US" w:eastAsia="zh-CN"/>
              </w:rPr>
              <w:t>1</w:t>
            </w:r>
            <w:r>
              <w:rPr>
                <w:rFonts w:hint="eastAsia" w:cs="Times New Roman"/>
                <w:bCs/>
                <w:kern w:val="0"/>
                <w:sz w:val="24"/>
                <w:lang w:eastAsia="zh-CN"/>
              </w:rPr>
              <w:t>）</w:t>
            </w:r>
            <w:r>
              <w:rPr>
                <w:rFonts w:hint="eastAsia" w:ascii="Times New Roman" w:hAnsi="Times New Roman" w:eastAsia="宋体" w:cs="Times New Roman"/>
                <w:bCs/>
                <w:kern w:val="0"/>
                <w:sz w:val="24"/>
                <w:lang w:val="en-US" w:eastAsia="zh-CN"/>
              </w:rPr>
              <w:t>废气</w:t>
            </w:r>
          </w:p>
          <w:p w14:paraId="58E6A2C1">
            <w:pPr>
              <w:adjustRightInd w:val="0"/>
              <w:snapToGrid w:val="0"/>
              <w:spacing w:line="360" w:lineRule="auto"/>
              <w:ind w:firstLine="480" w:firstLineChars="200"/>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运营期粉尘排放执行《大气污染物综合排放标准》</w:t>
            </w:r>
            <w:r>
              <w:rPr>
                <w:rFonts w:hint="eastAsia" w:eastAsia="宋体" w:cs="Times New Roman"/>
                <w:bCs/>
                <w:kern w:val="0"/>
                <w:sz w:val="24"/>
                <w:lang w:eastAsia="zh-CN"/>
              </w:rPr>
              <w:t>（</w:t>
            </w:r>
            <w:r>
              <w:rPr>
                <w:rFonts w:hint="default" w:ascii="Times New Roman" w:hAnsi="Times New Roman" w:eastAsia="宋体" w:cs="Times New Roman"/>
                <w:bCs/>
                <w:kern w:val="0"/>
                <w:sz w:val="24"/>
              </w:rPr>
              <w:t>GB16297-1996</w:t>
            </w:r>
            <w:r>
              <w:rPr>
                <w:rFonts w:hint="eastAsia" w:cs="Times New Roman"/>
                <w:bCs/>
                <w:kern w:val="0"/>
                <w:sz w:val="24"/>
                <w:lang w:eastAsia="zh-CN"/>
              </w:rPr>
              <w:t>）</w:t>
            </w:r>
            <w:r>
              <w:rPr>
                <w:rFonts w:hint="default" w:ascii="Times New Roman" w:hAnsi="Times New Roman" w:eastAsia="宋体" w:cs="Times New Roman"/>
                <w:bCs/>
                <w:kern w:val="0"/>
                <w:sz w:val="24"/>
              </w:rPr>
              <w:t>中无组织排放监控浓度限值，见表</w:t>
            </w:r>
            <w:r>
              <w:rPr>
                <w:rFonts w:hint="eastAsia" w:ascii="Times New Roman" w:hAnsi="Times New Roman" w:eastAsia="宋体" w:cs="Times New Roman"/>
                <w:bCs/>
                <w:kern w:val="0"/>
                <w:sz w:val="24"/>
                <w:lang w:val="en-US" w:eastAsia="zh-CN"/>
              </w:rPr>
              <w:t>3-</w:t>
            </w:r>
            <w:r>
              <w:rPr>
                <w:rFonts w:hint="eastAsia" w:cs="Times New Roman"/>
                <w:bCs/>
                <w:kern w:val="0"/>
                <w:sz w:val="24"/>
                <w:lang w:val="en-US" w:eastAsia="zh-CN"/>
              </w:rPr>
              <w:t>6</w:t>
            </w:r>
            <w:r>
              <w:rPr>
                <w:rFonts w:hint="default" w:ascii="Times New Roman" w:hAnsi="Times New Roman" w:eastAsia="宋体" w:cs="Times New Roman"/>
                <w:bCs/>
                <w:kern w:val="0"/>
                <w:sz w:val="24"/>
              </w:rPr>
              <w:t>。</w:t>
            </w:r>
          </w:p>
          <w:p w14:paraId="1D7A0A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spacing w:val="-3"/>
                <w:lang w:val="en-US" w:eastAsia="zh-CN"/>
              </w:rPr>
            </w:pPr>
            <w:r>
              <w:rPr>
                <w:rFonts w:hint="eastAsia"/>
                <w:b/>
                <w:bCs/>
                <w:spacing w:val="-3"/>
                <w:lang w:val="en-US" w:eastAsia="zh-CN"/>
              </w:rPr>
              <w:t>表3-6大气污染物排放标准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9"/>
              <w:gridCol w:w="3400"/>
              <w:gridCol w:w="3636"/>
            </w:tblGrid>
            <w:tr w14:paraId="2EF598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566" w:type="pct"/>
                  <w:vMerge w:val="restart"/>
                  <w:vAlign w:val="center"/>
                </w:tcPr>
                <w:p w14:paraId="0D5ED8C8">
                  <w:pPr>
                    <w:jc w:val="center"/>
                    <w:rPr>
                      <w:szCs w:val="21"/>
                      <w:lang w:bidi="ar"/>
                    </w:rPr>
                  </w:pPr>
                  <w:r>
                    <w:rPr>
                      <w:szCs w:val="21"/>
                      <w:lang w:bidi="ar"/>
                    </w:rPr>
                    <w:t>污染物</w:t>
                  </w:r>
                </w:p>
              </w:tc>
              <w:tc>
                <w:tcPr>
                  <w:tcW w:w="2142" w:type="pct"/>
                  <w:vAlign w:val="center"/>
                </w:tcPr>
                <w:p w14:paraId="0824FE4A">
                  <w:pPr>
                    <w:jc w:val="center"/>
                    <w:rPr>
                      <w:szCs w:val="21"/>
                      <w:lang w:bidi="ar"/>
                    </w:rPr>
                  </w:pPr>
                  <w:r>
                    <w:rPr>
                      <w:szCs w:val="21"/>
                      <w:lang w:bidi="ar"/>
                    </w:rPr>
                    <w:t>标准限值</w:t>
                  </w:r>
                </w:p>
              </w:tc>
              <w:tc>
                <w:tcPr>
                  <w:tcW w:w="2291" w:type="pct"/>
                  <w:vMerge w:val="restart"/>
                  <w:vAlign w:val="center"/>
                </w:tcPr>
                <w:p w14:paraId="00E8438D">
                  <w:pPr>
                    <w:jc w:val="center"/>
                    <w:rPr>
                      <w:szCs w:val="21"/>
                      <w:lang w:bidi="ar"/>
                    </w:rPr>
                  </w:pPr>
                  <w:r>
                    <w:rPr>
                      <w:szCs w:val="21"/>
                      <w:lang w:bidi="ar"/>
                    </w:rPr>
                    <w:t>执行标准</w:t>
                  </w:r>
                </w:p>
              </w:tc>
            </w:tr>
            <w:tr w14:paraId="45848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566" w:type="pct"/>
                  <w:vMerge w:val="continue"/>
                  <w:vAlign w:val="center"/>
                </w:tcPr>
                <w:p w14:paraId="2E2571C0">
                  <w:pPr>
                    <w:jc w:val="center"/>
                    <w:rPr>
                      <w:szCs w:val="21"/>
                      <w:lang w:bidi="ar"/>
                    </w:rPr>
                  </w:pPr>
                </w:p>
              </w:tc>
              <w:tc>
                <w:tcPr>
                  <w:tcW w:w="2142" w:type="pct"/>
                  <w:vAlign w:val="center"/>
                </w:tcPr>
                <w:p w14:paraId="4296904B">
                  <w:pPr>
                    <w:jc w:val="center"/>
                    <w:rPr>
                      <w:rFonts w:hint="eastAsia" w:eastAsia="宋体"/>
                      <w:szCs w:val="21"/>
                      <w:lang w:eastAsia="zh-CN" w:bidi="ar"/>
                    </w:rPr>
                  </w:pPr>
                  <w:r>
                    <w:rPr>
                      <w:szCs w:val="21"/>
                      <w:lang w:bidi="ar"/>
                    </w:rPr>
                    <w:t>无组织排放监控浓度限值（mg/m</w:t>
                  </w:r>
                  <w:r>
                    <w:rPr>
                      <w:szCs w:val="21"/>
                      <w:vertAlign w:val="superscript"/>
                      <w:lang w:bidi="ar"/>
                    </w:rPr>
                    <w:t>3</w:t>
                  </w:r>
                  <w:r>
                    <w:rPr>
                      <w:rFonts w:hint="eastAsia"/>
                      <w:szCs w:val="21"/>
                      <w:lang w:eastAsia="zh-CN" w:bidi="ar"/>
                    </w:rPr>
                    <w:t>）</w:t>
                  </w:r>
                </w:p>
              </w:tc>
              <w:tc>
                <w:tcPr>
                  <w:tcW w:w="2291" w:type="pct"/>
                  <w:vMerge w:val="continue"/>
                  <w:vAlign w:val="center"/>
                </w:tcPr>
                <w:p w14:paraId="0228D3F3">
                  <w:pPr>
                    <w:jc w:val="center"/>
                    <w:rPr>
                      <w:szCs w:val="21"/>
                      <w:lang w:bidi="ar"/>
                    </w:rPr>
                  </w:pPr>
                </w:p>
              </w:tc>
            </w:tr>
            <w:tr w14:paraId="06EB16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pct"/>
                  <w:vAlign w:val="center"/>
                </w:tcPr>
                <w:p w14:paraId="4DFE909C">
                  <w:pPr>
                    <w:jc w:val="center"/>
                    <w:rPr>
                      <w:szCs w:val="21"/>
                      <w:lang w:bidi="ar"/>
                    </w:rPr>
                  </w:pPr>
                  <w:r>
                    <w:rPr>
                      <w:szCs w:val="21"/>
                      <w:lang w:bidi="ar"/>
                    </w:rPr>
                    <w:t>颗粒物</w:t>
                  </w:r>
                </w:p>
              </w:tc>
              <w:tc>
                <w:tcPr>
                  <w:tcW w:w="2142" w:type="pct"/>
                  <w:vAlign w:val="center"/>
                </w:tcPr>
                <w:p w14:paraId="52BEF4C4">
                  <w:pPr>
                    <w:jc w:val="center"/>
                    <w:rPr>
                      <w:szCs w:val="21"/>
                      <w:lang w:bidi="ar"/>
                    </w:rPr>
                  </w:pPr>
                  <w:r>
                    <w:rPr>
                      <w:szCs w:val="21"/>
                      <w:lang w:bidi="ar"/>
                    </w:rPr>
                    <w:t>1.0</w:t>
                  </w:r>
                </w:p>
              </w:tc>
              <w:tc>
                <w:tcPr>
                  <w:tcW w:w="2291" w:type="pct"/>
                  <w:vAlign w:val="center"/>
                </w:tcPr>
                <w:p w14:paraId="3445C9C2">
                  <w:pPr>
                    <w:wordWrap w:val="0"/>
                    <w:jc w:val="center"/>
                    <w:rPr>
                      <w:szCs w:val="21"/>
                      <w:lang w:bidi="ar"/>
                    </w:rPr>
                  </w:pPr>
                  <w:r>
                    <w:rPr>
                      <w:szCs w:val="21"/>
                      <w:lang w:bidi="ar"/>
                    </w:rPr>
                    <w:t>《大气污染物综合排放标准》（GB16297-1996</w:t>
                  </w:r>
                  <w:r>
                    <w:rPr>
                      <w:rFonts w:hint="eastAsia"/>
                      <w:szCs w:val="21"/>
                      <w:lang w:eastAsia="zh-CN" w:bidi="ar"/>
                    </w:rPr>
                    <w:t>）</w:t>
                  </w:r>
                  <w:r>
                    <w:rPr>
                      <w:szCs w:val="21"/>
                      <w:lang w:bidi="ar"/>
                    </w:rPr>
                    <w:t>表2标准</w:t>
                  </w:r>
                </w:p>
              </w:tc>
            </w:tr>
            <w:bookmarkEnd w:id="10"/>
            <w:bookmarkEnd w:id="11"/>
          </w:tbl>
          <w:p w14:paraId="52091D30">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sz w:val="24"/>
              </w:rPr>
            </w:pPr>
            <w:bookmarkStart w:id="14" w:name="_Toc7071"/>
            <w:bookmarkStart w:id="15" w:name="_Toc24181"/>
            <w:r>
              <w:rPr>
                <w:sz w:val="24"/>
              </w:rPr>
              <w:t>本项目污水处理站有组织恶臭执行《恶臭污染物排放标准》（GB14554-1993</w:t>
            </w:r>
            <w:r>
              <w:rPr>
                <w:rFonts w:hint="eastAsia"/>
                <w:sz w:val="24"/>
                <w:lang w:eastAsia="zh-CN"/>
              </w:rPr>
              <w:t>）</w:t>
            </w:r>
            <w:r>
              <w:rPr>
                <w:sz w:val="24"/>
              </w:rPr>
              <w:t>中表2恶臭污染物排放标准值标准，详见表3-</w:t>
            </w:r>
            <w:r>
              <w:rPr>
                <w:rFonts w:hint="eastAsia"/>
                <w:sz w:val="24"/>
                <w:lang w:val="en-US" w:eastAsia="zh-CN"/>
              </w:rPr>
              <w:t>7</w:t>
            </w:r>
            <w:r>
              <w:rPr>
                <w:sz w:val="24"/>
              </w:rPr>
              <w:t>。</w:t>
            </w:r>
          </w:p>
          <w:p w14:paraId="2F4D9435">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表3-</w:t>
            </w:r>
            <w:r>
              <w:rPr>
                <w:rFonts w:hint="eastAsia"/>
                <w:color w:val="auto"/>
                <w:lang w:val="en-US" w:eastAsia="zh-CN"/>
              </w:rPr>
              <w:t>7</w:t>
            </w:r>
            <w:r>
              <w:rPr>
                <w:color w:val="auto"/>
              </w:rPr>
              <w:t>恶臭污染物排放标准值</w:t>
            </w:r>
          </w:p>
          <w:tbl>
            <w:tblPr>
              <w:tblStyle w:val="30"/>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190"/>
              <w:gridCol w:w="1905"/>
              <w:gridCol w:w="3156"/>
            </w:tblGrid>
            <w:tr w14:paraId="1D718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708EB273">
                  <w:pPr>
                    <w:pStyle w:val="88"/>
                    <w:spacing w:line="240" w:lineRule="auto"/>
                    <w:ind w:firstLine="0"/>
                    <w:jc w:val="center"/>
                    <w:rPr>
                      <w:sz w:val="21"/>
                      <w:szCs w:val="21"/>
                    </w:rPr>
                  </w:pPr>
                  <w:r>
                    <w:rPr>
                      <w:sz w:val="21"/>
                      <w:szCs w:val="21"/>
                    </w:rPr>
                    <w:t>序号</w:t>
                  </w:r>
                </w:p>
              </w:tc>
              <w:tc>
                <w:tcPr>
                  <w:tcW w:w="1379" w:type="pct"/>
                  <w:tcBorders>
                    <w:tl2br w:val="nil"/>
                    <w:tr2bl w:val="nil"/>
                  </w:tcBorders>
                  <w:vAlign w:val="center"/>
                </w:tcPr>
                <w:p w14:paraId="3202CC3D">
                  <w:pPr>
                    <w:pStyle w:val="88"/>
                    <w:spacing w:line="240" w:lineRule="auto"/>
                    <w:ind w:firstLine="0"/>
                    <w:jc w:val="center"/>
                    <w:rPr>
                      <w:sz w:val="21"/>
                      <w:szCs w:val="21"/>
                    </w:rPr>
                  </w:pPr>
                  <w:r>
                    <w:rPr>
                      <w:sz w:val="21"/>
                      <w:szCs w:val="21"/>
                    </w:rPr>
                    <w:t>控制项目</w:t>
                  </w:r>
                </w:p>
              </w:tc>
              <w:tc>
                <w:tcPr>
                  <w:tcW w:w="1200" w:type="pct"/>
                  <w:tcBorders>
                    <w:tl2br w:val="nil"/>
                    <w:tr2bl w:val="nil"/>
                  </w:tcBorders>
                  <w:vAlign w:val="center"/>
                </w:tcPr>
                <w:p w14:paraId="12D4DFD1">
                  <w:pPr>
                    <w:pStyle w:val="88"/>
                    <w:spacing w:line="240" w:lineRule="auto"/>
                    <w:ind w:firstLine="0"/>
                    <w:jc w:val="center"/>
                    <w:rPr>
                      <w:rFonts w:hint="eastAsia" w:eastAsia="宋体"/>
                      <w:sz w:val="21"/>
                      <w:szCs w:val="21"/>
                      <w:lang w:eastAsia="zh-CN"/>
                    </w:rPr>
                  </w:pPr>
                  <w:r>
                    <w:rPr>
                      <w:sz w:val="21"/>
                      <w:szCs w:val="21"/>
                    </w:rPr>
                    <w:t>排气筒高度（m</w:t>
                  </w:r>
                  <w:r>
                    <w:rPr>
                      <w:rFonts w:hint="eastAsia"/>
                      <w:sz w:val="21"/>
                      <w:szCs w:val="21"/>
                      <w:lang w:eastAsia="zh-CN"/>
                    </w:rPr>
                    <w:t>）</w:t>
                  </w:r>
                </w:p>
              </w:tc>
              <w:tc>
                <w:tcPr>
                  <w:tcW w:w="1988" w:type="pct"/>
                  <w:tcBorders>
                    <w:tl2br w:val="nil"/>
                    <w:tr2bl w:val="nil"/>
                  </w:tcBorders>
                  <w:vAlign w:val="center"/>
                </w:tcPr>
                <w:p w14:paraId="6618E1E5">
                  <w:pPr>
                    <w:pStyle w:val="88"/>
                    <w:spacing w:line="240" w:lineRule="auto"/>
                    <w:ind w:firstLine="0"/>
                    <w:jc w:val="center"/>
                    <w:rPr>
                      <w:rFonts w:hint="eastAsia" w:eastAsia="宋体"/>
                      <w:sz w:val="21"/>
                      <w:szCs w:val="21"/>
                      <w:lang w:eastAsia="zh-CN"/>
                    </w:rPr>
                  </w:pPr>
                  <w:r>
                    <w:rPr>
                      <w:sz w:val="21"/>
                      <w:szCs w:val="21"/>
                    </w:rPr>
                    <w:t>排放量（kg/h</w:t>
                  </w:r>
                  <w:r>
                    <w:rPr>
                      <w:rFonts w:hint="eastAsia"/>
                      <w:sz w:val="21"/>
                      <w:szCs w:val="21"/>
                      <w:lang w:eastAsia="zh-CN"/>
                    </w:rPr>
                    <w:t>）</w:t>
                  </w:r>
                </w:p>
              </w:tc>
            </w:tr>
            <w:tr w14:paraId="15CDA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2B501C9E">
                  <w:pPr>
                    <w:pStyle w:val="88"/>
                    <w:spacing w:line="240" w:lineRule="auto"/>
                    <w:ind w:firstLine="0"/>
                    <w:jc w:val="center"/>
                    <w:rPr>
                      <w:sz w:val="21"/>
                      <w:szCs w:val="21"/>
                    </w:rPr>
                  </w:pPr>
                  <w:r>
                    <w:rPr>
                      <w:sz w:val="21"/>
                      <w:szCs w:val="21"/>
                    </w:rPr>
                    <w:t>1</w:t>
                  </w:r>
                </w:p>
              </w:tc>
              <w:tc>
                <w:tcPr>
                  <w:tcW w:w="1379" w:type="pct"/>
                  <w:tcBorders>
                    <w:tl2br w:val="nil"/>
                    <w:tr2bl w:val="nil"/>
                  </w:tcBorders>
                  <w:vAlign w:val="center"/>
                </w:tcPr>
                <w:p w14:paraId="599054C2">
                  <w:pPr>
                    <w:pStyle w:val="88"/>
                    <w:spacing w:line="240" w:lineRule="auto"/>
                    <w:ind w:firstLine="0"/>
                    <w:jc w:val="center"/>
                    <w:rPr>
                      <w:sz w:val="21"/>
                      <w:szCs w:val="21"/>
                    </w:rPr>
                  </w:pPr>
                  <w:r>
                    <w:rPr>
                      <w:sz w:val="21"/>
                      <w:szCs w:val="21"/>
                    </w:rPr>
                    <w:t>H</w:t>
                  </w:r>
                  <w:r>
                    <w:rPr>
                      <w:sz w:val="21"/>
                      <w:szCs w:val="21"/>
                      <w:vertAlign w:val="subscript"/>
                    </w:rPr>
                    <w:t>2</w:t>
                  </w:r>
                  <w:r>
                    <w:rPr>
                      <w:sz w:val="21"/>
                      <w:szCs w:val="21"/>
                    </w:rPr>
                    <w:t>S</w:t>
                  </w:r>
                </w:p>
              </w:tc>
              <w:tc>
                <w:tcPr>
                  <w:tcW w:w="1200" w:type="pct"/>
                  <w:tcBorders>
                    <w:tl2br w:val="nil"/>
                    <w:tr2bl w:val="nil"/>
                  </w:tcBorders>
                  <w:vAlign w:val="center"/>
                </w:tcPr>
                <w:p w14:paraId="43445A04">
                  <w:pPr>
                    <w:pStyle w:val="88"/>
                    <w:spacing w:line="240" w:lineRule="auto"/>
                    <w:ind w:firstLine="0"/>
                    <w:jc w:val="center"/>
                    <w:rPr>
                      <w:sz w:val="21"/>
                      <w:szCs w:val="21"/>
                    </w:rPr>
                  </w:pPr>
                  <w:r>
                    <w:rPr>
                      <w:sz w:val="21"/>
                      <w:szCs w:val="21"/>
                    </w:rPr>
                    <w:t>15</w:t>
                  </w:r>
                </w:p>
              </w:tc>
              <w:tc>
                <w:tcPr>
                  <w:tcW w:w="1988" w:type="pct"/>
                  <w:tcBorders>
                    <w:tl2br w:val="nil"/>
                    <w:tr2bl w:val="nil"/>
                  </w:tcBorders>
                  <w:vAlign w:val="center"/>
                </w:tcPr>
                <w:p w14:paraId="3E37EB62">
                  <w:pPr>
                    <w:pStyle w:val="88"/>
                    <w:spacing w:line="240" w:lineRule="auto"/>
                    <w:ind w:firstLine="0"/>
                    <w:jc w:val="center"/>
                    <w:rPr>
                      <w:sz w:val="21"/>
                      <w:szCs w:val="21"/>
                    </w:rPr>
                  </w:pPr>
                  <w:r>
                    <w:rPr>
                      <w:sz w:val="21"/>
                      <w:szCs w:val="21"/>
                    </w:rPr>
                    <w:t>0.33</w:t>
                  </w:r>
                </w:p>
              </w:tc>
            </w:tr>
            <w:tr w14:paraId="7EAE0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42B9AA89">
                  <w:pPr>
                    <w:pStyle w:val="88"/>
                    <w:spacing w:line="240" w:lineRule="auto"/>
                    <w:ind w:firstLine="0"/>
                    <w:jc w:val="center"/>
                    <w:rPr>
                      <w:sz w:val="21"/>
                      <w:szCs w:val="21"/>
                    </w:rPr>
                  </w:pPr>
                  <w:r>
                    <w:rPr>
                      <w:sz w:val="21"/>
                      <w:szCs w:val="21"/>
                    </w:rPr>
                    <w:t>2</w:t>
                  </w:r>
                </w:p>
              </w:tc>
              <w:tc>
                <w:tcPr>
                  <w:tcW w:w="1379" w:type="pct"/>
                  <w:tcBorders>
                    <w:tl2br w:val="nil"/>
                    <w:tr2bl w:val="nil"/>
                  </w:tcBorders>
                  <w:vAlign w:val="center"/>
                </w:tcPr>
                <w:p w14:paraId="46959D37">
                  <w:pPr>
                    <w:pStyle w:val="88"/>
                    <w:spacing w:line="240" w:lineRule="auto"/>
                    <w:ind w:firstLine="0"/>
                    <w:jc w:val="center"/>
                    <w:rPr>
                      <w:sz w:val="21"/>
                      <w:szCs w:val="21"/>
                    </w:rPr>
                  </w:pPr>
                  <w:r>
                    <w:rPr>
                      <w:sz w:val="21"/>
                      <w:szCs w:val="21"/>
                    </w:rPr>
                    <w:t>NH</w:t>
                  </w:r>
                  <w:r>
                    <w:rPr>
                      <w:sz w:val="21"/>
                      <w:szCs w:val="21"/>
                      <w:vertAlign w:val="subscript"/>
                    </w:rPr>
                    <w:t>3</w:t>
                  </w:r>
                </w:p>
              </w:tc>
              <w:tc>
                <w:tcPr>
                  <w:tcW w:w="1200" w:type="pct"/>
                  <w:tcBorders>
                    <w:tl2br w:val="nil"/>
                    <w:tr2bl w:val="nil"/>
                  </w:tcBorders>
                  <w:vAlign w:val="center"/>
                </w:tcPr>
                <w:p w14:paraId="36500704">
                  <w:pPr>
                    <w:pStyle w:val="88"/>
                    <w:spacing w:line="240" w:lineRule="auto"/>
                    <w:ind w:firstLine="0"/>
                    <w:jc w:val="center"/>
                    <w:rPr>
                      <w:sz w:val="21"/>
                      <w:szCs w:val="21"/>
                    </w:rPr>
                  </w:pPr>
                  <w:r>
                    <w:rPr>
                      <w:sz w:val="21"/>
                      <w:szCs w:val="21"/>
                    </w:rPr>
                    <w:t>15</w:t>
                  </w:r>
                </w:p>
              </w:tc>
              <w:tc>
                <w:tcPr>
                  <w:tcW w:w="1988" w:type="pct"/>
                  <w:tcBorders>
                    <w:tl2br w:val="nil"/>
                    <w:tr2bl w:val="nil"/>
                  </w:tcBorders>
                  <w:vAlign w:val="center"/>
                </w:tcPr>
                <w:p w14:paraId="3038ADC9">
                  <w:pPr>
                    <w:pStyle w:val="88"/>
                    <w:spacing w:line="240" w:lineRule="auto"/>
                    <w:ind w:firstLine="0"/>
                    <w:jc w:val="center"/>
                    <w:rPr>
                      <w:sz w:val="21"/>
                      <w:szCs w:val="21"/>
                    </w:rPr>
                  </w:pPr>
                  <w:r>
                    <w:rPr>
                      <w:sz w:val="21"/>
                      <w:szCs w:val="21"/>
                    </w:rPr>
                    <w:t>4.9</w:t>
                  </w:r>
                </w:p>
              </w:tc>
            </w:tr>
            <w:tr w14:paraId="07ED4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l2br w:val="nil"/>
                    <w:tr2bl w:val="nil"/>
                  </w:tcBorders>
                  <w:vAlign w:val="center"/>
                </w:tcPr>
                <w:p w14:paraId="01D4360B">
                  <w:pPr>
                    <w:pStyle w:val="88"/>
                    <w:spacing w:line="240" w:lineRule="auto"/>
                    <w:ind w:firstLine="0"/>
                    <w:jc w:val="center"/>
                    <w:rPr>
                      <w:sz w:val="21"/>
                      <w:szCs w:val="21"/>
                    </w:rPr>
                  </w:pPr>
                  <w:r>
                    <w:rPr>
                      <w:sz w:val="21"/>
                      <w:szCs w:val="21"/>
                    </w:rPr>
                    <w:t>3</w:t>
                  </w:r>
                </w:p>
              </w:tc>
              <w:tc>
                <w:tcPr>
                  <w:tcW w:w="1379" w:type="pct"/>
                  <w:tcBorders>
                    <w:tl2br w:val="nil"/>
                    <w:tr2bl w:val="nil"/>
                  </w:tcBorders>
                  <w:vAlign w:val="center"/>
                </w:tcPr>
                <w:p w14:paraId="0A955217">
                  <w:pPr>
                    <w:pStyle w:val="88"/>
                    <w:spacing w:line="240" w:lineRule="auto"/>
                    <w:ind w:firstLine="0"/>
                    <w:jc w:val="center"/>
                    <w:rPr>
                      <w:rFonts w:hint="eastAsia" w:eastAsia="宋体"/>
                      <w:sz w:val="21"/>
                      <w:szCs w:val="21"/>
                      <w:lang w:eastAsia="zh-CN"/>
                    </w:rPr>
                  </w:pPr>
                  <w:r>
                    <w:rPr>
                      <w:sz w:val="21"/>
                      <w:szCs w:val="21"/>
                    </w:rPr>
                    <w:t>臭气浓度（无量纲</w:t>
                  </w:r>
                  <w:r>
                    <w:rPr>
                      <w:rFonts w:hint="eastAsia"/>
                      <w:sz w:val="21"/>
                      <w:szCs w:val="21"/>
                      <w:lang w:eastAsia="zh-CN"/>
                    </w:rPr>
                    <w:t>）</w:t>
                  </w:r>
                </w:p>
              </w:tc>
              <w:tc>
                <w:tcPr>
                  <w:tcW w:w="1200" w:type="pct"/>
                  <w:tcBorders>
                    <w:tl2br w:val="nil"/>
                    <w:tr2bl w:val="nil"/>
                  </w:tcBorders>
                  <w:vAlign w:val="center"/>
                </w:tcPr>
                <w:p w14:paraId="0FA13ECE">
                  <w:pPr>
                    <w:pStyle w:val="88"/>
                    <w:spacing w:line="240" w:lineRule="auto"/>
                    <w:ind w:firstLine="0"/>
                    <w:jc w:val="center"/>
                    <w:rPr>
                      <w:sz w:val="21"/>
                      <w:szCs w:val="21"/>
                    </w:rPr>
                  </w:pPr>
                  <w:r>
                    <w:rPr>
                      <w:sz w:val="21"/>
                      <w:szCs w:val="21"/>
                    </w:rPr>
                    <w:t>15</w:t>
                  </w:r>
                </w:p>
              </w:tc>
              <w:tc>
                <w:tcPr>
                  <w:tcW w:w="1988" w:type="pct"/>
                  <w:tcBorders>
                    <w:tl2br w:val="nil"/>
                    <w:tr2bl w:val="nil"/>
                  </w:tcBorders>
                  <w:vAlign w:val="center"/>
                </w:tcPr>
                <w:p w14:paraId="630AB729">
                  <w:pPr>
                    <w:pStyle w:val="88"/>
                    <w:spacing w:line="240" w:lineRule="auto"/>
                    <w:ind w:firstLine="0"/>
                    <w:jc w:val="center"/>
                    <w:rPr>
                      <w:sz w:val="21"/>
                      <w:szCs w:val="21"/>
                    </w:rPr>
                  </w:pPr>
                  <w:r>
                    <w:rPr>
                      <w:sz w:val="21"/>
                      <w:szCs w:val="21"/>
                    </w:rPr>
                    <w:t>2000</w:t>
                  </w:r>
                </w:p>
              </w:tc>
            </w:tr>
          </w:tbl>
          <w:p w14:paraId="49DA72F7">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本项目污水处理站无组织恶臭执行《恶臭污染物排放标准》（GB14554-1993</w:t>
            </w:r>
            <w:r>
              <w:rPr>
                <w:rFonts w:hint="eastAsia" w:cs="Times New Roman"/>
                <w:bCs/>
                <w:kern w:val="0"/>
                <w:sz w:val="24"/>
                <w:lang w:eastAsia="zh-CN"/>
              </w:rPr>
              <w:t>）</w:t>
            </w:r>
            <w:r>
              <w:rPr>
                <w:rFonts w:hint="default" w:ascii="Times New Roman" w:hAnsi="Times New Roman" w:eastAsia="宋体" w:cs="Times New Roman"/>
                <w:bCs/>
                <w:kern w:val="0"/>
                <w:sz w:val="24"/>
              </w:rPr>
              <w:t>中表1恶臭污染物厂界标准值，详见表3-</w:t>
            </w:r>
            <w:r>
              <w:rPr>
                <w:rFonts w:hint="eastAsia" w:cs="Times New Roman"/>
                <w:bCs/>
                <w:kern w:val="0"/>
                <w:sz w:val="24"/>
                <w:lang w:val="en-US" w:eastAsia="zh-CN"/>
              </w:rPr>
              <w:t>8</w:t>
            </w:r>
            <w:r>
              <w:rPr>
                <w:rFonts w:hint="default" w:ascii="Times New Roman" w:hAnsi="Times New Roman" w:eastAsia="宋体" w:cs="Times New Roman"/>
                <w:bCs/>
                <w:kern w:val="0"/>
                <w:sz w:val="24"/>
              </w:rPr>
              <w:t>。</w:t>
            </w:r>
          </w:p>
          <w:p w14:paraId="3DAFAC3E">
            <w:pPr>
              <w:pStyle w:val="91"/>
              <w:rPr>
                <w:color w:val="auto"/>
              </w:rPr>
            </w:pPr>
            <w:r>
              <w:rPr>
                <w:color w:val="auto"/>
              </w:rPr>
              <w:t>表3-</w:t>
            </w:r>
            <w:r>
              <w:rPr>
                <w:rFonts w:hint="eastAsia"/>
                <w:color w:val="auto"/>
                <w:lang w:val="en-US" w:eastAsia="zh-CN"/>
              </w:rPr>
              <w:t xml:space="preserve">8    </w:t>
            </w:r>
            <w:r>
              <w:rPr>
                <w:color w:val="auto"/>
              </w:rPr>
              <w:t>恶臭污染物排放标准值</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3201"/>
              <w:gridCol w:w="2944"/>
            </w:tblGrid>
            <w:tr w14:paraId="254B2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694026F">
                  <w:pPr>
                    <w:pStyle w:val="88"/>
                    <w:spacing w:line="240" w:lineRule="auto"/>
                    <w:ind w:firstLine="0"/>
                    <w:jc w:val="center"/>
                    <w:rPr>
                      <w:b/>
                      <w:bCs/>
                      <w:sz w:val="21"/>
                      <w:szCs w:val="21"/>
                    </w:rPr>
                  </w:pPr>
                  <w:r>
                    <w:rPr>
                      <w:b/>
                      <w:bCs/>
                      <w:sz w:val="21"/>
                      <w:szCs w:val="21"/>
                    </w:rPr>
                    <w:t>序号</w:t>
                  </w:r>
                </w:p>
              </w:tc>
              <w:tc>
                <w:tcPr>
                  <w:tcW w:w="2016" w:type="pct"/>
                  <w:tcBorders>
                    <w:tl2br w:val="nil"/>
                    <w:tr2bl w:val="nil"/>
                  </w:tcBorders>
                  <w:vAlign w:val="center"/>
                </w:tcPr>
                <w:p w14:paraId="22AFFBCE">
                  <w:pPr>
                    <w:pStyle w:val="88"/>
                    <w:spacing w:line="240" w:lineRule="auto"/>
                    <w:ind w:firstLine="0"/>
                    <w:jc w:val="center"/>
                    <w:rPr>
                      <w:b/>
                      <w:bCs/>
                      <w:sz w:val="21"/>
                      <w:szCs w:val="21"/>
                    </w:rPr>
                  </w:pPr>
                  <w:r>
                    <w:rPr>
                      <w:b/>
                      <w:bCs/>
                      <w:sz w:val="21"/>
                      <w:szCs w:val="21"/>
                    </w:rPr>
                    <w:t>控制项目</w:t>
                  </w:r>
                </w:p>
              </w:tc>
              <w:tc>
                <w:tcPr>
                  <w:tcW w:w="1854" w:type="pct"/>
                  <w:tcBorders>
                    <w:tl2br w:val="nil"/>
                    <w:tr2bl w:val="nil"/>
                  </w:tcBorders>
                  <w:vAlign w:val="center"/>
                </w:tcPr>
                <w:p w14:paraId="01274E70">
                  <w:pPr>
                    <w:pStyle w:val="88"/>
                    <w:spacing w:line="240" w:lineRule="auto"/>
                    <w:ind w:firstLine="0"/>
                    <w:jc w:val="center"/>
                    <w:rPr>
                      <w:rFonts w:hint="eastAsia" w:eastAsia="宋体"/>
                      <w:b/>
                      <w:bCs/>
                      <w:sz w:val="21"/>
                      <w:szCs w:val="21"/>
                      <w:lang w:eastAsia="zh-CN"/>
                    </w:rPr>
                  </w:pPr>
                  <w:r>
                    <w:rPr>
                      <w:b/>
                      <w:bCs/>
                      <w:sz w:val="21"/>
                      <w:szCs w:val="21"/>
                    </w:rPr>
                    <w:t>浓度（mg/m</w:t>
                  </w:r>
                  <w:r>
                    <w:rPr>
                      <w:b/>
                      <w:bCs/>
                      <w:sz w:val="21"/>
                      <w:szCs w:val="21"/>
                      <w:vertAlign w:val="superscript"/>
                    </w:rPr>
                    <w:t>3</w:t>
                  </w:r>
                  <w:r>
                    <w:rPr>
                      <w:rFonts w:hint="eastAsia"/>
                      <w:b/>
                      <w:bCs/>
                      <w:sz w:val="21"/>
                      <w:szCs w:val="21"/>
                      <w:lang w:eastAsia="zh-CN"/>
                    </w:rPr>
                    <w:t>）</w:t>
                  </w:r>
                </w:p>
              </w:tc>
            </w:tr>
            <w:tr w14:paraId="00759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2E2A4F2A">
                  <w:pPr>
                    <w:pStyle w:val="88"/>
                    <w:spacing w:line="240" w:lineRule="auto"/>
                    <w:ind w:firstLine="0"/>
                    <w:jc w:val="center"/>
                    <w:rPr>
                      <w:sz w:val="21"/>
                      <w:szCs w:val="21"/>
                    </w:rPr>
                  </w:pPr>
                  <w:r>
                    <w:rPr>
                      <w:sz w:val="21"/>
                      <w:szCs w:val="21"/>
                    </w:rPr>
                    <w:t>1</w:t>
                  </w:r>
                </w:p>
              </w:tc>
              <w:tc>
                <w:tcPr>
                  <w:tcW w:w="2016" w:type="pct"/>
                  <w:tcBorders>
                    <w:tl2br w:val="nil"/>
                    <w:tr2bl w:val="nil"/>
                  </w:tcBorders>
                  <w:vAlign w:val="center"/>
                </w:tcPr>
                <w:p w14:paraId="22DF4CB7">
                  <w:pPr>
                    <w:pStyle w:val="88"/>
                    <w:spacing w:line="240" w:lineRule="auto"/>
                    <w:ind w:firstLine="0"/>
                    <w:jc w:val="center"/>
                    <w:rPr>
                      <w:sz w:val="21"/>
                      <w:szCs w:val="21"/>
                    </w:rPr>
                  </w:pPr>
                  <w:r>
                    <w:rPr>
                      <w:sz w:val="21"/>
                      <w:szCs w:val="21"/>
                    </w:rPr>
                    <w:t>H</w:t>
                  </w:r>
                  <w:r>
                    <w:rPr>
                      <w:sz w:val="21"/>
                      <w:szCs w:val="21"/>
                      <w:vertAlign w:val="subscript"/>
                    </w:rPr>
                    <w:t>2</w:t>
                  </w:r>
                  <w:r>
                    <w:rPr>
                      <w:sz w:val="21"/>
                      <w:szCs w:val="21"/>
                    </w:rPr>
                    <w:t>S</w:t>
                  </w:r>
                </w:p>
              </w:tc>
              <w:tc>
                <w:tcPr>
                  <w:tcW w:w="1854" w:type="pct"/>
                  <w:tcBorders>
                    <w:tl2br w:val="nil"/>
                    <w:tr2bl w:val="nil"/>
                  </w:tcBorders>
                  <w:vAlign w:val="center"/>
                </w:tcPr>
                <w:p w14:paraId="5F9DA658">
                  <w:pPr>
                    <w:pStyle w:val="88"/>
                    <w:spacing w:line="240" w:lineRule="auto"/>
                    <w:ind w:firstLine="0"/>
                    <w:jc w:val="center"/>
                    <w:rPr>
                      <w:sz w:val="21"/>
                      <w:szCs w:val="21"/>
                    </w:rPr>
                  </w:pPr>
                  <w:r>
                    <w:rPr>
                      <w:sz w:val="21"/>
                      <w:szCs w:val="21"/>
                    </w:rPr>
                    <w:t>0.06</w:t>
                  </w:r>
                </w:p>
              </w:tc>
            </w:tr>
            <w:tr w14:paraId="70B07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34FAFAB6">
                  <w:pPr>
                    <w:pStyle w:val="88"/>
                    <w:spacing w:line="240" w:lineRule="auto"/>
                    <w:ind w:firstLine="0"/>
                    <w:jc w:val="center"/>
                    <w:rPr>
                      <w:sz w:val="21"/>
                      <w:szCs w:val="21"/>
                    </w:rPr>
                  </w:pPr>
                  <w:r>
                    <w:rPr>
                      <w:sz w:val="21"/>
                      <w:szCs w:val="21"/>
                    </w:rPr>
                    <w:t>2</w:t>
                  </w:r>
                </w:p>
              </w:tc>
              <w:tc>
                <w:tcPr>
                  <w:tcW w:w="2016" w:type="pct"/>
                  <w:tcBorders>
                    <w:tl2br w:val="nil"/>
                    <w:tr2bl w:val="nil"/>
                  </w:tcBorders>
                  <w:vAlign w:val="center"/>
                </w:tcPr>
                <w:p w14:paraId="0247FAC3">
                  <w:pPr>
                    <w:pStyle w:val="88"/>
                    <w:spacing w:line="240" w:lineRule="auto"/>
                    <w:ind w:firstLine="0"/>
                    <w:jc w:val="center"/>
                    <w:rPr>
                      <w:sz w:val="21"/>
                      <w:szCs w:val="21"/>
                    </w:rPr>
                  </w:pPr>
                  <w:r>
                    <w:rPr>
                      <w:sz w:val="21"/>
                      <w:szCs w:val="21"/>
                    </w:rPr>
                    <w:t>NH</w:t>
                  </w:r>
                  <w:r>
                    <w:rPr>
                      <w:sz w:val="21"/>
                      <w:szCs w:val="21"/>
                      <w:vertAlign w:val="subscript"/>
                    </w:rPr>
                    <w:t>3</w:t>
                  </w:r>
                </w:p>
              </w:tc>
              <w:tc>
                <w:tcPr>
                  <w:tcW w:w="1854" w:type="pct"/>
                  <w:tcBorders>
                    <w:tl2br w:val="nil"/>
                    <w:tr2bl w:val="nil"/>
                  </w:tcBorders>
                  <w:vAlign w:val="center"/>
                </w:tcPr>
                <w:p w14:paraId="547959EC">
                  <w:pPr>
                    <w:pStyle w:val="88"/>
                    <w:spacing w:line="240" w:lineRule="auto"/>
                    <w:ind w:firstLine="0"/>
                    <w:jc w:val="center"/>
                    <w:rPr>
                      <w:sz w:val="21"/>
                      <w:szCs w:val="21"/>
                    </w:rPr>
                  </w:pPr>
                  <w:r>
                    <w:rPr>
                      <w:sz w:val="21"/>
                      <w:szCs w:val="21"/>
                    </w:rPr>
                    <w:t>1.5</w:t>
                  </w:r>
                </w:p>
              </w:tc>
            </w:tr>
            <w:tr w14:paraId="4B934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pct"/>
                  <w:tcBorders>
                    <w:tl2br w:val="nil"/>
                    <w:tr2bl w:val="nil"/>
                  </w:tcBorders>
                  <w:vAlign w:val="center"/>
                </w:tcPr>
                <w:p w14:paraId="195CAE0B">
                  <w:pPr>
                    <w:pStyle w:val="88"/>
                    <w:spacing w:line="240" w:lineRule="auto"/>
                    <w:ind w:firstLine="0"/>
                    <w:jc w:val="center"/>
                    <w:rPr>
                      <w:sz w:val="21"/>
                      <w:szCs w:val="21"/>
                    </w:rPr>
                  </w:pPr>
                  <w:r>
                    <w:rPr>
                      <w:sz w:val="21"/>
                      <w:szCs w:val="21"/>
                    </w:rPr>
                    <w:t>3</w:t>
                  </w:r>
                </w:p>
              </w:tc>
              <w:tc>
                <w:tcPr>
                  <w:tcW w:w="2016" w:type="pct"/>
                  <w:tcBorders>
                    <w:tl2br w:val="nil"/>
                    <w:tr2bl w:val="nil"/>
                  </w:tcBorders>
                  <w:vAlign w:val="center"/>
                </w:tcPr>
                <w:p w14:paraId="7CD5F5EF">
                  <w:pPr>
                    <w:pStyle w:val="88"/>
                    <w:spacing w:line="240" w:lineRule="auto"/>
                    <w:ind w:firstLine="0"/>
                    <w:jc w:val="center"/>
                    <w:rPr>
                      <w:rFonts w:hint="eastAsia" w:eastAsia="宋体"/>
                      <w:sz w:val="21"/>
                      <w:szCs w:val="21"/>
                      <w:lang w:eastAsia="zh-CN"/>
                    </w:rPr>
                  </w:pPr>
                  <w:r>
                    <w:rPr>
                      <w:sz w:val="21"/>
                      <w:szCs w:val="21"/>
                    </w:rPr>
                    <w:t>臭气浓度（无量纲</w:t>
                  </w:r>
                  <w:r>
                    <w:rPr>
                      <w:rFonts w:hint="eastAsia"/>
                      <w:sz w:val="21"/>
                      <w:szCs w:val="21"/>
                      <w:lang w:eastAsia="zh-CN"/>
                    </w:rPr>
                    <w:t>）</w:t>
                  </w:r>
                </w:p>
              </w:tc>
              <w:tc>
                <w:tcPr>
                  <w:tcW w:w="1854" w:type="pct"/>
                  <w:tcBorders>
                    <w:tl2br w:val="nil"/>
                    <w:tr2bl w:val="nil"/>
                  </w:tcBorders>
                  <w:vAlign w:val="center"/>
                </w:tcPr>
                <w:p w14:paraId="70354621">
                  <w:pPr>
                    <w:pStyle w:val="88"/>
                    <w:spacing w:line="240" w:lineRule="auto"/>
                    <w:ind w:firstLine="0"/>
                    <w:jc w:val="center"/>
                    <w:rPr>
                      <w:sz w:val="21"/>
                      <w:szCs w:val="21"/>
                    </w:rPr>
                  </w:pPr>
                  <w:r>
                    <w:rPr>
                      <w:sz w:val="21"/>
                      <w:szCs w:val="21"/>
                    </w:rPr>
                    <w:t>20</w:t>
                  </w:r>
                </w:p>
              </w:tc>
            </w:tr>
          </w:tbl>
          <w:p w14:paraId="5F384294">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default" w:ascii="Times New Roman" w:hAnsi="Times New Roman" w:eastAsia="宋体" w:cs="Times New Roman"/>
                <w:bCs/>
                <w:kern w:val="0"/>
                <w:sz w:val="24"/>
              </w:rPr>
            </w:pPr>
            <w:r>
              <w:rPr>
                <w:rFonts w:hint="eastAsia" w:ascii="Times New Roman" w:hAnsi="Times New Roman" w:eastAsia="宋体" w:cs="Times New Roman"/>
                <w:bCs/>
                <w:kern w:val="0"/>
                <w:sz w:val="24"/>
                <w:lang w:val="en-US" w:eastAsia="zh-CN"/>
              </w:rPr>
              <w:t>本项目运营期计划设置1</w:t>
            </w:r>
            <w:r>
              <w:rPr>
                <w:rFonts w:hint="eastAsia" w:cs="Times New Roman"/>
                <w:bCs/>
                <w:kern w:val="0"/>
                <w:sz w:val="24"/>
                <w:lang w:val="en-US" w:eastAsia="zh-CN"/>
              </w:rPr>
              <w:t>2</w:t>
            </w:r>
            <w:r>
              <w:rPr>
                <w:rFonts w:hint="eastAsia" w:ascii="Times New Roman" w:hAnsi="Times New Roman" w:eastAsia="宋体" w:cs="Times New Roman"/>
                <w:bCs/>
                <w:kern w:val="0"/>
                <w:sz w:val="24"/>
                <w:lang w:val="en-US" w:eastAsia="zh-CN"/>
              </w:rPr>
              <w:t>个灶头，</w:t>
            </w:r>
            <w:r>
              <w:rPr>
                <w:rFonts w:hint="default" w:ascii="Times New Roman" w:hAnsi="Times New Roman" w:eastAsia="宋体" w:cs="Times New Roman"/>
                <w:bCs/>
                <w:kern w:val="0"/>
                <w:sz w:val="24"/>
              </w:rPr>
              <w:t>油烟废气执行《饮食业油烟排放标准》（GB18483-2001</w:t>
            </w:r>
            <w:r>
              <w:rPr>
                <w:rFonts w:hint="eastAsia" w:cs="Times New Roman"/>
                <w:bCs/>
                <w:kern w:val="0"/>
                <w:sz w:val="24"/>
                <w:lang w:eastAsia="zh-CN"/>
              </w:rPr>
              <w:t>）</w:t>
            </w:r>
            <w:r>
              <w:rPr>
                <w:rFonts w:hint="default" w:ascii="Times New Roman" w:hAnsi="Times New Roman" w:eastAsia="宋体" w:cs="Times New Roman"/>
                <w:bCs/>
                <w:kern w:val="0"/>
                <w:sz w:val="24"/>
              </w:rPr>
              <w:t>中表1和表2标准，详见表3-</w:t>
            </w:r>
            <w:r>
              <w:rPr>
                <w:rFonts w:hint="eastAsia" w:cs="Times New Roman"/>
                <w:bCs/>
                <w:kern w:val="0"/>
                <w:sz w:val="24"/>
                <w:lang w:val="en-US" w:eastAsia="zh-CN"/>
              </w:rPr>
              <w:t>9</w:t>
            </w:r>
            <w:r>
              <w:rPr>
                <w:rFonts w:hint="default" w:ascii="Times New Roman" w:hAnsi="Times New Roman" w:eastAsia="宋体" w:cs="Times New Roman"/>
                <w:bCs/>
                <w:kern w:val="0"/>
                <w:sz w:val="24"/>
              </w:rPr>
              <w:t>。</w:t>
            </w:r>
          </w:p>
          <w:p w14:paraId="0BDABB08">
            <w:pPr>
              <w:pStyle w:val="91"/>
              <w:rPr>
                <w:rFonts w:hint="eastAsia" w:eastAsia="宋体"/>
                <w:color w:val="auto"/>
                <w:lang w:eastAsia="zh-CN"/>
              </w:rPr>
            </w:pPr>
            <w:r>
              <w:rPr>
                <w:color w:val="auto"/>
              </w:rPr>
              <w:t>表3-</w:t>
            </w:r>
            <w:r>
              <w:rPr>
                <w:rFonts w:hint="eastAsia"/>
                <w:color w:val="auto"/>
                <w:lang w:val="en-US" w:eastAsia="zh-CN"/>
              </w:rPr>
              <w:t xml:space="preserve">9 </w:t>
            </w:r>
            <w:r>
              <w:rPr>
                <w:color w:val="auto"/>
              </w:rPr>
              <w:t>饮食业油烟</w:t>
            </w:r>
            <w:r>
              <w:rPr>
                <w:rFonts w:hint="eastAsia"/>
                <w:color w:val="auto"/>
                <w:lang w:val="en-US" w:eastAsia="zh-CN"/>
              </w:rPr>
              <w:t>最高允许</w:t>
            </w:r>
            <w:r>
              <w:rPr>
                <w:color w:val="auto"/>
              </w:rPr>
              <w:t>排放</w:t>
            </w:r>
            <w:r>
              <w:rPr>
                <w:rFonts w:hint="eastAsia"/>
                <w:color w:val="auto"/>
                <w:lang w:val="en-US" w:eastAsia="zh-CN"/>
              </w:rPr>
              <w:t>浓度</w:t>
            </w:r>
            <w:r>
              <w:rPr>
                <w:color w:val="auto"/>
              </w:rPr>
              <w:t>（节选</w:t>
            </w:r>
            <w:r>
              <w:rPr>
                <w:rFonts w:hint="eastAsia"/>
                <w:color w:val="auto"/>
                <w:lang w:eastAsia="zh-CN"/>
              </w:rPr>
              <w:t>）</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52"/>
              <w:gridCol w:w="4783"/>
            </w:tblGrid>
            <w:tr w14:paraId="4CCB7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986" w:type="pct"/>
                  <w:tcBorders>
                    <w:tl2br w:val="nil"/>
                    <w:tr2bl w:val="nil"/>
                  </w:tcBorders>
                  <w:vAlign w:val="center"/>
                </w:tcPr>
                <w:p w14:paraId="67604260">
                  <w:pPr>
                    <w:adjustRightInd w:val="0"/>
                    <w:snapToGrid w:val="0"/>
                    <w:jc w:val="center"/>
                    <w:rPr>
                      <w:color w:val="auto"/>
                      <w:szCs w:val="21"/>
                    </w:rPr>
                  </w:pPr>
                  <w:r>
                    <w:rPr>
                      <w:color w:val="auto"/>
                      <w:szCs w:val="21"/>
                    </w:rPr>
                    <w:t>规模</w:t>
                  </w:r>
                </w:p>
              </w:tc>
              <w:tc>
                <w:tcPr>
                  <w:tcW w:w="3014" w:type="pct"/>
                  <w:tcBorders>
                    <w:tl2br w:val="nil"/>
                    <w:tr2bl w:val="nil"/>
                  </w:tcBorders>
                  <w:vAlign w:val="center"/>
                </w:tcPr>
                <w:p w14:paraId="3ABD1A7B">
                  <w:pPr>
                    <w:adjustRightInd w:val="0"/>
                    <w:snapToGrid w:val="0"/>
                    <w:jc w:val="center"/>
                    <w:rPr>
                      <w:color w:val="auto"/>
                      <w:szCs w:val="21"/>
                    </w:rPr>
                  </w:pPr>
                  <w:r>
                    <w:rPr>
                      <w:rFonts w:hint="eastAsia"/>
                      <w:color w:val="auto"/>
                      <w:szCs w:val="21"/>
                      <w:lang w:val="en-US" w:eastAsia="zh-CN"/>
                    </w:rPr>
                    <w:t>大</w:t>
                  </w:r>
                  <w:r>
                    <w:rPr>
                      <w:color w:val="auto"/>
                      <w:szCs w:val="21"/>
                    </w:rPr>
                    <w:t>型</w:t>
                  </w:r>
                </w:p>
              </w:tc>
            </w:tr>
            <w:tr w14:paraId="695D1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986" w:type="pct"/>
                  <w:tcBorders>
                    <w:tl2br w:val="nil"/>
                    <w:tr2bl w:val="nil"/>
                  </w:tcBorders>
                  <w:vAlign w:val="center"/>
                </w:tcPr>
                <w:p w14:paraId="1BE53420">
                  <w:pPr>
                    <w:adjustRightInd w:val="0"/>
                    <w:snapToGrid w:val="0"/>
                    <w:jc w:val="center"/>
                    <w:rPr>
                      <w:color w:val="auto"/>
                      <w:szCs w:val="21"/>
                    </w:rPr>
                  </w:pPr>
                  <w:r>
                    <w:rPr>
                      <w:color w:val="auto"/>
                      <w:szCs w:val="21"/>
                    </w:rPr>
                    <w:t>基准灶头数</w:t>
                  </w:r>
                </w:p>
              </w:tc>
              <w:tc>
                <w:tcPr>
                  <w:tcW w:w="3014" w:type="pct"/>
                  <w:tcBorders>
                    <w:tl2br w:val="nil"/>
                    <w:tr2bl w:val="nil"/>
                  </w:tcBorders>
                  <w:vAlign w:val="center"/>
                </w:tcPr>
                <w:p w14:paraId="1ECCEDD3">
                  <w:pPr>
                    <w:adjustRightInd w:val="0"/>
                    <w:snapToGrid w:val="0"/>
                    <w:jc w:val="center"/>
                    <w:rPr>
                      <w:color w:val="auto"/>
                      <w:szCs w:val="21"/>
                    </w:rPr>
                  </w:pPr>
                  <w:r>
                    <w:rPr>
                      <w:rFonts w:hint="eastAsia"/>
                      <w:color w:val="auto"/>
                      <w:szCs w:val="21"/>
                      <w:lang w:val="en-US" w:eastAsia="zh-CN"/>
                    </w:rPr>
                    <w:t>＞</w:t>
                  </w:r>
                  <w:r>
                    <w:rPr>
                      <w:color w:val="auto"/>
                      <w:szCs w:val="21"/>
                    </w:rPr>
                    <w:t>6</w:t>
                  </w:r>
                </w:p>
              </w:tc>
            </w:tr>
            <w:tr w14:paraId="27F9E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986" w:type="pct"/>
                  <w:tcBorders>
                    <w:tl2br w:val="nil"/>
                    <w:tr2bl w:val="nil"/>
                  </w:tcBorders>
                  <w:vAlign w:val="center"/>
                </w:tcPr>
                <w:p w14:paraId="162D32EF">
                  <w:pPr>
                    <w:adjustRightInd w:val="0"/>
                    <w:snapToGrid w:val="0"/>
                    <w:jc w:val="center"/>
                    <w:rPr>
                      <w:rFonts w:hint="eastAsia" w:eastAsia="宋体"/>
                      <w:color w:val="auto"/>
                      <w:szCs w:val="21"/>
                      <w:lang w:eastAsia="zh-CN"/>
                    </w:rPr>
                  </w:pPr>
                  <w:r>
                    <w:rPr>
                      <w:color w:val="auto"/>
                      <w:szCs w:val="21"/>
                    </w:rPr>
                    <w:t>最高允许排放浓度（mg/m</w:t>
                  </w:r>
                  <w:r>
                    <w:rPr>
                      <w:color w:val="auto"/>
                      <w:szCs w:val="21"/>
                      <w:vertAlign w:val="superscript"/>
                    </w:rPr>
                    <w:t>3</w:t>
                  </w:r>
                  <w:r>
                    <w:rPr>
                      <w:rFonts w:hint="eastAsia"/>
                      <w:color w:val="auto"/>
                      <w:szCs w:val="21"/>
                      <w:lang w:eastAsia="zh-CN"/>
                    </w:rPr>
                    <w:t>）</w:t>
                  </w:r>
                </w:p>
              </w:tc>
              <w:tc>
                <w:tcPr>
                  <w:tcW w:w="3014" w:type="pct"/>
                  <w:tcBorders>
                    <w:tl2br w:val="nil"/>
                    <w:tr2bl w:val="nil"/>
                  </w:tcBorders>
                  <w:vAlign w:val="center"/>
                </w:tcPr>
                <w:p w14:paraId="2840C8FD">
                  <w:pPr>
                    <w:adjustRightInd w:val="0"/>
                    <w:snapToGrid w:val="0"/>
                    <w:jc w:val="center"/>
                    <w:rPr>
                      <w:color w:val="auto"/>
                      <w:szCs w:val="21"/>
                    </w:rPr>
                  </w:pPr>
                  <w:r>
                    <w:rPr>
                      <w:color w:val="auto"/>
                      <w:szCs w:val="21"/>
                    </w:rPr>
                    <w:t>2.0</w:t>
                  </w:r>
                </w:p>
              </w:tc>
            </w:tr>
            <w:tr w14:paraId="61DEE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986" w:type="pct"/>
                  <w:tcBorders>
                    <w:tl2br w:val="nil"/>
                    <w:tr2bl w:val="nil"/>
                  </w:tcBorders>
                  <w:vAlign w:val="center"/>
                </w:tcPr>
                <w:p w14:paraId="35A2817A">
                  <w:pPr>
                    <w:adjustRightInd w:val="0"/>
                    <w:snapToGrid w:val="0"/>
                    <w:jc w:val="center"/>
                    <w:rPr>
                      <w:rFonts w:hint="eastAsia" w:eastAsia="宋体"/>
                      <w:color w:val="auto"/>
                      <w:szCs w:val="21"/>
                      <w:lang w:eastAsia="zh-CN"/>
                    </w:rPr>
                  </w:pPr>
                  <w:r>
                    <w:rPr>
                      <w:color w:val="auto"/>
                      <w:szCs w:val="21"/>
                    </w:rPr>
                    <w:t>净化设施最低去除效率（%</w:t>
                  </w:r>
                  <w:r>
                    <w:rPr>
                      <w:rFonts w:hint="eastAsia"/>
                      <w:color w:val="auto"/>
                      <w:szCs w:val="21"/>
                      <w:lang w:eastAsia="zh-CN"/>
                    </w:rPr>
                    <w:t>）</w:t>
                  </w:r>
                </w:p>
              </w:tc>
              <w:tc>
                <w:tcPr>
                  <w:tcW w:w="3014" w:type="pct"/>
                  <w:tcBorders>
                    <w:tl2br w:val="nil"/>
                    <w:tr2bl w:val="nil"/>
                  </w:tcBorders>
                  <w:vAlign w:val="center"/>
                </w:tcPr>
                <w:p w14:paraId="3BD73706">
                  <w:pPr>
                    <w:adjustRightInd w:val="0"/>
                    <w:snapToGrid w:val="0"/>
                    <w:jc w:val="center"/>
                    <w:rPr>
                      <w:color w:val="auto"/>
                      <w:szCs w:val="21"/>
                    </w:rPr>
                  </w:pPr>
                  <w:r>
                    <w:rPr>
                      <w:rFonts w:hint="eastAsia"/>
                      <w:color w:val="auto"/>
                      <w:szCs w:val="21"/>
                      <w:lang w:val="en-US" w:eastAsia="zh-CN"/>
                    </w:rPr>
                    <w:t>8</w:t>
                  </w:r>
                  <w:r>
                    <w:rPr>
                      <w:color w:val="auto"/>
                      <w:szCs w:val="21"/>
                    </w:rPr>
                    <w:t>5</w:t>
                  </w:r>
                </w:p>
              </w:tc>
            </w:tr>
          </w:tbl>
          <w:p w14:paraId="049743EF">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default" w:ascii="Times New Roman" w:hAnsi="Times New Roman" w:eastAsia="宋体" w:cs="Times New Roman"/>
                <w:bCs/>
                <w:kern w:val="0"/>
                <w:sz w:val="24"/>
              </w:rPr>
            </w:pPr>
            <w:r>
              <w:rPr>
                <w:rFonts w:hint="default" w:ascii="Times New Roman" w:hAnsi="Times New Roman" w:eastAsia="宋体" w:cs="Times New Roman"/>
                <w:bCs/>
                <w:color w:val="auto"/>
                <w:kern w:val="0"/>
                <w:sz w:val="24"/>
              </w:rPr>
              <w:t>（</w:t>
            </w:r>
            <w:r>
              <w:rPr>
                <w:rFonts w:hint="eastAsia" w:ascii="Times New Roman" w:hAnsi="Times New Roman" w:eastAsia="宋体" w:cs="Times New Roman"/>
                <w:bCs/>
                <w:color w:val="auto"/>
                <w:kern w:val="0"/>
                <w:sz w:val="24"/>
                <w:lang w:val="en-US" w:eastAsia="zh-CN"/>
              </w:rPr>
              <w:t>2</w:t>
            </w:r>
            <w:r>
              <w:rPr>
                <w:rFonts w:hint="eastAsia" w:cs="Times New Roman"/>
                <w:bCs/>
                <w:color w:val="auto"/>
                <w:kern w:val="0"/>
                <w:sz w:val="24"/>
                <w:lang w:eastAsia="zh-CN"/>
              </w:rPr>
              <w:t>）</w:t>
            </w:r>
            <w:r>
              <w:rPr>
                <w:rFonts w:hint="default" w:ascii="Times New Roman" w:hAnsi="Times New Roman" w:eastAsia="宋体" w:cs="Times New Roman"/>
                <w:bCs/>
                <w:color w:val="auto"/>
                <w:kern w:val="0"/>
                <w:sz w:val="24"/>
              </w:rPr>
              <w:t>废水</w:t>
            </w:r>
          </w:p>
          <w:p w14:paraId="40A506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本项目</w:t>
            </w:r>
            <w:r>
              <w:rPr>
                <w:rFonts w:hint="eastAsia" w:ascii="宋体" w:hAnsi="宋体" w:eastAsia="宋体" w:cs="宋体"/>
                <w:sz w:val="24"/>
                <w:szCs w:val="24"/>
                <w:lang w:val="en-US" w:eastAsia="zh-CN"/>
              </w:rPr>
              <w:t>生活污水排放执行</w:t>
            </w:r>
            <w:r>
              <w:rPr>
                <w:rFonts w:hint="eastAsia" w:ascii="宋体" w:hAnsi="宋体" w:eastAsia="宋体" w:cs="宋体"/>
                <w:sz w:val="24"/>
                <w:szCs w:val="24"/>
              </w:rPr>
              <w:t>《污水综合排放标准》（GB8978-1996</w:t>
            </w:r>
            <w:r>
              <w:rPr>
                <w:rFonts w:hint="eastAsia" w:ascii="宋体" w:hAnsi="宋体" w:cs="宋体"/>
                <w:sz w:val="24"/>
                <w:szCs w:val="24"/>
                <w:lang w:eastAsia="zh-CN"/>
              </w:rPr>
              <w:t>）</w:t>
            </w:r>
            <w:r>
              <w:rPr>
                <w:rFonts w:hint="eastAsia" w:ascii="宋体" w:hAnsi="宋体" w:eastAsia="宋体" w:cs="宋体"/>
                <w:sz w:val="24"/>
                <w:szCs w:val="24"/>
                <w:lang w:val="en-US" w:eastAsia="zh-CN"/>
              </w:rPr>
              <w:t>表4中</w:t>
            </w:r>
            <w:r>
              <w:rPr>
                <w:rFonts w:hint="eastAsia" w:ascii="宋体" w:hAnsi="宋体" w:eastAsia="宋体" w:cs="宋体"/>
                <w:sz w:val="24"/>
                <w:szCs w:val="24"/>
              </w:rPr>
              <w:t>三级标准</w:t>
            </w:r>
            <w:r>
              <w:rPr>
                <w:rFonts w:hint="eastAsia" w:ascii="宋体" w:hAnsi="宋体" w:eastAsia="宋体" w:cs="宋体"/>
                <w:sz w:val="24"/>
                <w:szCs w:val="24"/>
                <w:lang w:val="en-US" w:eastAsia="zh-CN"/>
              </w:rPr>
              <w:t>，</w:t>
            </w:r>
            <w:r>
              <w:rPr>
                <w:rFonts w:hint="eastAsia" w:ascii="宋体" w:hAnsi="宋体" w:eastAsia="宋体" w:cs="宋体"/>
                <w:sz w:val="24"/>
                <w:szCs w:val="24"/>
              </w:rPr>
              <w:t>生产废水</w:t>
            </w:r>
            <w:r>
              <w:rPr>
                <w:rFonts w:hint="eastAsia" w:ascii="宋体" w:hAnsi="宋体" w:eastAsia="宋体" w:cs="宋体"/>
                <w:sz w:val="24"/>
                <w:szCs w:val="24"/>
                <w:lang w:val="en-US" w:eastAsia="zh-CN"/>
              </w:rPr>
              <w:t>排放执行《肉类加工工业水污染物排放标准》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GB13457-92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中表3中三级标准，故本项目生产、生活废水和食品产业园内生产、生活废水经配套污水处理站处理后达到《肉类加工工业水污染物排放标准》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GB13457-92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中表3三级排放标准后排入市政污水管网，最终进入库尔勒金城洁净排水有限责任公司库尔勒市老城区污水处理厂深度处理。</w:t>
            </w:r>
          </w:p>
          <w:p w14:paraId="4BEC84FD">
            <w:pPr>
              <w:pStyle w:val="9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color w:val="auto"/>
                <w:sz w:val="24"/>
                <w:lang w:eastAsia="zh-CN"/>
              </w:rPr>
            </w:pPr>
            <w:r>
              <w:rPr>
                <w:color w:val="auto"/>
              </w:rPr>
              <w:t>表3-</w:t>
            </w:r>
            <w:r>
              <w:rPr>
                <w:rFonts w:hint="eastAsia"/>
                <w:color w:val="auto"/>
                <w:lang w:val="en-US" w:eastAsia="zh-CN"/>
              </w:rPr>
              <w:t>10     水污染物排放</w:t>
            </w:r>
            <w:r>
              <w:rPr>
                <w:color w:val="auto"/>
              </w:rPr>
              <w:t>标准</w:t>
            </w:r>
          </w:p>
          <w:tbl>
            <w:tblPr>
              <w:tblStyle w:val="29"/>
              <w:tblW w:w="78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61"/>
              <w:gridCol w:w="825"/>
              <w:gridCol w:w="2379"/>
              <w:gridCol w:w="2560"/>
            </w:tblGrid>
            <w:tr w14:paraId="6E3E4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42" w:type="pct"/>
                  <w:vMerge w:val="restart"/>
                  <w:vAlign w:val="center"/>
                </w:tcPr>
                <w:p w14:paraId="5BC35197">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序号</w:t>
                  </w:r>
                </w:p>
              </w:tc>
              <w:tc>
                <w:tcPr>
                  <w:tcW w:w="870" w:type="pct"/>
                  <w:vMerge w:val="restart"/>
                  <w:vAlign w:val="center"/>
                </w:tcPr>
                <w:p w14:paraId="66550473">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控制项目</w:t>
                  </w:r>
                </w:p>
              </w:tc>
              <w:tc>
                <w:tcPr>
                  <w:tcW w:w="527" w:type="pct"/>
                  <w:vMerge w:val="restart"/>
                  <w:vAlign w:val="center"/>
                </w:tcPr>
                <w:p w14:paraId="4A4D156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单位</w:t>
                  </w:r>
                </w:p>
              </w:tc>
              <w:tc>
                <w:tcPr>
                  <w:tcW w:w="3159" w:type="pct"/>
                  <w:gridSpan w:val="2"/>
                  <w:vAlign w:val="center"/>
                </w:tcPr>
                <w:p w14:paraId="2E881432">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rFonts w:hint="eastAsia" w:eastAsia="宋体"/>
                      <w:sz w:val="21"/>
                      <w:szCs w:val="21"/>
                      <w:lang w:val="en-US" w:eastAsia="zh-CN"/>
                    </w:rPr>
                  </w:pPr>
                  <w:r>
                    <w:rPr>
                      <w:rFonts w:hint="eastAsia"/>
                      <w:sz w:val="21"/>
                      <w:szCs w:val="21"/>
                      <w:lang w:val="en-US" w:eastAsia="zh-CN"/>
                    </w:rPr>
                    <w:t>标准值</w:t>
                  </w:r>
                </w:p>
              </w:tc>
            </w:tr>
            <w:tr w14:paraId="7347E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442" w:type="pct"/>
                  <w:vMerge w:val="continue"/>
                  <w:vAlign w:val="center"/>
                </w:tcPr>
                <w:p w14:paraId="278C2C12">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p>
              </w:tc>
              <w:tc>
                <w:tcPr>
                  <w:tcW w:w="870" w:type="pct"/>
                  <w:vMerge w:val="continue"/>
                  <w:vAlign w:val="center"/>
                </w:tcPr>
                <w:p w14:paraId="6BF9E7FB">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p>
              </w:tc>
              <w:tc>
                <w:tcPr>
                  <w:tcW w:w="527" w:type="pct"/>
                  <w:vMerge w:val="continue"/>
                  <w:vAlign w:val="center"/>
                </w:tcPr>
                <w:p w14:paraId="7E08ACF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p>
              </w:tc>
              <w:tc>
                <w:tcPr>
                  <w:tcW w:w="1521" w:type="pct"/>
                  <w:vAlign w:val="center"/>
                </w:tcPr>
                <w:p w14:paraId="79BBB3A6">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rFonts w:hint="default"/>
                      <w:sz w:val="21"/>
                      <w:szCs w:val="21"/>
                    </w:rPr>
                    <w:t>《污水综合排放标准》（GB8978-1996</w:t>
                  </w:r>
                  <w:r>
                    <w:rPr>
                      <w:rFonts w:hint="eastAsia"/>
                      <w:sz w:val="21"/>
                      <w:szCs w:val="21"/>
                      <w:lang w:eastAsia="zh-CN"/>
                    </w:rPr>
                    <w:t>）</w:t>
                  </w:r>
                  <w:r>
                    <w:rPr>
                      <w:rFonts w:hint="default"/>
                      <w:sz w:val="21"/>
                      <w:szCs w:val="21"/>
                    </w:rPr>
                    <w:t>三级标准</w:t>
                  </w:r>
                </w:p>
              </w:tc>
              <w:tc>
                <w:tcPr>
                  <w:tcW w:w="1637" w:type="pct"/>
                  <w:shd w:val="clear" w:color="auto" w:fill="D7D7D7" w:themeFill="background1" w:themeFillShade="D8"/>
                  <w:vAlign w:val="center"/>
                </w:tcPr>
                <w:p w14:paraId="0974BC39">
                  <w:pPr>
                    <w:jc w:val="center"/>
                    <w:rPr>
                      <w:rFonts w:hint="default"/>
                      <w:lang w:val="en-US"/>
                    </w:rPr>
                  </w:pPr>
                  <w:r>
                    <w:rPr>
                      <w:rFonts w:hint="eastAsia"/>
                      <w:lang w:val="en-US" w:eastAsia="zh-CN"/>
                    </w:rPr>
                    <w:t>《肉类加工工业水污染物排放标准》（GB13457-92）表3三级标准</w:t>
                  </w:r>
                </w:p>
              </w:tc>
            </w:tr>
            <w:tr w14:paraId="5C941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42" w:type="pct"/>
                  <w:vAlign w:val="center"/>
                </w:tcPr>
                <w:p w14:paraId="2A2ED7C8">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1</w:t>
                  </w:r>
                </w:p>
              </w:tc>
              <w:tc>
                <w:tcPr>
                  <w:tcW w:w="870" w:type="pct"/>
                  <w:vAlign w:val="center"/>
                </w:tcPr>
                <w:p w14:paraId="33DB37C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pH</w:t>
                  </w:r>
                </w:p>
              </w:tc>
              <w:tc>
                <w:tcPr>
                  <w:tcW w:w="527" w:type="pct"/>
                  <w:vAlign w:val="center"/>
                </w:tcPr>
                <w:p w14:paraId="1F4583DE">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w:t>
                  </w:r>
                </w:p>
              </w:tc>
              <w:tc>
                <w:tcPr>
                  <w:tcW w:w="1521" w:type="pct"/>
                  <w:vAlign w:val="center"/>
                </w:tcPr>
                <w:p w14:paraId="060B2FE5">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6~9</w:t>
                  </w:r>
                </w:p>
              </w:tc>
              <w:tc>
                <w:tcPr>
                  <w:tcW w:w="1637" w:type="pct"/>
                  <w:shd w:val="clear" w:color="auto" w:fill="D7D7D7" w:themeFill="background1" w:themeFillShade="D8"/>
                  <w:vAlign w:val="center"/>
                </w:tcPr>
                <w:p w14:paraId="52491F56">
                  <w:pPr>
                    <w:jc w:val="center"/>
                    <w:rPr>
                      <w:rFonts w:hint="default"/>
                      <w:lang w:val="en-US" w:eastAsia="zh-CN"/>
                    </w:rPr>
                  </w:pPr>
                  <w:r>
                    <w:t>6~</w:t>
                  </w:r>
                  <w:r>
                    <w:rPr>
                      <w:rFonts w:hint="eastAsia"/>
                      <w:lang w:val="en-US" w:eastAsia="zh-CN"/>
                    </w:rPr>
                    <w:t>8.5</w:t>
                  </w:r>
                </w:p>
              </w:tc>
            </w:tr>
            <w:tr w14:paraId="677FF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42" w:type="pct"/>
                  <w:vAlign w:val="center"/>
                </w:tcPr>
                <w:p w14:paraId="6CEAA34F">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2</w:t>
                  </w:r>
                </w:p>
              </w:tc>
              <w:tc>
                <w:tcPr>
                  <w:tcW w:w="870" w:type="pct"/>
                  <w:vAlign w:val="center"/>
                </w:tcPr>
                <w:p w14:paraId="1548415E">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化学需氧量</w:t>
                  </w:r>
                </w:p>
              </w:tc>
              <w:tc>
                <w:tcPr>
                  <w:tcW w:w="527" w:type="pct"/>
                  <w:vAlign w:val="center"/>
                </w:tcPr>
                <w:p w14:paraId="562C731A">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mg/L</w:t>
                  </w:r>
                </w:p>
              </w:tc>
              <w:tc>
                <w:tcPr>
                  <w:tcW w:w="1521" w:type="pct"/>
                  <w:vAlign w:val="center"/>
                </w:tcPr>
                <w:p w14:paraId="1464F636">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500</w:t>
                  </w:r>
                </w:p>
              </w:tc>
              <w:tc>
                <w:tcPr>
                  <w:tcW w:w="1637" w:type="pct"/>
                  <w:shd w:val="clear" w:color="auto" w:fill="D7D7D7" w:themeFill="background1" w:themeFillShade="D8"/>
                  <w:vAlign w:val="center"/>
                </w:tcPr>
                <w:p w14:paraId="144AA0B4">
                  <w:pPr>
                    <w:jc w:val="center"/>
                    <w:rPr>
                      <w:rFonts w:hint="default"/>
                      <w:lang w:val="en-US" w:eastAsia="zh-CN"/>
                    </w:rPr>
                  </w:pPr>
                  <w:r>
                    <w:rPr>
                      <w:rFonts w:hint="eastAsia"/>
                      <w:lang w:val="en-US" w:eastAsia="zh-CN"/>
                    </w:rPr>
                    <w:t>500</w:t>
                  </w:r>
                </w:p>
              </w:tc>
            </w:tr>
            <w:tr w14:paraId="46419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42" w:type="pct"/>
                  <w:vAlign w:val="center"/>
                </w:tcPr>
                <w:p w14:paraId="1F5EA8B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3</w:t>
                  </w:r>
                </w:p>
              </w:tc>
              <w:tc>
                <w:tcPr>
                  <w:tcW w:w="870" w:type="pct"/>
                  <w:vAlign w:val="center"/>
                </w:tcPr>
                <w:p w14:paraId="3DF3C839">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生化需氧量</w:t>
                  </w:r>
                </w:p>
              </w:tc>
              <w:tc>
                <w:tcPr>
                  <w:tcW w:w="527" w:type="pct"/>
                  <w:vAlign w:val="center"/>
                </w:tcPr>
                <w:p w14:paraId="3A854DBF">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mg/L</w:t>
                  </w:r>
                </w:p>
              </w:tc>
              <w:tc>
                <w:tcPr>
                  <w:tcW w:w="1521" w:type="pct"/>
                  <w:vAlign w:val="center"/>
                </w:tcPr>
                <w:p w14:paraId="3ABDE516">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300</w:t>
                  </w:r>
                </w:p>
              </w:tc>
              <w:tc>
                <w:tcPr>
                  <w:tcW w:w="1637" w:type="pct"/>
                  <w:shd w:val="clear" w:color="auto" w:fill="D7D7D7" w:themeFill="background1" w:themeFillShade="D8"/>
                  <w:vAlign w:val="center"/>
                </w:tcPr>
                <w:p w14:paraId="7AB1DBE9">
                  <w:pPr>
                    <w:jc w:val="center"/>
                    <w:rPr>
                      <w:rFonts w:hint="default"/>
                      <w:lang w:val="en-US" w:eastAsia="zh-CN"/>
                    </w:rPr>
                  </w:pPr>
                  <w:r>
                    <w:rPr>
                      <w:rFonts w:hint="eastAsia"/>
                      <w:lang w:val="en-US" w:eastAsia="zh-CN"/>
                    </w:rPr>
                    <w:t>300</w:t>
                  </w:r>
                </w:p>
              </w:tc>
            </w:tr>
            <w:tr w14:paraId="77ED2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42" w:type="pct"/>
                  <w:vAlign w:val="center"/>
                </w:tcPr>
                <w:p w14:paraId="06F44703">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4</w:t>
                  </w:r>
                </w:p>
              </w:tc>
              <w:tc>
                <w:tcPr>
                  <w:tcW w:w="870" w:type="pct"/>
                  <w:vAlign w:val="center"/>
                </w:tcPr>
                <w:p w14:paraId="6D25206B">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悬浮物</w:t>
                  </w:r>
                </w:p>
              </w:tc>
              <w:tc>
                <w:tcPr>
                  <w:tcW w:w="527" w:type="pct"/>
                  <w:vAlign w:val="center"/>
                </w:tcPr>
                <w:p w14:paraId="37C15E6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mg/L</w:t>
                  </w:r>
                </w:p>
              </w:tc>
              <w:tc>
                <w:tcPr>
                  <w:tcW w:w="1521" w:type="pct"/>
                  <w:vAlign w:val="center"/>
                </w:tcPr>
                <w:p w14:paraId="784D0E77">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400</w:t>
                  </w:r>
                </w:p>
              </w:tc>
              <w:tc>
                <w:tcPr>
                  <w:tcW w:w="1637" w:type="pct"/>
                  <w:shd w:val="clear" w:color="auto" w:fill="D7D7D7" w:themeFill="background1" w:themeFillShade="D8"/>
                  <w:vAlign w:val="center"/>
                </w:tcPr>
                <w:p w14:paraId="616D0415">
                  <w:pPr>
                    <w:jc w:val="center"/>
                    <w:rPr>
                      <w:rFonts w:hint="default"/>
                      <w:lang w:val="en-US" w:eastAsia="zh-CN"/>
                    </w:rPr>
                  </w:pPr>
                  <w:r>
                    <w:rPr>
                      <w:rFonts w:hint="eastAsia"/>
                      <w:lang w:val="en-US" w:eastAsia="zh-CN"/>
                    </w:rPr>
                    <w:t>300</w:t>
                  </w:r>
                </w:p>
              </w:tc>
            </w:tr>
            <w:tr w14:paraId="71351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42" w:type="pct"/>
                  <w:vAlign w:val="center"/>
                </w:tcPr>
                <w:p w14:paraId="20AF782F">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5</w:t>
                  </w:r>
                </w:p>
              </w:tc>
              <w:tc>
                <w:tcPr>
                  <w:tcW w:w="870" w:type="pct"/>
                  <w:vAlign w:val="center"/>
                </w:tcPr>
                <w:p w14:paraId="44D5169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氨氮</w:t>
                  </w:r>
                </w:p>
              </w:tc>
              <w:tc>
                <w:tcPr>
                  <w:tcW w:w="527" w:type="pct"/>
                  <w:vAlign w:val="center"/>
                </w:tcPr>
                <w:p w14:paraId="6CBADB37">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mg/L</w:t>
                  </w:r>
                </w:p>
              </w:tc>
              <w:tc>
                <w:tcPr>
                  <w:tcW w:w="1521" w:type="pct"/>
                  <w:vAlign w:val="center"/>
                </w:tcPr>
                <w:p w14:paraId="513AD5CC">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w:t>
                  </w:r>
                </w:p>
              </w:tc>
              <w:tc>
                <w:tcPr>
                  <w:tcW w:w="1637" w:type="pct"/>
                  <w:shd w:val="clear" w:color="auto" w:fill="D7D7D7" w:themeFill="background1" w:themeFillShade="D8"/>
                  <w:vAlign w:val="center"/>
                </w:tcPr>
                <w:p w14:paraId="67CE22DD">
                  <w:pPr>
                    <w:jc w:val="center"/>
                    <w:rPr>
                      <w:rFonts w:hint="default"/>
                      <w:lang w:val="en-US" w:eastAsia="zh-CN"/>
                    </w:rPr>
                  </w:pPr>
                  <w:r>
                    <w:rPr>
                      <w:rFonts w:hint="eastAsia"/>
                      <w:lang w:val="en-US" w:eastAsia="zh-CN"/>
                    </w:rPr>
                    <w:t>-</w:t>
                  </w:r>
                </w:p>
              </w:tc>
            </w:tr>
            <w:tr w14:paraId="773E9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42" w:type="pct"/>
                  <w:vAlign w:val="center"/>
                </w:tcPr>
                <w:p w14:paraId="0D7C6D1D">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6</w:t>
                  </w:r>
                </w:p>
              </w:tc>
              <w:tc>
                <w:tcPr>
                  <w:tcW w:w="870" w:type="pct"/>
                  <w:vAlign w:val="center"/>
                </w:tcPr>
                <w:p w14:paraId="4B97EAA7">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动植物油</w:t>
                  </w:r>
                </w:p>
              </w:tc>
              <w:tc>
                <w:tcPr>
                  <w:tcW w:w="527" w:type="pct"/>
                  <w:vAlign w:val="center"/>
                </w:tcPr>
                <w:p w14:paraId="13323DAF">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mg/L</w:t>
                  </w:r>
                </w:p>
              </w:tc>
              <w:tc>
                <w:tcPr>
                  <w:tcW w:w="1521" w:type="pct"/>
                  <w:vAlign w:val="center"/>
                </w:tcPr>
                <w:p w14:paraId="0DAE6A94">
                  <w:pPr>
                    <w:pStyle w:val="13"/>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63" w:leftChars="-30" w:right="-63" w:rightChars="-30"/>
                    <w:jc w:val="center"/>
                    <w:textAlignment w:val="auto"/>
                    <w:rPr>
                      <w:sz w:val="21"/>
                      <w:szCs w:val="21"/>
                    </w:rPr>
                  </w:pPr>
                  <w:r>
                    <w:rPr>
                      <w:sz w:val="21"/>
                      <w:szCs w:val="21"/>
                    </w:rPr>
                    <w:t>100</w:t>
                  </w:r>
                </w:p>
              </w:tc>
              <w:tc>
                <w:tcPr>
                  <w:tcW w:w="1637" w:type="pct"/>
                  <w:shd w:val="clear" w:color="auto" w:fill="D7D7D7" w:themeFill="background1" w:themeFillShade="D8"/>
                  <w:vAlign w:val="center"/>
                </w:tcPr>
                <w:p w14:paraId="700D83C2">
                  <w:pPr>
                    <w:jc w:val="center"/>
                    <w:rPr>
                      <w:rFonts w:hint="default"/>
                      <w:lang w:val="en-US" w:eastAsia="zh-CN"/>
                    </w:rPr>
                  </w:pPr>
                  <w:r>
                    <w:rPr>
                      <w:rFonts w:hint="eastAsia"/>
                      <w:lang w:val="en-US" w:eastAsia="zh-CN"/>
                    </w:rPr>
                    <w:t>60</w:t>
                  </w:r>
                </w:p>
              </w:tc>
            </w:tr>
          </w:tbl>
          <w:p w14:paraId="49BD9A31">
            <w:pPr>
              <w:pStyle w:val="94"/>
              <w:keepNext w:val="0"/>
              <w:keepLines w:val="0"/>
              <w:pageBreakBefore w:val="0"/>
              <w:widowControl/>
              <w:kinsoku/>
              <w:wordWrap/>
              <w:overflowPunct/>
              <w:topLinePunct w:val="0"/>
              <w:autoSpaceDE/>
              <w:autoSpaceDN/>
              <w:bidi w:val="0"/>
              <w:adjustRightInd w:val="0"/>
              <w:snapToGrid w:val="0"/>
              <w:spacing w:before="313" w:beforeLines="100"/>
              <w:ind w:firstLine="480" w:firstLineChars="200"/>
              <w:jc w:val="both"/>
              <w:textAlignment w:val="auto"/>
              <w:rPr>
                <w:b w:val="0"/>
                <w:bCs/>
                <w:sz w:val="24"/>
                <w:szCs w:val="24"/>
              </w:rPr>
            </w:pPr>
            <w:r>
              <w:rPr>
                <w:rFonts w:hint="eastAsia"/>
                <w:b w:val="0"/>
                <w:bCs/>
                <w:sz w:val="24"/>
                <w:szCs w:val="24"/>
                <w:lang w:val="en-US" w:eastAsia="zh-CN"/>
              </w:rPr>
              <w:t>经对比配套污水处理站排放的各污染物排放浓度限值，确定本项目生产、生活废水和产业园内生产、生活废水经配套污水处理站处理后达到《肉类加工工业水污染物排放标准》（GB13457-92）中表3三级排放限值标准后排入市政污水管网，最终进入库尔勒金城洁净排水有限责任公司库尔勒市老城区污水处理厂深度处理。</w:t>
            </w:r>
          </w:p>
          <w:p w14:paraId="6EF03D2D">
            <w:pPr>
              <w:pStyle w:val="94"/>
              <w:keepNext w:val="0"/>
              <w:keepLines w:val="0"/>
              <w:pageBreakBefore w:val="0"/>
              <w:widowControl/>
              <w:kinsoku/>
              <w:wordWrap/>
              <w:overflowPunct/>
              <w:topLinePunct w:val="0"/>
              <w:autoSpaceDE/>
              <w:autoSpaceDN/>
              <w:bidi w:val="0"/>
              <w:adjustRightInd w:val="0"/>
              <w:snapToGrid w:val="0"/>
              <w:spacing w:before="313" w:beforeLines="100"/>
              <w:ind w:firstLine="480" w:firstLineChars="200"/>
              <w:jc w:val="both"/>
              <w:textAlignment w:val="auto"/>
              <w:rPr>
                <w:b w:val="0"/>
                <w:bCs/>
                <w:sz w:val="24"/>
                <w:szCs w:val="24"/>
              </w:rPr>
            </w:pPr>
            <w:r>
              <w:rPr>
                <w:b w:val="0"/>
                <w:bCs/>
                <w:sz w:val="24"/>
                <w:szCs w:val="24"/>
              </w:rPr>
              <w:t>（3</w:t>
            </w:r>
            <w:r>
              <w:rPr>
                <w:rFonts w:hint="eastAsia"/>
                <w:b w:val="0"/>
                <w:bCs/>
                <w:sz w:val="24"/>
                <w:szCs w:val="24"/>
                <w:lang w:eastAsia="zh-CN"/>
              </w:rPr>
              <w:t>）</w:t>
            </w:r>
            <w:r>
              <w:rPr>
                <w:b w:val="0"/>
                <w:bCs/>
                <w:sz w:val="24"/>
                <w:szCs w:val="24"/>
              </w:rPr>
              <w:t>噪声</w:t>
            </w:r>
            <w:bookmarkEnd w:id="14"/>
            <w:bookmarkEnd w:id="15"/>
          </w:p>
          <w:p w14:paraId="14D9657F">
            <w:pPr>
              <w:adjustRightInd w:val="0"/>
              <w:snapToGrid w:val="0"/>
              <w:spacing w:line="360" w:lineRule="auto"/>
              <w:ind w:firstLine="480" w:firstLineChars="200"/>
              <w:rPr>
                <w:b/>
                <w:bCs/>
                <w:sz w:val="24"/>
              </w:rPr>
            </w:pPr>
            <w:r>
              <w:rPr>
                <w:bCs/>
                <w:kern w:val="0"/>
                <w:sz w:val="24"/>
              </w:rPr>
              <w:t>运营期噪声执行《工业企业厂界环境噪声排放标准》（GB12348-2008</w:t>
            </w:r>
            <w:r>
              <w:rPr>
                <w:rFonts w:hint="eastAsia"/>
                <w:bCs/>
                <w:kern w:val="0"/>
                <w:sz w:val="24"/>
                <w:lang w:eastAsia="zh-CN"/>
              </w:rPr>
              <w:t>）</w:t>
            </w:r>
            <w:r>
              <w:rPr>
                <w:bCs/>
                <w:kern w:val="0"/>
                <w:sz w:val="24"/>
              </w:rPr>
              <w:t>中2类声环境功能区标准，见表3-1</w:t>
            </w:r>
            <w:r>
              <w:rPr>
                <w:rFonts w:hint="eastAsia"/>
                <w:bCs/>
                <w:kern w:val="0"/>
                <w:sz w:val="24"/>
                <w:lang w:val="en-US" w:eastAsia="zh-CN"/>
              </w:rPr>
              <w:t>1</w:t>
            </w:r>
            <w:r>
              <w:rPr>
                <w:bCs/>
                <w:kern w:val="0"/>
                <w:sz w:val="24"/>
              </w:rPr>
              <w:t>。</w:t>
            </w:r>
          </w:p>
          <w:p w14:paraId="18B55BB6">
            <w:pPr>
              <w:pStyle w:val="91"/>
              <w:rPr>
                <w:rFonts w:hint="eastAsia" w:eastAsia="宋体"/>
                <w:color w:val="auto"/>
                <w:lang w:eastAsia="zh-CN"/>
              </w:rPr>
            </w:pPr>
            <w:r>
              <w:rPr>
                <w:color w:val="auto"/>
              </w:rPr>
              <w:t>表3-1</w:t>
            </w:r>
            <w:r>
              <w:rPr>
                <w:rFonts w:hint="eastAsia"/>
                <w:color w:val="auto"/>
                <w:lang w:val="en-US" w:eastAsia="zh-CN"/>
              </w:rPr>
              <w:t xml:space="preserve">1  </w:t>
            </w:r>
            <w:r>
              <w:rPr>
                <w:color w:val="auto"/>
              </w:rPr>
              <w:t>工业企业厂界环境噪声排放标准单位：dB（A</w:t>
            </w:r>
            <w:r>
              <w:rPr>
                <w:rFonts w:hint="eastAsia"/>
                <w:color w:val="auto"/>
                <w:lang w:eastAsia="zh-CN"/>
              </w:rPr>
              <w:t>）</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825"/>
              <w:gridCol w:w="867"/>
              <w:gridCol w:w="3601"/>
            </w:tblGrid>
            <w:tr w14:paraId="3D638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664" w:type="pct"/>
                  <w:tcBorders>
                    <w:tl2br w:val="nil"/>
                    <w:tr2bl w:val="nil"/>
                  </w:tcBorders>
                  <w:vAlign w:val="center"/>
                </w:tcPr>
                <w:p w14:paraId="474C50FB">
                  <w:pPr>
                    <w:pStyle w:val="84"/>
                    <w:widowControl/>
                    <w:spacing w:line="240" w:lineRule="auto"/>
                    <w:ind w:firstLine="0" w:firstLineChars="0"/>
                    <w:jc w:val="center"/>
                    <w:rPr>
                      <w:color w:val="auto"/>
                      <w:sz w:val="21"/>
                      <w:szCs w:val="21"/>
                    </w:rPr>
                  </w:pPr>
                  <w:r>
                    <w:rPr>
                      <w:color w:val="auto"/>
                      <w:sz w:val="21"/>
                      <w:szCs w:val="21"/>
                    </w:rPr>
                    <w:t>厂界外声环境功能区类别</w:t>
                  </w:r>
                </w:p>
              </w:tc>
              <w:tc>
                <w:tcPr>
                  <w:tcW w:w="520" w:type="pct"/>
                  <w:tcBorders>
                    <w:tl2br w:val="nil"/>
                    <w:tr2bl w:val="nil"/>
                  </w:tcBorders>
                  <w:vAlign w:val="center"/>
                </w:tcPr>
                <w:p w14:paraId="21C4C568">
                  <w:pPr>
                    <w:pStyle w:val="84"/>
                    <w:widowControl/>
                    <w:spacing w:line="240" w:lineRule="auto"/>
                    <w:ind w:firstLine="0" w:firstLineChars="0"/>
                    <w:jc w:val="center"/>
                    <w:rPr>
                      <w:color w:val="auto"/>
                      <w:sz w:val="21"/>
                      <w:szCs w:val="21"/>
                    </w:rPr>
                  </w:pPr>
                  <w:r>
                    <w:rPr>
                      <w:color w:val="auto"/>
                      <w:sz w:val="21"/>
                      <w:szCs w:val="21"/>
                    </w:rPr>
                    <w:t>昼间</w:t>
                  </w:r>
                </w:p>
              </w:tc>
              <w:tc>
                <w:tcPr>
                  <w:tcW w:w="546" w:type="pct"/>
                  <w:tcBorders>
                    <w:tl2br w:val="nil"/>
                    <w:tr2bl w:val="nil"/>
                  </w:tcBorders>
                  <w:vAlign w:val="center"/>
                </w:tcPr>
                <w:p w14:paraId="5123DF08">
                  <w:pPr>
                    <w:pStyle w:val="84"/>
                    <w:widowControl/>
                    <w:spacing w:line="240" w:lineRule="auto"/>
                    <w:ind w:firstLine="0" w:firstLineChars="0"/>
                    <w:jc w:val="center"/>
                    <w:rPr>
                      <w:color w:val="auto"/>
                      <w:sz w:val="21"/>
                      <w:szCs w:val="21"/>
                    </w:rPr>
                  </w:pPr>
                  <w:r>
                    <w:rPr>
                      <w:color w:val="auto"/>
                      <w:sz w:val="21"/>
                      <w:szCs w:val="21"/>
                    </w:rPr>
                    <w:t>夜间</w:t>
                  </w:r>
                </w:p>
              </w:tc>
              <w:tc>
                <w:tcPr>
                  <w:tcW w:w="2268" w:type="pct"/>
                  <w:tcBorders>
                    <w:tl2br w:val="nil"/>
                    <w:tr2bl w:val="nil"/>
                  </w:tcBorders>
                  <w:vAlign w:val="center"/>
                </w:tcPr>
                <w:p w14:paraId="3DBF8585">
                  <w:pPr>
                    <w:pStyle w:val="84"/>
                    <w:widowControl/>
                    <w:spacing w:line="240" w:lineRule="auto"/>
                    <w:ind w:firstLine="0" w:firstLineChars="0"/>
                    <w:jc w:val="center"/>
                    <w:rPr>
                      <w:color w:val="auto"/>
                      <w:sz w:val="21"/>
                      <w:szCs w:val="21"/>
                    </w:rPr>
                  </w:pPr>
                  <w:r>
                    <w:rPr>
                      <w:color w:val="auto"/>
                      <w:sz w:val="21"/>
                      <w:szCs w:val="21"/>
                    </w:rPr>
                    <w:t>标准来源</w:t>
                  </w:r>
                </w:p>
              </w:tc>
            </w:tr>
            <w:tr w14:paraId="530F9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64" w:type="pct"/>
                  <w:tcBorders>
                    <w:tl2br w:val="nil"/>
                    <w:tr2bl w:val="nil"/>
                  </w:tcBorders>
                  <w:vAlign w:val="center"/>
                </w:tcPr>
                <w:p w14:paraId="59C4DFA8">
                  <w:pPr>
                    <w:pStyle w:val="84"/>
                    <w:widowControl/>
                    <w:spacing w:line="240" w:lineRule="auto"/>
                    <w:ind w:firstLine="0" w:firstLineChars="0"/>
                    <w:jc w:val="center"/>
                    <w:rPr>
                      <w:color w:val="auto"/>
                      <w:sz w:val="21"/>
                      <w:szCs w:val="21"/>
                    </w:rPr>
                  </w:pPr>
                  <w:r>
                    <w:rPr>
                      <w:color w:val="auto"/>
                      <w:sz w:val="21"/>
                      <w:szCs w:val="21"/>
                    </w:rPr>
                    <w:t>2类</w:t>
                  </w:r>
                </w:p>
              </w:tc>
              <w:tc>
                <w:tcPr>
                  <w:tcW w:w="520" w:type="pct"/>
                  <w:tcBorders>
                    <w:tl2br w:val="nil"/>
                    <w:tr2bl w:val="nil"/>
                  </w:tcBorders>
                  <w:vAlign w:val="center"/>
                </w:tcPr>
                <w:p w14:paraId="0EEED836">
                  <w:pPr>
                    <w:pStyle w:val="84"/>
                    <w:widowControl/>
                    <w:spacing w:line="240" w:lineRule="auto"/>
                    <w:ind w:firstLine="0" w:firstLineChars="0"/>
                    <w:jc w:val="center"/>
                    <w:rPr>
                      <w:color w:val="auto"/>
                      <w:sz w:val="21"/>
                      <w:szCs w:val="21"/>
                    </w:rPr>
                  </w:pPr>
                  <w:r>
                    <w:rPr>
                      <w:color w:val="auto"/>
                      <w:sz w:val="21"/>
                      <w:szCs w:val="21"/>
                    </w:rPr>
                    <w:t>60</w:t>
                  </w:r>
                </w:p>
              </w:tc>
              <w:tc>
                <w:tcPr>
                  <w:tcW w:w="546" w:type="pct"/>
                  <w:tcBorders>
                    <w:tl2br w:val="nil"/>
                    <w:tr2bl w:val="nil"/>
                  </w:tcBorders>
                  <w:vAlign w:val="center"/>
                </w:tcPr>
                <w:p w14:paraId="388350F8">
                  <w:pPr>
                    <w:pStyle w:val="84"/>
                    <w:widowControl/>
                    <w:spacing w:line="240" w:lineRule="auto"/>
                    <w:ind w:firstLine="0" w:firstLineChars="0"/>
                    <w:jc w:val="center"/>
                    <w:rPr>
                      <w:color w:val="auto"/>
                      <w:sz w:val="21"/>
                      <w:szCs w:val="21"/>
                    </w:rPr>
                  </w:pPr>
                  <w:r>
                    <w:rPr>
                      <w:color w:val="auto"/>
                      <w:sz w:val="21"/>
                      <w:szCs w:val="21"/>
                    </w:rPr>
                    <w:t>50</w:t>
                  </w:r>
                </w:p>
              </w:tc>
              <w:tc>
                <w:tcPr>
                  <w:tcW w:w="2268" w:type="pct"/>
                  <w:tcBorders>
                    <w:tl2br w:val="nil"/>
                    <w:tr2bl w:val="nil"/>
                  </w:tcBorders>
                  <w:vAlign w:val="center"/>
                </w:tcPr>
                <w:p w14:paraId="4185C335">
                  <w:pPr>
                    <w:pStyle w:val="84"/>
                    <w:widowControl/>
                    <w:spacing w:line="240" w:lineRule="auto"/>
                    <w:ind w:firstLine="0" w:firstLineChars="0"/>
                    <w:jc w:val="center"/>
                    <w:rPr>
                      <w:rFonts w:hint="eastAsia" w:eastAsia="宋体"/>
                      <w:color w:val="auto"/>
                      <w:sz w:val="21"/>
                      <w:szCs w:val="21"/>
                      <w:lang w:eastAsia="zh-CN"/>
                    </w:rPr>
                  </w:pPr>
                  <w:r>
                    <w:rPr>
                      <w:color w:val="auto"/>
                      <w:sz w:val="21"/>
                      <w:szCs w:val="21"/>
                    </w:rPr>
                    <w:t>《工业企业厂界环境噪声排放标准》（GB12348-2008</w:t>
                  </w:r>
                  <w:r>
                    <w:rPr>
                      <w:rFonts w:hint="eastAsia"/>
                      <w:color w:val="auto"/>
                      <w:sz w:val="21"/>
                      <w:szCs w:val="21"/>
                      <w:lang w:eastAsia="zh-CN"/>
                    </w:rPr>
                    <w:t>）</w:t>
                  </w:r>
                </w:p>
              </w:tc>
            </w:tr>
          </w:tbl>
          <w:p w14:paraId="4E02AE63">
            <w:pPr>
              <w:keepNext w:val="0"/>
              <w:keepLines w:val="0"/>
              <w:pageBreakBefore w:val="0"/>
              <w:widowControl/>
              <w:kinsoku/>
              <w:wordWrap/>
              <w:overflowPunct/>
              <w:topLinePunct w:val="0"/>
              <w:autoSpaceDE/>
              <w:autoSpaceDN/>
              <w:bidi w:val="0"/>
              <w:adjustRightInd w:val="0"/>
              <w:snapToGrid w:val="0"/>
              <w:spacing w:before="313" w:beforeLines="100" w:line="360" w:lineRule="auto"/>
              <w:ind w:firstLine="480" w:firstLineChars="200"/>
              <w:textAlignment w:val="auto"/>
              <w:rPr>
                <w:sz w:val="24"/>
              </w:rPr>
            </w:pPr>
            <w:r>
              <w:rPr>
                <w:sz w:val="24"/>
              </w:rPr>
              <w:t>（4</w:t>
            </w:r>
            <w:r>
              <w:rPr>
                <w:rFonts w:hint="eastAsia"/>
                <w:sz w:val="24"/>
                <w:lang w:eastAsia="zh-CN"/>
              </w:rPr>
              <w:t>）</w:t>
            </w:r>
            <w:r>
              <w:rPr>
                <w:sz w:val="24"/>
              </w:rPr>
              <w:t>固废</w:t>
            </w:r>
          </w:p>
          <w:p w14:paraId="0C440974">
            <w:pPr>
              <w:pStyle w:val="105"/>
              <w:ind w:firstLine="480"/>
              <w:rPr>
                <w:b w:val="0"/>
                <w:sz w:val="24"/>
                <w:szCs w:val="24"/>
              </w:rPr>
            </w:pPr>
            <w:r>
              <w:t>生活垃圾</w:t>
            </w:r>
            <w:r>
              <w:rPr>
                <w:rFonts w:hint="eastAsia"/>
                <w:lang w:val="en-US" w:eastAsia="zh-CN"/>
              </w:rPr>
              <w:t>入场满足</w:t>
            </w:r>
            <w:r>
              <w:t>《生活垃圾填埋</w:t>
            </w:r>
            <w:r>
              <w:rPr>
                <w:rFonts w:hint="eastAsia"/>
              </w:rPr>
              <w:t>场</w:t>
            </w:r>
            <w:r>
              <w:t>污染控制标准》（GB16889-2008</w:t>
            </w:r>
            <w:r>
              <w:rPr>
                <w:rFonts w:hint="eastAsia"/>
                <w:lang w:eastAsia="zh-CN"/>
              </w:rPr>
              <w:t>）；</w:t>
            </w:r>
          </w:p>
          <w:p w14:paraId="673680AD">
            <w:pPr>
              <w:pStyle w:val="94"/>
              <w:ind w:firstLine="480" w:firstLineChars="200"/>
              <w:jc w:val="both"/>
              <w:rPr>
                <w:b w:val="0"/>
                <w:sz w:val="24"/>
                <w:szCs w:val="24"/>
              </w:rPr>
            </w:pPr>
            <w:r>
              <w:rPr>
                <w:b w:val="0"/>
                <w:sz w:val="24"/>
                <w:szCs w:val="24"/>
              </w:rPr>
              <w:t>一般固体废物贮存过程中应满足项目防渗漏、防雨淋、防扬尘等环境保护要求，一般固体废物执行《中华人民共和国固体废物污染环境防治法》（2020年9月1日起实施</w:t>
            </w:r>
            <w:r>
              <w:rPr>
                <w:rFonts w:hint="eastAsia"/>
                <w:b w:val="0"/>
                <w:sz w:val="24"/>
                <w:szCs w:val="24"/>
                <w:lang w:eastAsia="zh-CN"/>
              </w:rPr>
              <w:t>）</w:t>
            </w:r>
            <w:r>
              <w:rPr>
                <w:b w:val="0"/>
                <w:sz w:val="24"/>
                <w:szCs w:val="24"/>
              </w:rPr>
              <w:t>；</w:t>
            </w:r>
          </w:p>
          <w:p w14:paraId="210FFECC">
            <w:pPr>
              <w:pStyle w:val="94"/>
              <w:ind w:firstLine="480" w:firstLineChars="200"/>
              <w:jc w:val="both"/>
              <w:rPr>
                <w:b w:val="0"/>
                <w:sz w:val="24"/>
                <w:szCs w:val="24"/>
              </w:rPr>
            </w:pPr>
            <w:r>
              <w:rPr>
                <w:b w:val="0"/>
                <w:sz w:val="24"/>
                <w:szCs w:val="24"/>
              </w:rPr>
              <w:t>危险废物</w:t>
            </w:r>
            <w:r>
              <w:rPr>
                <w:rFonts w:hint="eastAsia"/>
                <w:b w:val="0"/>
                <w:sz w:val="24"/>
                <w:szCs w:val="24"/>
                <w:lang w:val="en-US" w:eastAsia="zh-CN"/>
              </w:rPr>
              <w:t>贮存</w:t>
            </w:r>
            <w:r>
              <w:rPr>
                <w:b w:val="0"/>
                <w:sz w:val="24"/>
                <w:szCs w:val="24"/>
              </w:rPr>
              <w:t>执行《危险废物贮存污染控制标准》（GB18597-2023</w:t>
            </w:r>
            <w:r>
              <w:rPr>
                <w:rFonts w:hint="eastAsia"/>
                <w:b w:val="0"/>
                <w:sz w:val="24"/>
                <w:szCs w:val="24"/>
                <w:lang w:eastAsia="zh-CN"/>
              </w:rPr>
              <w:t>）</w:t>
            </w:r>
            <w:r>
              <w:rPr>
                <w:b w:val="0"/>
                <w:sz w:val="24"/>
                <w:szCs w:val="24"/>
              </w:rPr>
              <w:t>中的相关规定。</w:t>
            </w:r>
          </w:p>
        </w:tc>
      </w:tr>
      <w:tr w14:paraId="7B509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836" w:type="dxa"/>
            <w:vAlign w:val="center"/>
          </w:tcPr>
          <w:p w14:paraId="1F539C1D">
            <w:pPr>
              <w:adjustRightInd w:val="0"/>
              <w:snapToGrid w:val="0"/>
              <w:jc w:val="center"/>
              <w:rPr>
                <w:b/>
                <w:bCs/>
                <w:kern w:val="0"/>
                <w:sz w:val="28"/>
                <w:szCs w:val="28"/>
              </w:rPr>
            </w:pPr>
            <w:r>
              <w:rPr>
                <w:b/>
                <w:bCs/>
                <w:kern w:val="0"/>
                <w:sz w:val="28"/>
                <w:szCs w:val="28"/>
              </w:rPr>
              <w:t>总量</w:t>
            </w:r>
          </w:p>
          <w:p w14:paraId="223499BD">
            <w:pPr>
              <w:adjustRightInd w:val="0"/>
              <w:snapToGrid w:val="0"/>
              <w:jc w:val="center"/>
              <w:rPr>
                <w:b/>
                <w:bCs/>
                <w:kern w:val="0"/>
                <w:sz w:val="28"/>
                <w:szCs w:val="28"/>
              </w:rPr>
            </w:pPr>
            <w:r>
              <w:rPr>
                <w:b/>
                <w:bCs/>
                <w:kern w:val="0"/>
                <w:sz w:val="28"/>
                <w:szCs w:val="28"/>
              </w:rPr>
              <w:t>控制</w:t>
            </w:r>
          </w:p>
          <w:p w14:paraId="62BADA58">
            <w:pPr>
              <w:adjustRightInd w:val="0"/>
              <w:snapToGrid w:val="0"/>
              <w:jc w:val="center"/>
              <w:rPr>
                <w:kern w:val="0"/>
                <w:szCs w:val="21"/>
              </w:rPr>
            </w:pPr>
            <w:r>
              <w:rPr>
                <w:b/>
                <w:bCs/>
                <w:kern w:val="0"/>
                <w:sz w:val="28"/>
                <w:szCs w:val="28"/>
              </w:rPr>
              <w:t>指标</w:t>
            </w:r>
          </w:p>
        </w:tc>
        <w:tc>
          <w:tcPr>
            <w:tcW w:w="8154" w:type="dxa"/>
            <w:vAlign w:val="center"/>
          </w:tcPr>
          <w:p w14:paraId="26CB1D73">
            <w:pPr>
              <w:pStyle w:val="105"/>
              <w:ind w:firstLine="480"/>
              <w:rPr>
                <w:color w:val="0000FF"/>
              </w:rPr>
            </w:pPr>
          </w:p>
          <w:p w14:paraId="227098B2">
            <w:pPr>
              <w:pStyle w:val="13"/>
              <w:keepNext w:val="0"/>
              <w:keepLines w:val="0"/>
              <w:suppressLineNumbers w:val="0"/>
              <w:spacing w:beforeAutospacing="0" w:afterAutospacing="0" w:line="360" w:lineRule="auto"/>
              <w:ind w:left="0" w:firstLine="480" w:firstLineChars="200"/>
              <w:rPr>
                <w:rFonts w:hint="eastAsia" w:ascii="宋体" w:hAnsi="宋体" w:cs="宋体"/>
                <w:sz w:val="24"/>
                <w:szCs w:val="24"/>
                <w:highlight w:val="none"/>
              </w:rPr>
            </w:pPr>
            <w:r>
              <w:rPr>
                <w:rFonts w:hint="eastAsia" w:ascii="宋体" w:hAnsi="宋体" w:cs="宋体"/>
                <w:sz w:val="24"/>
                <w:szCs w:val="24"/>
              </w:rPr>
              <w:t>本项目废水经</w:t>
            </w:r>
            <w:r>
              <w:rPr>
                <w:rFonts w:hint="eastAsia" w:ascii="宋体" w:hAnsi="宋体" w:cs="宋体"/>
                <w:sz w:val="24"/>
                <w:szCs w:val="24"/>
                <w:lang w:eastAsia="zh-CN"/>
              </w:rPr>
              <w:t>配套污水处理设施处理</w:t>
            </w:r>
            <w:r>
              <w:rPr>
                <w:rFonts w:hint="eastAsia" w:ascii="宋体" w:hAnsi="宋体" w:cs="宋体"/>
                <w:sz w:val="24"/>
                <w:szCs w:val="24"/>
              </w:rPr>
              <w:t>达标后排入</w:t>
            </w:r>
            <w:r>
              <w:rPr>
                <w:rFonts w:hint="eastAsia" w:ascii="宋体" w:hAnsi="宋体" w:cs="宋体"/>
                <w:sz w:val="24"/>
                <w:szCs w:val="24"/>
                <w:lang w:val="en-US" w:eastAsia="zh-CN"/>
              </w:rPr>
              <w:t>兰干乡</w:t>
            </w:r>
            <w:r>
              <w:rPr>
                <w:rFonts w:hint="eastAsia" w:ascii="宋体" w:hAnsi="宋体" w:cs="宋体"/>
                <w:sz w:val="24"/>
                <w:szCs w:val="24"/>
              </w:rPr>
              <w:t>市政下水管</w:t>
            </w:r>
            <w:r>
              <w:rPr>
                <w:rFonts w:hint="eastAsia" w:ascii="宋体" w:hAnsi="宋体" w:cs="宋体"/>
                <w:sz w:val="24"/>
                <w:szCs w:val="24"/>
                <w:highlight w:val="none"/>
              </w:rPr>
              <w:t>网最终进入</w:t>
            </w:r>
            <w:r>
              <w:rPr>
                <w:rFonts w:hint="eastAsia"/>
                <w:color w:val="auto"/>
                <w:sz w:val="24"/>
                <w:lang w:val="en-US" w:eastAsia="zh-CN"/>
              </w:rPr>
              <w:t>库尔勒金城洁净排水有限责任公司库尔勒市老城区污水处理厂</w:t>
            </w:r>
            <w:r>
              <w:rPr>
                <w:rFonts w:hint="eastAsia" w:ascii="宋体" w:hAnsi="宋体" w:cs="宋体"/>
                <w:sz w:val="24"/>
                <w:szCs w:val="24"/>
                <w:highlight w:val="none"/>
              </w:rPr>
              <w:t>，故不再申请总量指标。</w:t>
            </w:r>
          </w:p>
          <w:p w14:paraId="17616A43">
            <w:pPr>
              <w:pStyle w:val="16"/>
              <w:numPr>
                <w:ilvl w:val="0"/>
                <w:numId w:val="0"/>
              </w:numPr>
              <w:ind w:left="2040" w:hanging="360"/>
            </w:pPr>
          </w:p>
        </w:tc>
      </w:tr>
    </w:tbl>
    <w:p w14:paraId="60AFE232">
      <w:pPr>
        <w:pStyle w:val="26"/>
        <w:rPr>
          <w:rFonts w:ascii="Times New Roman" w:hAnsi="Times New Roman" w:cs="Times New Roman"/>
          <w:snapToGrid w:val="0"/>
        </w:rPr>
      </w:pPr>
      <w:r>
        <w:rPr>
          <w:rFonts w:ascii="Times New Roman" w:hAnsi="Times New Roman" w:cs="Times New Roman"/>
          <w:snapToGrid w:val="0"/>
          <w:sz w:val="36"/>
          <w:szCs w:val="36"/>
        </w:rPr>
        <w:br w:type="page"/>
      </w:r>
      <w:r>
        <w:rPr>
          <w:rFonts w:ascii="Times New Roman" w:hAnsi="Times New Roman" w:cs="Times New Roman"/>
          <w:snapToGrid w:val="0"/>
        </w:rPr>
        <w:t>四、主要环境影响和保护措施</w:t>
      </w:r>
    </w:p>
    <w:tbl>
      <w:tblPr>
        <w:tblStyle w:val="29"/>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442"/>
      </w:tblGrid>
      <w:tr w14:paraId="75593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1" w:hRule="atLeast"/>
          <w:jc w:val="center"/>
        </w:trPr>
        <w:tc>
          <w:tcPr>
            <w:tcW w:w="341" w:type="pct"/>
            <w:tcMar>
              <w:left w:w="28" w:type="dxa"/>
              <w:right w:w="28" w:type="dxa"/>
            </w:tcMar>
            <w:vAlign w:val="center"/>
          </w:tcPr>
          <w:p w14:paraId="692C25B9">
            <w:pPr>
              <w:pStyle w:val="25"/>
              <w:rPr>
                <w:rFonts w:ascii="Times New Roman" w:hAnsi="Times New Roman"/>
              </w:rPr>
            </w:pPr>
            <w:r>
              <w:rPr>
                <w:rFonts w:ascii="Times New Roman" w:hAnsi="Times New Roman"/>
              </w:rPr>
              <w:t>施工</w:t>
            </w:r>
          </w:p>
          <w:p w14:paraId="63AE4554">
            <w:pPr>
              <w:pStyle w:val="25"/>
              <w:rPr>
                <w:rFonts w:ascii="Times New Roman" w:hAnsi="Times New Roman"/>
              </w:rPr>
            </w:pPr>
            <w:r>
              <w:rPr>
                <w:rFonts w:ascii="Times New Roman" w:hAnsi="Times New Roman"/>
              </w:rPr>
              <w:t>期环</w:t>
            </w:r>
          </w:p>
          <w:p w14:paraId="6DAAE550">
            <w:pPr>
              <w:pStyle w:val="25"/>
              <w:rPr>
                <w:rFonts w:ascii="Times New Roman" w:hAnsi="Times New Roman"/>
              </w:rPr>
            </w:pPr>
            <w:r>
              <w:rPr>
                <w:rFonts w:ascii="Times New Roman" w:hAnsi="Times New Roman"/>
              </w:rPr>
              <w:t>境保</w:t>
            </w:r>
          </w:p>
          <w:p w14:paraId="1ED08D80">
            <w:pPr>
              <w:pStyle w:val="25"/>
              <w:rPr>
                <w:rFonts w:ascii="Times New Roman" w:hAnsi="Times New Roman"/>
              </w:rPr>
            </w:pPr>
            <w:r>
              <w:rPr>
                <w:rFonts w:ascii="Times New Roman" w:hAnsi="Times New Roman"/>
              </w:rPr>
              <w:t>护措</w:t>
            </w:r>
          </w:p>
          <w:p w14:paraId="5D417813">
            <w:pPr>
              <w:pStyle w:val="25"/>
              <w:rPr>
                <w:rFonts w:ascii="Times New Roman" w:hAnsi="Times New Roman"/>
                <w:sz w:val="21"/>
                <w:szCs w:val="21"/>
              </w:rPr>
            </w:pPr>
            <w:r>
              <w:rPr>
                <w:rFonts w:ascii="Times New Roman" w:hAnsi="Times New Roman"/>
              </w:rPr>
              <w:t>施</w:t>
            </w:r>
          </w:p>
        </w:tc>
        <w:tc>
          <w:tcPr>
            <w:tcW w:w="4659" w:type="pct"/>
          </w:tcPr>
          <w:p w14:paraId="604B04B9">
            <w:pPr>
              <w:pStyle w:val="5"/>
              <w:ind w:firstLine="482"/>
              <w:rPr>
                <w:rFonts w:hint="eastAsia" w:ascii="Times New Roman" w:hAnsi="Times New Roman" w:eastAsia="宋体" w:cs="Times New Roman"/>
                <w:color w:val="auto"/>
              </w:rPr>
            </w:pPr>
            <w:r>
              <w:rPr>
                <w:rFonts w:hint="eastAsia" w:ascii="Times New Roman" w:hAnsi="Times New Roman" w:eastAsia="宋体" w:cs="Times New Roman"/>
                <w:color w:val="auto"/>
              </w:rPr>
              <w:t>1、施工期大气污染防治措施</w:t>
            </w:r>
          </w:p>
          <w:p w14:paraId="157595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本项目施工过程中所产生的主要废气污染物为扬尘，施工期扬尘属于无组织排放。施工废气主要表现为场地平整、土方挖掘、基础建设等一系列施工作业所产生的扬尘和车辆、施工机械往来造成的道路扬尘。 </w:t>
            </w:r>
          </w:p>
          <w:p w14:paraId="59E996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施工扬尘污染控制措施： </w:t>
            </w:r>
          </w:p>
          <w:p w14:paraId="15CA5C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①对施工现场合理布局，对易产生扬尘的物料实行库存或者加盖篷布。 </w:t>
            </w:r>
          </w:p>
          <w:p w14:paraId="3A01D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②在施工区域，应制定洒水清扫制度，指定专人洒水清扫。 </w:t>
            </w:r>
          </w:p>
          <w:p w14:paraId="066ED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③土方施工应尽量避免大风天气作业。 </w:t>
            </w:r>
          </w:p>
          <w:p w14:paraId="179169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 xml:space="preserve">④施工现场需设立垃圾暂存点，并及时回收、清运工程垃圾与废土料等。 </w:t>
            </w:r>
          </w:p>
          <w:p w14:paraId="05A9E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⑤加强施工过程环境管理，施工单位应将环境污染有效控制，对环境有影响施的施工作业应按照国家有关的环保管理制度要求实施。</w:t>
            </w:r>
          </w:p>
          <w:p w14:paraId="63EEAA2F">
            <w:pPr>
              <w:pStyle w:val="5"/>
              <w:ind w:firstLine="482"/>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2、废水防治措施 </w:t>
            </w:r>
          </w:p>
          <w:p w14:paraId="17A1F4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期本项目施工期产生的废水主要为施工人员产生的生活污水和少量设备冲洗环废水。作为应对措施，施工单位在施工场地设置临时沉淀池，施工废水经沉淀池境处理后回用于施工过程或地面洒水降尘；施工人员食宿依托矿区。 </w:t>
            </w:r>
          </w:p>
          <w:p w14:paraId="46612C19">
            <w:pPr>
              <w:pStyle w:val="5"/>
              <w:ind w:firstLine="482"/>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 xml:space="preserve">3、噪声防治措施 </w:t>
            </w:r>
          </w:p>
          <w:p w14:paraId="752211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本项目施工期噪声主要为施工机械设备噪声和交通噪声。施工期噪声源主要措是施工机械设备，一些施工机械设备的噪声强度可达 75~95dB</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A</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 xml:space="preserve">，由此而产生施的噪声对周围区域环境有一定的影响。 </w:t>
            </w:r>
          </w:p>
          <w:p w14:paraId="7ABB2D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施工期噪声防治措施： </w:t>
            </w:r>
          </w:p>
          <w:p w14:paraId="3D4891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①合理安排施工时间：应尽可能避免大量高噪声设备同时施工。 </w:t>
            </w:r>
          </w:p>
          <w:p w14:paraId="0FE768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②合理布局施工场地：避免同一地点安装大量动力机械设备，避免局部声级过高。 </w:t>
            </w:r>
          </w:p>
          <w:p w14:paraId="53BDA2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③降低设备声级：尽量采用低噪声施工设备，机械设备可通过排气管消音器和隔离发动机振动部件的方法降低噪声；机械设备和运输车辆进行维修和养护。 </w:t>
            </w:r>
          </w:p>
          <w:p w14:paraId="1EF1F5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④对于交通噪声，来往车辆采取限制车速、禁止鸣笛等措施。 </w:t>
            </w:r>
          </w:p>
          <w:p w14:paraId="3204E0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⑤如有必要，应针对声环境保护目标设置降噪装置。</w:t>
            </w:r>
          </w:p>
          <w:p w14:paraId="53262EE0">
            <w:pPr>
              <w:pStyle w:val="5"/>
              <w:ind w:firstLine="482"/>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4、固体废物防治措施</w:t>
            </w:r>
          </w:p>
          <w:p w14:paraId="695E4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本项目施工期产生的固体废物主要有施工过程中产生的弃土、弃料等建筑垃圾和施工人员生活垃圾。 </w:t>
            </w:r>
          </w:p>
          <w:p w14:paraId="36AFBC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 xml:space="preserve">施工建筑垃圾 </w:t>
            </w:r>
          </w:p>
          <w:p w14:paraId="3CE0D6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施工过程中应将废弃的弃土、弃料等固体废物统一堆放，集中处理，回用于公路建设中，并尽快利用，以减少堆存时间，对不能利用部分及时清运出场并运至环卫部门指定地点进行处置。 </w:t>
            </w:r>
          </w:p>
          <w:p w14:paraId="6AA8F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 xml:space="preserve">施工人员生活垃圾 </w:t>
            </w:r>
          </w:p>
          <w:p w14:paraId="786828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施工人员食宿依托镇区，生活垃圾集中收集处置。</w:t>
            </w:r>
          </w:p>
          <w:p w14:paraId="4DF88862">
            <w:pPr>
              <w:bidi w:val="0"/>
              <w:jc w:val="center"/>
              <w:rPr>
                <w:color w:val="auto"/>
              </w:rPr>
            </w:pPr>
          </w:p>
        </w:tc>
      </w:tr>
      <w:tr w14:paraId="259CA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tcMar>
              <w:left w:w="28" w:type="dxa"/>
              <w:right w:w="28" w:type="dxa"/>
            </w:tcMar>
            <w:vAlign w:val="center"/>
          </w:tcPr>
          <w:p w14:paraId="32F61785">
            <w:pPr>
              <w:adjustRightInd w:val="0"/>
              <w:snapToGrid w:val="0"/>
              <w:jc w:val="center"/>
              <w:rPr>
                <w:b/>
                <w:sz w:val="28"/>
                <w:szCs w:val="28"/>
              </w:rPr>
            </w:pPr>
            <w:r>
              <w:rPr>
                <w:b/>
                <w:sz w:val="28"/>
                <w:szCs w:val="28"/>
              </w:rPr>
              <w:t>运营</w:t>
            </w:r>
          </w:p>
          <w:p w14:paraId="4E1BF5DD">
            <w:pPr>
              <w:adjustRightInd w:val="0"/>
              <w:snapToGrid w:val="0"/>
              <w:jc w:val="center"/>
              <w:rPr>
                <w:b/>
                <w:sz w:val="28"/>
                <w:szCs w:val="28"/>
              </w:rPr>
            </w:pPr>
            <w:r>
              <w:rPr>
                <w:b/>
                <w:sz w:val="28"/>
                <w:szCs w:val="28"/>
              </w:rPr>
              <w:t>期环</w:t>
            </w:r>
          </w:p>
          <w:p w14:paraId="06DC0D40">
            <w:pPr>
              <w:adjustRightInd w:val="0"/>
              <w:snapToGrid w:val="0"/>
              <w:jc w:val="center"/>
              <w:rPr>
                <w:b/>
                <w:sz w:val="28"/>
                <w:szCs w:val="28"/>
              </w:rPr>
            </w:pPr>
            <w:r>
              <w:rPr>
                <w:b/>
                <w:sz w:val="28"/>
                <w:szCs w:val="28"/>
              </w:rPr>
              <w:t>境影</w:t>
            </w:r>
          </w:p>
          <w:p w14:paraId="67C16F6E">
            <w:pPr>
              <w:adjustRightInd w:val="0"/>
              <w:snapToGrid w:val="0"/>
              <w:jc w:val="center"/>
              <w:rPr>
                <w:b/>
                <w:sz w:val="28"/>
                <w:szCs w:val="28"/>
              </w:rPr>
            </w:pPr>
            <w:r>
              <w:rPr>
                <w:b/>
                <w:sz w:val="28"/>
                <w:szCs w:val="28"/>
              </w:rPr>
              <w:t>响和</w:t>
            </w:r>
          </w:p>
          <w:p w14:paraId="2AE7879F">
            <w:pPr>
              <w:adjustRightInd w:val="0"/>
              <w:snapToGrid w:val="0"/>
              <w:jc w:val="center"/>
              <w:rPr>
                <w:b/>
                <w:sz w:val="28"/>
                <w:szCs w:val="28"/>
              </w:rPr>
            </w:pPr>
            <w:r>
              <w:rPr>
                <w:b/>
                <w:sz w:val="28"/>
                <w:szCs w:val="28"/>
              </w:rPr>
              <w:t>保护</w:t>
            </w:r>
          </w:p>
          <w:p w14:paraId="1D1791A0">
            <w:pPr>
              <w:adjustRightInd w:val="0"/>
              <w:snapToGrid w:val="0"/>
              <w:jc w:val="center"/>
              <w:rPr>
                <w:bCs/>
                <w:szCs w:val="21"/>
              </w:rPr>
            </w:pPr>
            <w:r>
              <w:rPr>
                <w:b/>
                <w:sz w:val="28"/>
                <w:szCs w:val="28"/>
              </w:rPr>
              <w:t>措施</w:t>
            </w:r>
          </w:p>
        </w:tc>
        <w:tc>
          <w:tcPr>
            <w:tcW w:w="4659" w:type="pct"/>
          </w:tcPr>
          <w:p w14:paraId="7839AFE6">
            <w:pPr>
              <w:pStyle w:val="5"/>
              <w:ind w:firstLine="482"/>
              <w:rPr>
                <w:color w:val="auto"/>
              </w:rPr>
            </w:pPr>
            <w:r>
              <w:rPr>
                <w:color w:val="auto"/>
              </w:rPr>
              <w:t>1、大气污染物</w:t>
            </w:r>
          </w:p>
          <w:p w14:paraId="3D537015">
            <w:pPr>
              <w:adjustRightInd w:val="0"/>
              <w:snapToGrid w:val="0"/>
              <w:spacing w:line="360" w:lineRule="auto"/>
              <w:ind w:firstLine="482" w:firstLineChars="200"/>
              <w:rPr>
                <w:b/>
                <w:bCs/>
                <w:color w:val="auto"/>
                <w:sz w:val="24"/>
              </w:rPr>
            </w:pPr>
            <w:r>
              <w:rPr>
                <w:b/>
                <w:bCs/>
                <w:color w:val="auto"/>
                <w:sz w:val="24"/>
              </w:rPr>
              <w:t>1.1大气环境影响分析及保护措施</w:t>
            </w:r>
          </w:p>
          <w:p w14:paraId="3D9EB3D7">
            <w:pPr>
              <w:pStyle w:val="114"/>
              <w:keepNext w:val="0"/>
              <w:keepLines w:val="0"/>
              <w:pageBreakBefore w:val="0"/>
              <w:widowControl w:val="0"/>
              <w:kinsoku/>
              <w:wordWrap/>
              <w:overflowPunct/>
              <w:topLinePunct w:val="0"/>
              <w:autoSpaceDE/>
              <w:autoSpaceDN/>
              <w:bidi w:val="0"/>
              <w:adjustRightInd/>
              <w:snapToGrid/>
              <w:spacing w:before="167" w:line="346" w:lineRule="auto"/>
              <w:ind w:left="-42" w:leftChars="-20" w:right="-57" w:firstLine="480"/>
              <w:textAlignment w:val="auto"/>
              <w:rPr>
                <w:rFonts w:hint="default" w:ascii="Times New Roman" w:hAnsi="Times New Roman" w:cs="Times New Roman"/>
                <w:color w:val="auto"/>
              </w:rPr>
            </w:pPr>
            <w:r>
              <w:rPr>
                <w:rFonts w:hint="default" w:ascii="Times New Roman" w:hAnsi="Times New Roman" w:cs="Times New Roman"/>
                <w:color w:val="auto"/>
                <w:spacing w:val="1"/>
              </w:rPr>
              <w:t>本项目运营期产生的大气污染源主要为</w:t>
            </w:r>
            <w:r>
              <w:rPr>
                <w:rFonts w:hint="eastAsia" w:ascii="Times New Roman" w:hAnsi="Times New Roman" w:cs="Times New Roman"/>
                <w:color w:val="auto"/>
                <w:spacing w:val="1"/>
                <w:lang w:val="en-US" w:eastAsia="zh-CN"/>
              </w:rPr>
              <w:t>面粉</w:t>
            </w:r>
            <w:r>
              <w:rPr>
                <w:rFonts w:hint="default" w:ascii="Times New Roman" w:hAnsi="Times New Roman" w:cs="Times New Roman"/>
                <w:color w:val="auto"/>
                <w:spacing w:val="1"/>
              </w:rPr>
              <w:t>装卸、投料产生的</w:t>
            </w:r>
            <w:r>
              <w:rPr>
                <w:rFonts w:hint="default" w:ascii="Times New Roman" w:hAnsi="Times New Roman" w:cs="Times New Roman"/>
                <w:color w:val="auto"/>
                <w:spacing w:val="1"/>
                <w:lang w:val="en-US" w:eastAsia="zh-CN"/>
              </w:rPr>
              <w:t>面粉</w:t>
            </w:r>
            <w:r>
              <w:rPr>
                <w:rFonts w:hint="default" w:ascii="Times New Roman" w:hAnsi="Times New Roman" w:cs="Times New Roman"/>
                <w:color w:val="auto"/>
                <w:spacing w:val="1"/>
              </w:rPr>
              <w:t>粉尘</w:t>
            </w:r>
            <w:r>
              <w:rPr>
                <w:rFonts w:hint="default" w:ascii="Times New Roman" w:hAnsi="Times New Roman" w:cs="Times New Roman"/>
                <w:color w:val="auto"/>
                <w:spacing w:val="10"/>
              </w:rPr>
              <w:t>，</w:t>
            </w:r>
            <w:r>
              <w:rPr>
                <w:rFonts w:hint="default" w:ascii="Times New Roman" w:hAnsi="Times New Roman" w:cs="Times New Roman"/>
                <w:color w:val="auto"/>
              </w:rPr>
              <w:t>油烟废气</w:t>
            </w:r>
            <w:r>
              <w:rPr>
                <w:rFonts w:hint="default" w:ascii="Times New Roman" w:hAnsi="Times New Roman" w:cs="Times New Roman"/>
                <w:color w:val="auto"/>
                <w:lang w:eastAsia="zh-CN"/>
              </w:rPr>
              <w:t>、</w:t>
            </w:r>
            <w:r>
              <w:rPr>
                <w:rFonts w:hint="default" w:ascii="Times New Roman" w:hAnsi="Times New Roman" w:cs="Times New Roman"/>
                <w:color w:val="auto"/>
              </w:rPr>
              <w:t>生产</w:t>
            </w:r>
            <w:r>
              <w:rPr>
                <w:rFonts w:hint="default" w:ascii="Times New Roman" w:hAnsi="Times New Roman" w:cs="Times New Roman"/>
                <w:color w:val="auto"/>
                <w:spacing w:val="-1"/>
              </w:rPr>
              <w:t>过程中产生的</w:t>
            </w:r>
            <w:r>
              <w:rPr>
                <w:rFonts w:hint="default" w:ascii="Times New Roman" w:hAnsi="Times New Roman" w:cs="Times New Roman"/>
                <w:color w:val="auto"/>
                <w:spacing w:val="-1"/>
                <w:lang w:val="en-US" w:eastAsia="zh-CN"/>
              </w:rPr>
              <w:t>食品香味</w:t>
            </w:r>
            <w:r>
              <w:rPr>
                <w:rFonts w:hint="default" w:ascii="Times New Roman" w:hAnsi="Times New Roman" w:cs="Times New Roman"/>
                <w:color w:val="auto"/>
                <w:spacing w:val="-1"/>
              </w:rPr>
              <w:t>（</w:t>
            </w:r>
            <w:r>
              <w:rPr>
                <w:rFonts w:hint="default" w:ascii="Times New Roman" w:hAnsi="Times New Roman" w:eastAsia="宋体" w:cs="Times New Roman"/>
                <w:color w:val="auto"/>
                <w:spacing w:val="-1"/>
                <w:lang w:val="en-US" w:eastAsia="zh-CN"/>
              </w:rPr>
              <w:t>恶臭</w:t>
            </w:r>
            <w:r>
              <w:rPr>
                <w:rFonts w:hint="eastAsia"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和配套污水处理设施恶臭</w:t>
            </w:r>
            <w:r>
              <w:rPr>
                <w:rFonts w:hint="default" w:ascii="Times New Roman" w:hAnsi="Times New Roman" w:cs="Times New Roman"/>
                <w:color w:val="auto"/>
                <w:spacing w:val="-1"/>
              </w:rPr>
              <w:t>。</w:t>
            </w:r>
          </w:p>
          <w:p w14:paraId="2CB1D30C">
            <w:pPr>
              <w:pStyle w:val="114"/>
              <w:keepNext w:val="0"/>
              <w:keepLines w:val="0"/>
              <w:pageBreakBefore w:val="0"/>
              <w:widowControl w:val="0"/>
              <w:kinsoku/>
              <w:wordWrap/>
              <w:overflowPunct/>
              <w:topLinePunct w:val="0"/>
              <w:autoSpaceDE/>
              <w:autoSpaceDN/>
              <w:bidi w:val="0"/>
              <w:adjustRightInd/>
              <w:snapToGrid/>
              <w:spacing w:before="35" w:line="220" w:lineRule="auto"/>
              <w:ind w:right="-57" w:firstLine="478" w:firstLineChars="200"/>
              <w:textAlignment w:val="auto"/>
              <w:rPr>
                <w:rFonts w:hint="eastAsia" w:eastAsia="宋体"/>
                <w:b/>
                <w:bCs/>
                <w:color w:val="auto"/>
                <w:lang w:eastAsia="zh-CN"/>
              </w:rPr>
            </w:pPr>
            <w:r>
              <w:rPr>
                <w:rFonts w:hint="eastAsia"/>
                <w:b/>
                <w:bCs/>
                <w:color w:val="auto"/>
                <w:spacing w:val="-1"/>
                <w:lang w:eastAsia="zh-CN"/>
              </w:rPr>
              <w:t>（</w:t>
            </w:r>
            <w:r>
              <w:rPr>
                <w:rFonts w:hint="eastAsia"/>
                <w:b/>
                <w:bCs/>
                <w:color w:val="auto"/>
                <w:spacing w:val="-1"/>
                <w:lang w:val="en-US" w:eastAsia="zh-CN"/>
              </w:rPr>
              <w:t>1</w:t>
            </w:r>
            <w:r>
              <w:rPr>
                <w:rFonts w:hint="eastAsia"/>
                <w:b/>
                <w:bCs/>
                <w:color w:val="auto"/>
                <w:spacing w:val="-1"/>
                <w:lang w:eastAsia="zh-CN"/>
              </w:rPr>
              <w:t>）</w:t>
            </w:r>
            <w:r>
              <w:rPr>
                <w:rFonts w:hint="eastAsia"/>
                <w:b/>
                <w:bCs/>
                <w:color w:val="auto"/>
                <w:spacing w:val="-1"/>
                <w:lang w:val="en-US" w:eastAsia="zh-CN"/>
              </w:rPr>
              <w:t>面粉</w:t>
            </w:r>
            <w:r>
              <w:rPr>
                <w:b/>
                <w:bCs/>
                <w:color w:val="auto"/>
                <w:spacing w:val="-1"/>
              </w:rPr>
              <w:t>装卸、投料产生的</w:t>
            </w:r>
            <w:r>
              <w:rPr>
                <w:rFonts w:hint="eastAsia"/>
                <w:b/>
                <w:bCs/>
                <w:color w:val="auto"/>
                <w:spacing w:val="-1"/>
                <w:lang w:val="en-US" w:eastAsia="zh-CN"/>
              </w:rPr>
              <w:t>面粉</w:t>
            </w:r>
            <w:r>
              <w:rPr>
                <w:b/>
                <w:bCs/>
                <w:color w:val="auto"/>
                <w:spacing w:val="-1"/>
              </w:rPr>
              <w:t>粉尘</w:t>
            </w:r>
          </w:p>
          <w:p w14:paraId="6537F9DC">
            <w:pPr>
              <w:pStyle w:val="114"/>
              <w:keepNext w:val="0"/>
              <w:keepLines w:val="0"/>
              <w:pageBreakBefore w:val="0"/>
              <w:widowControl w:val="0"/>
              <w:kinsoku/>
              <w:wordWrap/>
              <w:overflowPunct/>
              <w:topLinePunct w:val="0"/>
              <w:autoSpaceDE/>
              <w:autoSpaceDN/>
              <w:bidi w:val="0"/>
              <w:adjustRightInd/>
              <w:snapToGrid/>
              <w:spacing w:before="182" w:line="347" w:lineRule="auto"/>
              <w:ind w:left="-42" w:leftChars="-20" w:right="-57" w:firstLine="462"/>
              <w:textAlignment w:val="auto"/>
              <w:rPr>
                <w:rFonts w:hint="default" w:eastAsia="宋体"/>
                <w:color w:val="auto"/>
                <w:spacing w:val="3"/>
                <w:lang w:val="en-US" w:eastAsia="zh-CN"/>
              </w:rPr>
            </w:pPr>
            <w:r>
              <w:rPr>
                <w:rFonts w:hint="eastAsia" w:ascii="Times New Roman" w:hAnsi="Times New Roman" w:eastAsia="宋体" w:cs="Times New Roman"/>
                <w:color w:val="auto"/>
                <w:spacing w:val="1"/>
                <w:lang w:val="en-US" w:eastAsia="zh-CN"/>
              </w:rPr>
              <w:t>本项目凉皮、牛筋面加工过程中面粉的搅拌会产生少量面粉粉尘。</w:t>
            </w:r>
            <w:r>
              <w:rPr>
                <w:rFonts w:hint="eastAsia" w:ascii="Times New Roman" w:hAnsi="Times New Roman" w:eastAsia="宋体" w:cs="Times New Roman"/>
                <w:color w:val="auto"/>
                <w:spacing w:val="1"/>
              </w:rPr>
              <w:t>由于项目面粉等原料的调配为加水搅拌，且采用鼓式密闭定型机，因此产生的粉尘量很少，为无组织排放，且生产车间空间较大，本评价建议在面粉投加、搅拌的过程中，做好原料的轻拿轻放。本评价建议在面粉投加、搅拌的过程中，做好原料的轻拿轻放。同时为保证工人人身安全，工人操作时应佩戴防尘口罩</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color w:val="auto"/>
                <w:spacing w:val="1"/>
              </w:rPr>
              <w:t>将粉尘对员工的影响降至最低。综上可知</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color w:val="auto"/>
                <w:spacing w:val="1"/>
              </w:rPr>
              <w:t>项目产生的废气经处理后均可达标排放</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color w:val="auto"/>
                <w:spacing w:val="1"/>
              </w:rPr>
              <w:t>不会对员工及周围敏感点产生不良影响。建议企业在重视厂区四周绿化的前提下，应选择种植对有害气体吸收能力较强的树木，如洋槐、榆树、垂柳等，这将对废气污染物起到</w:t>
            </w:r>
            <w:r>
              <w:rPr>
                <w:rFonts w:hint="eastAsia" w:ascii="Times New Roman" w:hAnsi="Times New Roman" w:eastAsia="宋体" w:cs="Times New Roman"/>
                <w:color w:val="auto"/>
                <w:spacing w:val="1"/>
                <w:lang w:val="en-US" w:eastAsia="zh-CN"/>
              </w:rPr>
              <w:t>一</w:t>
            </w:r>
            <w:r>
              <w:rPr>
                <w:rFonts w:hint="eastAsia" w:ascii="Times New Roman" w:hAnsi="Times New Roman" w:eastAsia="宋体" w:cs="Times New Roman"/>
                <w:color w:val="auto"/>
                <w:spacing w:val="1"/>
              </w:rPr>
              <w:t>定的净化作用。</w:t>
            </w:r>
          </w:p>
          <w:p w14:paraId="54F48338">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78" w:firstLineChars="200"/>
              <w:textAlignment w:val="auto"/>
              <w:rPr>
                <w:rFonts w:hint="eastAsia"/>
                <w:b/>
                <w:bCs/>
                <w:color w:val="auto"/>
                <w:spacing w:val="-1"/>
                <w:lang w:val="en-US" w:eastAsia="zh-CN"/>
              </w:rPr>
            </w:pPr>
            <w:r>
              <w:rPr>
                <w:rFonts w:hint="eastAsia"/>
                <w:b/>
                <w:bCs/>
                <w:color w:val="auto"/>
                <w:spacing w:val="-1"/>
                <w:lang w:val="en-US" w:eastAsia="zh-CN"/>
              </w:rPr>
              <w:t>（2）油烟</w:t>
            </w:r>
          </w:p>
          <w:p w14:paraId="24D1A000">
            <w:pPr>
              <w:pStyle w:val="114"/>
              <w:keepNext w:val="0"/>
              <w:keepLines w:val="0"/>
              <w:pageBreakBefore w:val="0"/>
              <w:widowControl w:val="0"/>
              <w:kinsoku/>
              <w:wordWrap/>
              <w:overflowPunct/>
              <w:topLinePunct w:val="0"/>
              <w:autoSpaceDE/>
              <w:autoSpaceDN/>
              <w:bidi w:val="0"/>
              <w:adjustRightInd/>
              <w:snapToGrid/>
              <w:spacing w:before="167" w:line="346" w:lineRule="auto"/>
              <w:ind w:left="-42" w:leftChars="-20" w:right="-57" w:firstLine="480"/>
              <w:textAlignment w:val="auto"/>
              <w:rPr>
                <w:rFonts w:hint="eastAsia" w:ascii="Times New Roman" w:hAnsi="Times New Roman" w:eastAsia="宋体" w:cs="Times New Roman"/>
                <w:color w:val="auto"/>
                <w:spacing w:val="1"/>
                <w:lang w:val="en-US" w:eastAsia="zh-CN"/>
              </w:rPr>
            </w:pPr>
            <w:r>
              <w:rPr>
                <w:rFonts w:hint="eastAsia" w:ascii="Times New Roman" w:hAnsi="Times New Roman" w:cs="Times New Roman"/>
                <w:color w:val="auto"/>
                <w:spacing w:val="1"/>
                <w:lang w:val="en-US" w:eastAsia="zh-CN"/>
              </w:rPr>
              <w:t>制作配套调味料的</w:t>
            </w:r>
            <w:r>
              <w:rPr>
                <w:rFonts w:hint="eastAsia" w:ascii="Times New Roman" w:hAnsi="Times New Roman" w:eastAsia="宋体" w:cs="Times New Roman"/>
                <w:color w:val="auto"/>
                <w:spacing w:val="1"/>
                <w:lang w:val="en-US" w:eastAsia="zh-CN"/>
              </w:rPr>
              <w:t>油炸工序会产生油烟，一般油烟挥发量占总耗油量的2～4%，平均为2.83%，本项目生产中食用油用量为</w:t>
            </w:r>
            <w:r>
              <w:rPr>
                <w:rFonts w:hint="eastAsia" w:ascii="Times New Roman" w:hAnsi="Times New Roman" w:cs="Times New Roman"/>
                <w:color w:val="auto"/>
                <w:spacing w:val="1"/>
                <w:lang w:val="en-US" w:eastAsia="zh-CN"/>
              </w:rPr>
              <w:t>2.7</w:t>
            </w:r>
            <w:r>
              <w:rPr>
                <w:rFonts w:hint="eastAsia" w:ascii="Times New Roman" w:hAnsi="Times New Roman" w:eastAsia="宋体" w:cs="Times New Roman"/>
                <w:color w:val="auto"/>
                <w:spacing w:val="1"/>
                <w:lang w:val="en-US" w:eastAsia="zh-CN"/>
              </w:rPr>
              <w:t>t/a，则油烟产生量为</w:t>
            </w:r>
            <w:r>
              <w:rPr>
                <w:rFonts w:hint="eastAsia" w:ascii="Times New Roman" w:hAnsi="Times New Roman" w:cs="Times New Roman"/>
                <w:color w:val="auto"/>
                <w:spacing w:val="1"/>
                <w:lang w:val="en-US" w:eastAsia="zh-CN"/>
              </w:rPr>
              <w:t>0.07641</w:t>
            </w:r>
            <w:r>
              <w:rPr>
                <w:rFonts w:hint="eastAsia" w:ascii="Times New Roman" w:hAnsi="Times New Roman" w:eastAsia="宋体" w:cs="Times New Roman"/>
                <w:color w:val="auto"/>
                <w:spacing w:val="1"/>
                <w:lang w:val="en-US" w:eastAsia="zh-CN"/>
              </w:rPr>
              <w:t>t/a，油烟产生速率为0.</w:t>
            </w:r>
            <w:r>
              <w:rPr>
                <w:rFonts w:hint="eastAsia" w:ascii="Times New Roman" w:hAnsi="Times New Roman" w:cs="Times New Roman"/>
                <w:color w:val="auto"/>
                <w:spacing w:val="1"/>
                <w:lang w:val="en-US" w:eastAsia="zh-CN"/>
              </w:rPr>
              <w:t>032</w:t>
            </w:r>
            <w:r>
              <w:rPr>
                <w:rFonts w:hint="eastAsia" w:ascii="Times New Roman" w:hAnsi="Times New Roman" w:eastAsia="宋体" w:cs="Times New Roman"/>
                <w:color w:val="auto"/>
                <w:spacing w:val="1"/>
                <w:lang w:val="en-US" w:eastAsia="zh-CN"/>
              </w:rPr>
              <w:t>kg/h。企业应在每台炒锅及油炸机上方设置集气罩（风量3000m</w:t>
            </w:r>
            <w:r>
              <w:rPr>
                <w:rFonts w:hint="eastAsia" w:ascii="Times New Roman" w:hAnsi="Times New Roman" w:eastAsia="宋体" w:cs="Times New Roman"/>
                <w:color w:val="auto"/>
                <w:spacing w:val="1"/>
                <w:vertAlign w:val="superscript"/>
                <w:lang w:val="en-US" w:eastAsia="zh-CN"/>
              </w:rPr>
              <w:t>3</w:t>
            </w:r>
            <w:r>
              <w:rPr>
                <w:rFonts w:hint="eastAsia" w:ascii="Times New Roman" w:hAnsi="Times New Roman" w:eastAsia="宋体" w:cs="Times New Roman"/>
                <w:color w:val="auto"/>
                <w:spacing w:val="1"/>
                <w:lang w:val="en-US" w:eastAsia="zh-CN"/>
              </w:rPr>
              <w:t>/h</w:t>
            </w:r>
            <w:r>
              <w:rPr>
                <w:rFonts w:hint="eastAsia" w:ascii="Times New Roman" w:hAnsi="Times New Roman" w:cs="Times New Roman"/>
                <w:color w:val="auto"/>
                <w:spacing w:val="1"/>
                <w:lang w:val="en-US" w:eastAsia="zh-CN"/>
              </w:rPr>
              <w:t>）</w:t>
            </w:r>
            <w:r>
              <w:rPr>
                <w:rFonts w:hint="eastAsia" w:ascii="Times New Roman" w:hAnsi="Times New Roman" w:eastAsia="宋体" w:cs="Times New Roman"/>
                <w:color w:val="auto"/>
                <w:spacing w:val="1"/>
                <w:lang w:val="en-US" w:eastAsia="zh-CN"/>
              </w:rPr>
              <w:t>，将油烟收集至油烟净化装置（油烟去除效率为85%以上</w:t>
            </w:r>
            <w:r>
              <w:rPr>
                <w:rFonts w:hint="eastAsia" w:ascii="Times New Roman" w:hAnsi="Times New Roman" w:cs="Times New Roman"/>
                <w:color w:val="auto"/>
                <w:spacing w:val="1"/>
                <w:lang w:val="en-US" w:eastAsia="zh-CN"/>
              </w:rPr>
              <w:t>）</w:t>
            </w:r>
            <w:r>
              <w:rPr>
                <w:rFonts w:hint="eastAsia" w:ascii="Times New Roman" w:hAnsi="Times New Roman" w:eastAsia="宋体" w:cs="Times New Roman"/>
                <w:color w:val="auto"/>
                <w:spacing w:val="1"/>
                <w:lang w:val="en-US" w:eastAsia="zh-CN"/>
              </w:rPr>
              <w:t>净化处理后通过专用烟道引至屋顶空中排放。处理后的油烟浓度为</w:t>
            </w:r>
            <w:r>
              <w:rPr>
                <w:rFonts w:hint="eastAsia" w:ascii="Times New Roman" w:hAnsi="Times New Roman" w:cs="Times New Roman"/>
                <w:color w:val="auto"/>
                <w:spacing w:val="1"/>
                <w:lang w:val="en-US" w:eastAsia="zh-CN"/>
              </w:rPr>
              <w:t>1.6</w:t>
            </w:r>
            <w:r>
              <w:rPr>
                <w:rFonts w:hint="eastAsia" w:ascii="Times New Roman" w:hAnsi="Times New Roman" w:eastAsia="宋体" w:cs="Times New Roman"/>
                <w:color w:val="auto"/>
                <w:spacing w:val="1"/>
                <w:lang w:val="en-US" w:eastAsia="zh-CN"/>
              </w:rPr>
              <w:t>mg/m</w:t>
            </w:r>
            <w:r>
              <w:rPr>
                <w:rFonts w:hint="eastAsia" w:ascii="Times New Roman" w:hAnsi="Times New Roman" w:eastAsia="宋体" w:cs="Times New Roman"/>
                <w:color w:val="auto"/>
                <w:spacing w:val="1"/>
                <w:vertAlign w:val="superscript"/>
                <w:lang w:val="en-US" w:eastAsia="zh-CN"/>
              </w:rPr>
              <w:t>3</w:t>
            </w:r>
            <w:r>
              <w:rPr>
                <w:rFonts w:hint="eastAsia" w:ascii="Times New Roman" w:hAnsi="Times New Roman" w:eastAsia="宋体" w:cs="Times New Roman"/>
                <w:color w:val="auto"/>
                <w:spacing w:val="1"/>
                <w:lang w:val="en-US" w:eastAsia="zh-CN"/>
              </w:rPr>
              <w:t>，排放量为</w:t>
            </w:r>
            <w:r>
              <w:rPr>
                <w:rFonts w:hint="eastAsia" w:ascii="Times New Roman" w:hAnsi="Times New Roman" w:cs="Times New Roman"/>
                <w:color w:val="auto"/>
                <w:spacing w:val="1"/>
                <w:lang w:val="en-US" w:eastAsia="zh-CN"/>
              </w:rPr>
              <w:t>0.0115</w:t>
            </w:r>
            <w:r>
              <w:rPr>
                <w:rFonts w:hint="eastAsia" w:ascii="Times New Roman" w:hAnsi="Times New Roman" w:eastAsia="宋体" w:cs="Times New Roman"/>
                <w:color w:val="auto"/>
                <w:spacing w:val="1"/>
                <w:lang w:val="en-US" w:eastAsia="zh-CN"/>
              </w:rPr>
              <w:t>t/a，</w:t>
            </w:r>
            <w:r>
              <w:rPr>
                <w:rFonts w:hint="default" w:ascii="Times New Roman" w:hAnsi="Times New Roman" w:eastAsia="宋体" w:cs="Times New Roman"/>
                <w:color w:val="auto"/>
                <w:spacing w:val="1"/>
                <w:lang w:val="en-US" w:eastAsia="zh-CN"/>
              </w:rPr>
              <w:t>满足《饮食业油烟排放标准</w:t>
            </w:r>
            <w:r>
              <w:rPr>
                <w:rFonts w:hint="eastAsia" w:ascii="Times New Roman" w:hAnsi="Times New Roman" w:eastAsia="宋体" w:cs="Times New Roman"/>
                <w:color w:val="auto"/>
                <w:spacing w:val="1"/>
                <w:lang w:val="en-US" w:eastAsia="zh-CN"/>
              </w:rPr>
              <w:t>（</w:t>
            </w:r>
            <w:r>
              <w:rPr>
                <w:rFonts w:hint="default" w:ascii="Times New Roman" w:hAnsi="Times New Roman" w:eastAsia="宋体" w:cs="Times New Roman"/>
                <w:color w:val="auto"/>
                <w:spacing w:val="1"/>
                <w:lang w:val="en-US" w:eastAsia="zh-CN"/>
              </w:rPr>
              <w:t>试行</w:t>
            </w:r>
            <w:r>
              <w:rPr>
                <w:rFonts w:hint="eastAsia" w:ascii="Times New Roman" w:hAnsi="Times New Roman" w:cs="Times New Roman"/>
                <w:color w:val="auto"/>
                <w:spacing w:val="1"/>
                <w:lang w:val="en-US" w:eastAsia="zh-CN"/>
              </w:rPr>
              <w:t>）</w:t>
            </w:r>
            <w:r>
              <w:rPr>
                <w:rFonts w:hint="default" w:ascii="Times New Roman" w:hAnsi="Times New Roman" w:eastAsia="宋体" w:cs="Times New Roman"/>
                <w:color w:val="auto"/>
                <w:spacing w:val="1"/>
                <w:lang w:val="en-US" w:eastAsia="zh-CN"/>
              </w:rPr>
              <w:t>》</w:t>
            </w:r>
            <w:r>
              <w:rPr>
                <w:rFonts w:hint="eastAsia" w:ascii="Times New Roman" w:hAnsi="Times New Roman" w:eastAsia="宋体" w:cs="Times New Roman"/>
                <w:color w:val="auto"/>
                <w:spacing w:val="1"/>
                <w:lang w:val="en-US" w:eastAsia="zh-CN"/>
              </w:rPr>
              <w:t>（</w:t>
            </w:r>
            <w:r>
              <w:rPr>
                <w:rFonts w:hint="default" w:ascii="Times New Roman" w:hAnsi="Times New Roman" w:eastAsia="宋体" w:cs="Times New Roman"/>
                <w:color w:val="auto"/>
                <w:spacing w:val="1"/>
                <w:lang w:val="en-US" w:eastAsia="zh-CN"/>
              </w:rPr>
              <w:t>GB18483-2001</w:t>
            </w:r>
            <w:r>
              <w:rPr>
                <w:rFonts w:hint="eastAsia" w:ascii="Times New Roman" w:hAnsi="Times New Roman" w:cs="Times New Roman"/>
                <w:color w:val="auto"/>
                <w:spacing w:val="1"/>
                <w:lang w:val="en-US" w:eastAsia="zh-CN"/>
              </w:rPr>
              <w:t>）</w:t>
            </w:r>
            <w:r>
              <w:rPr>
                <w:rFonts w:hint="default" w:ascii="Times New Roman" w:hAnsi="Times New Roman" w:eastAsia="宋体" w:cs="Times New Roman"/>
                <w:color w:val="auto"/>
                <w:spacing w:val="1"/>
                <w:lang w:val="en-US" w:eastAsia="zh-CN"/>
              </w:rPr>
              <w:t>中油烟浓度排放限值</w:t>
            </w:r>
            <w:r>
              <w:rPr>
                <w:rFonts w:hint="eastAsia" w:ascii="Times New Roman" w:hAnsi="Times New Roman" w:eastAsia="宋体" w:cs="Times New Roman"/>
                <w:color w:val="auto"/>
                <w:spacing w:val="1"/>
                <w:lang w:val="en-US" w:eastAsia="zh-CN"/>
              </w:rPr>
              <w:t>（</w:t>
            </w:r>
            <w:r>
              <w:rPr>
                <w:rFonts w:hint="default" w:ascii="Times New Roman" w:hAnsi="Times New Roman" w:eastAsia="宋体" w:cs="Times New Roman"/>
                <w:color w:val="auto"/>
                <w:spacing w:val="1"/>
                <w:lang w:val="en-US" w:eastAsia="zh-CN"/>
              </w:rPr>
              <w:t>油烟浓度</w:t>
            </w:r>
            <w:r>
              <w:rPr>
                <w:rFonts w:hint="eastAsia" w:ascii="Times New Roman" w:hAnsi="Times New Roman" w:eastAsia="宋体" w:cs="Times New Roman"/>
                <w:color w:val="auto"/>
                <w:spacing w:val="1"/>
                <w:lang w:val="en-US" w:eastAsia="zh-CN"/>
              </w:rPr>
              <w:t>≤</w:t>
            </w:r>
            <w:r>
              <w:rPr>
                <w:rFonts w:hint="default" w:ascii="Times New Roman" w:hAnsi="Times New Roman" w:eastAsia="宋体" w:cs="Times New Roman"/>
                <w:color w:val="auto"/>
                <w:spacing w:val="1"/>
                <w:lang w:val="en-US" w:eastAsia="zh-CN"/>
              </w:rPr>
              <w:t>2.0mg/m</w:t>
            </w:r>
            <w:r>
              <w:rPr>
                <w:rFonts w:hint="eastAsia" w:ascii="Times New Roman" w:hAnsi="Times New Roman" w:eastAsia="宋体" w:cs="Times New Roman"/>
                <w:color w:val="auto"/>
                <w:spacing w:val="1"/>
                <w:vertAlign w:val="superscript"/>
                <w:lang w:val="en-US" w:eastAsia="zh-CN"/>
              </w:rPr>
              <w:t>3</w:t>
            </w:r>
            <w:r>
              <w:rPr>
                <w:rFonts w:hint="eastAsia" w:ascii="Times New Roman" w:hAnsi="Times New Roman" w:cs="Times New Roman"/>
                <w:color w:val="auto"/>
                <w:spacing w:val="1"/>
                <w:lang w:val="en-US" w:eastAsia="zh-CN"/>
              </w:rPr>
              <w:t>）</w:t>
            </w:r>
            <w:r>
              <w:rPr>
                <w:rFonts w:hint="default" w:ascii="Times New Roman" w:hAnsi="Times New Roman" w:eastAsia="宋体" w:cs="Times New Roman"/>
                <w:color w:val="auto"/>
                <w:spacing w:val="1"/>
                <w:lang w:val="en-US" w:eastAsia="zh-CN"/>
              </w:rPr>
              <w:t>的要求，</w:t>
            </w:r>
            <w:r>
              <w:rPr>
                <w:rFonts w:hint="eastAsia" w:ascii="Times New Roman" w:hAnsi="Times New Roman" w:eastAsia="宋体" w:cs="Times New Roman"/>
                <w:color w:val="auto"/>
                <w:spacing w:val="1"/>
                <w:lang w:val="en-US" w:eastAsia="zh-CN"/>
              </w:rPr>
              <w:t>项目炒制、油炸油烟废气产排情况见下表。</w:t>
            </w:r>
          </w:p>
          <w:p w14:paraId="44153D72">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34" w:firstLineChars="200"/>
              <w:jc w:val="center"/>
              <w:textAlignment w:val="auto"/>
              <w:rPr>
                <w:rFonts w:hint="eastAsia"/>
                <w:b/>
                <w:bCs/>
                <w:color w:val="auto"/>
                <w:spacing w:val="3"/>
                <w:sz w:val="21"/>
                <w:szCs w:val="21"/>
                <w:lang w:val="en-US" w:eastAsia="zh-CN"/>
              </w:rPr>
            </w:pPr>
            <w:r>
              <w:rPr>
                <w:rFonts w:hint="eastAsia"/>
                <w:b/>
                <w:bCs/>
                <w:color w:val="auto"/>
                <w:spacing w:val="3"/>
                <w:sz w:val="21"/>
                <w:szCs w:val="21"/>
                <w:lang w:val="en-US" w:eastAsia="zh-CN"/>
              </w:rPr>
              <w:t>表4-1炒制、油炸油烟废气产排情况一览表</w:t>
            </w:r>
          </w:p>
          <w:tbl>
            <w:tblPr>
              <w:tblStyle w:val="30"/>
              <w:tblW w:w="829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275"/>
              <w:gridCol w:w="1190"/>
              <w:gridCol w:w="1400"/>
              <w:gridCol w:w="1122"/>
              <w:gridCol w:w="1185"/>
              <w:gridCol w:w="1186"/>
            </w:tblGrid>
            <w:tr w14:paraId="0772D5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38" w:type="dxa"/>
                  <w:vMerge w:val="restart"/>
                  <w:tcBorders>
                    <w:tl2br w:val="nil"/>
                    <w:tr2bl w:val="nil"/>
                  </w:tcBorders>
                  <w:vAlign w:val="center"/>
                </w:tcPr>
                <w:p w14:paraId="2CB4054D">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污染物</w:t>
                  </w:r>
                </w:p>
              </w:tc>
              <w:tc>
                <w:tcPr>
                  <w:tcW w:w="3865" w:type="dxa"/>
                  <w:gridSpan w:val="3"/>
                  <w:tcBorders>
                    <w:tl2br w:val="nil"/>
                    <w:tr2bl w:val="nil"/>
                  </w:tcBorders>
                  <w:vAlign w:val="center"/>
                </w:tcPr>
                <w:p w14:paraId="6B4C49E8">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处理前</w:t>
                  </w:r>
                </w:p>
              </w:tc>
              <w:tc>
                <w:tcPr>
                  <w:tcW w:w="3493" w:type="dxa"/>
                  <w:gridSpan w:val="3"/>
                  <w:tcBorders>
                    <w:tl2br w:val="nil"/>
                    <w:tr2bl w:val="nil"/>
                  </w:tcBorders>
                  <w:vAlign w:val="center"/>
                </w:tcPr>
                <w:p w14:paraId="76B4963A">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处理后</w:t>
                  </w:r>
                </w:p>
              </w:tc>
            </w:tr>
            <w:tr w14:paraId="0666DA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38" w:type="dxa"/>
                  <w:vMerge w:val="continue"/>
                  <w:tcBorders>
                    <w:tl2br w:val="nil"/>
                    <w:tr2bl w:val="nil"/>
                  </w:tcBorders>
                  <w:vAlign w:val="center"/>
                </w:tcPr>
                <w:p w14:paraId="2C2109AC">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p>
              </w:tc>
              <w:tc>
                <w:tcPr>
                  <w:tcW w:w="1275" w:type="dxa"/>
                  <w:tcBorders>
                    <w:tl2br w:val="nil"/>
                    <w:tr2bl w:val="nil"/>
                  </w:tcBorders>
                  <w:vAlign w:val="center"/>
                </w:tcPr>
                <w:p w14:paraId="020BC327">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产生量</w:t>
                  </w:r>
                </w:p>
              </w:tc>
              <w:tc>
                <w:tcPr>
                  <w:tcW w:w="1190" w:type="dxa"/>
                  <w:tcBorders>
                    <w:tl2br w:val="nil"/>
                    <w:tr2bl w:val="nil"/>
                  </w:tcBorders>
                  <w:vAlign w:val="center"/>
                </w:tcPr>
                <w:p w14:paraId="1509EDA5">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产生速率</w:t>
                  </w:r>
                </w:p>
              </w:tc>
              <w:tc>
                <w:tcPr>
                  <w:tcW w:w="1400" w:type="dxa"/>
                  <w:tcBorders>
                    <w:tl2br w:val="nil"/>
                    <w:tr2bl w:val="nil"/>
                  </w:tcBorders>
                  <w:vAlign w:val="center"/>
                </w:tcPr>
                <w:p w14:paraId="67188152">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产生浓度</w:t>
                  </w:r>
                </w:p>
              </w:tc>
              <w:tc>
                <w:tcPr>
                  <w:tcW w:w="1122" w:type="dxa"/>
                  <w:tcBorders>
                    <w:tl2br w:val="nil"/>
                    <w:tr2bl w:val="nil"/>
                  </w:tcBorders>
                  <w:vAlign w:val="center"/>
                </w:tcPr>
                <w:p w14:paraId="68FDC93B">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排放量</w:t>
                  </w:r>
                </w:p>
              </w:tc>
              <w:tc>
                <w:tcPr>
                  <w:tcW w:w="1185" w:type="dxa"/>
                  <w:tcBorders>
                    <w:tl2br w:val="nil"/>
                    <w:tr2bl w:val="nil"/>
                  </w:tcBorders>
                  <w:vAlign w:val="center"/>
                </w:tcPr>
                <w:p w14:paraId="3B9C84FC">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排放速率</w:t>
                  </w:r>
                </w:p>
              </w:tc>
              <w:tc>
                <w:tcPr>
                  <w:tcW w:w="1186" w:type="dxa"/>
                  <w:tcBorders>
                    <w:tl2br w:val="nil"/>
                    <w:tr2bl w:val="nil"/>
                  </w:tcBorders>
                  <w:vAlign w:val="center"/>
                </w:tcPr>
                <w:p w14:paraId="0A065642">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排放浓度</w:t>
                  </w:r>
                </w:p>
              </w:tc>
            </w:tr>
            <w:tr w14:paraId="40826B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38" w:type="dxa"/>
                  <w:tcBorders>
                    <w:tl2br w:val="nil"/>
                    <w:tr2bl w:val="nil"/>
                  </w:tcBorders>
                  <w:vAlign w:val="center"/>
                </w:tcPr>
                <w:p w14:paraId="49314966">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油烟</w:t>
                  </w:r>
                </w:p>
              </w:tc>
              <w:tc>
                <w:tcPr>
                  <w:tcW w:w="1275" w:type="dxa"/>
                  <w:tcBorders>
                    <w:tl2br w:val="nil"/>
                    <w:tr2bl w:val="nil"/>
                  </w:tcBorders>
                  <w:vAlign w:val="center"/>
                </w:tcPr>
                <w:p w14:paraId="1DBED0AB">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eastAsia" w:ascii="Times New Roman" w:hAnsi="Times New Roman" w:cs="Times New Roman"/>
                      <w:color w:val="auto"/>
                      <w:spacing w:val="3"/>
                      <w:sz w:val="21"/>
                      <w:szCs w:val="21"/>
                      <w:vertAlign w:val="baseline"/>
                      <w:lang w:val="en-US" w:eastAsia="zh-CN"/>
                    </w:rPr>
                    <w:t>0.07641</w:t>
                  </w:r>
                  <w:r>
                    <w:rPr>
                      <w:rFonts w:hint="default" w:ascii="Times New Roman" w:hAnsi="Times New Roman" w:cs="Times New Roman"/>
                      <w:color w:val="auto"/>
                      <w:spacing w:val="3"/>
                      <w:sz w:val="21"/>
                      <w:szCs w:val="21"/>
                      <w:vertAlign w:val="baseline"/>
                      <w:lang w:val="en-US" w:eastAsia="zh-CN"/>
                    </w:rPr>
                    <w:t>t/a</w:t>
                  </w:r>
                </w:p>
              </w:tc>
              <w:tc>
                <w:tcPr>
                  <w:tcW w:w="1190" w:type="dxa"/>
                  <w:tcBorders>
                    <w:tl2br w:val="nil"/>
                    <w:tr2bl w:val="nil"/>
                  </w:tcBorders>
                  <w:vAlign w:val="center"/>
                </w:tcPr>
                <w:p w14:paraId="3CAED4D8">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default" w:ascii="Times New Roman" w:hAnsi="Times New Roman" w:cs="Times New Roman"/>
                      <w:color w:val="auto"/>
                      <w:spacing w:val="3"/>
                      <w:sz w:val="21"/>
                      <w:szCs w:val="21"/>
                      <w:vertAlign w:val="baseline"/>
                      <w:lang w:val="en-US" w:eastAsia="zh-CN"/>
                    </w:rPr>
                    <w:t>0.</w:t>
                  </w:r>
                  <w:r>
                    <w:rPr>
                      <w:rFonts w:hint="eastAsia" w:ascii="Times New Roman" w:hAnsi="Times New Roman" w:cs="Times New Roman"/>
                      <w:color w:val="auto"/>
                      <w:spacing w:val="3"/>
                      <w:sz w:val="21"/>
                      <w:szCs w:val="21"/>
                      <w:vertAlign w:val="baseline"/>
                      <w:lang w:val="en-US" w:eastAsia="zh-CN"/>
                    </w:rPr>
                    <w:t>032kg/h</w:t>
                  </w:r>
                </w:p>
              </w:tc>
              <w:tc>
                <w:tcPr>
                  <w:tcW w:w="1400" w:type="dxa"/>
                  <w:tcBorders>
                    <w:tl2br w:val="nil"/>
                    <w:tr2bl w:val="nil"/>
                  </w:tcBorders>
                  <w:vAlign w:val="center"/>
                </w:tcPr>
                <w:p w14:paraId="7517F3D9">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jc w:val="center"/>
                    <w:textAlignment w:val="auto"/>
                    <w:rPr>
                      <w:rFonts w:hint="default" w:ascii="Times New Roman" w:hAnsi="Times New Roman" w:cs="Times New Roman"/>
                      <w:color w:val="auto"/>
                      <w:spacing w:val="3"/>
                      <w:sz w:val="21"/>
                      <w:szCs w:val="21"/>
                      <w:vertAlign w:val="baseline"/>
                      <w:lang w:val="en-US" w:eastAsia="zh-CN"/>
                    </w:rPr>
                  </w:pPr>
                  <w:r>
                    <w:rPr>
                      <w:rFonts w:hint="eastAsia" w:ascii="Times New Roman" w:hAnsi="Times New Roman" w:cs="Times New Roman"/>
                      <w:color w:val="auto"/>
                      <w:spacing w:val="3"/>
                      <w:sz w:val="21"/>
                      <w:szCs w:val="21"/>
                      <w:vertAlign w:val="baseline"/>
                      <w:lang w:val="en-US" w:eastAsia="zh-CN"/>
                    </w:rPr>
                    <w:t>10.61</w:t>
                  </w:r>
                  <w:r>
                    <w:rPr>
                      <w:rFonts w:hint="default" w:ascii="Times New Roman" w:hAnsi="Times New Roman" w:cs="Times New Roman"/>
                      <w:color w:val="auto"/>
                      <w:spacing w:val="3"/>
                      <w:sz w:val="21"/>
                      <w:szCs w:val="21"/>
                      <w:vertAlign w:val="baseline"/>
                      <w:lang w:val="en-US" w:eastAsia="zh-CN"/>
                    </w:rPr>
                    <w:t>mg/m</w:t>
                  </w:r>
                  <w:r>
                    <w:rPr>
                      <w:rFonts w:hint="default" w:ascii="Times New Roman" w:hAnsi="Times New Roman" w:cs="Times New Roman"/>
                      <w:color w:val="auto"/>
                      <w:spacing w:val="3"/>
                      <w:sz w:val="21"/>
                      <w:szCs w:val="21"/>
                      <w:vertAlign w:val="superscript"/>
                      <w:lang w:val="en-US" w:eastAsia="zh-CN"/>
                    </w:rPr>
                    <w:t>3</w:t>
                  </w:r>
                </w:p>
              </w:tc>
              <w:tc>
                <w:tcPr>
                  <w:tcW w:w="1122" w:type="dxa"/>
                  <w:tcBorders>
                    <w:tl2br w:val="nil"/>
                    <w:tr2bl w:val="nil"/>
                  </w:tcBorders>
                  <w:shd w:val="clear" w:color="auto" w:fill="auto"/>
                  <w:vAlign w:val="center"/>
                </w:tcPr>
                <w:p w14:paraId="251282B0">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default" w:ascii="Times New Roman" w:hAnsi="Times New Roman" w:eastAsia="宋体" w:cs="Times New Roman"/>
                      <w:color w:val="auto"/>
                      <w:spacing w:val="3"/>
                      <w:kern w:val="2"/>
                      <w:sz w:val="21"/>
                      <w:szCs w:val="21"/>
                      <w:vertAlign w:val="baseline"/>
                      <w:lang w:val="en-US" w:eastAsia="zh-CN" w:bidi="ar-SA"/>
                    </w:rPr>
                  </w:pPr>
                  <w:r>
                    <w:rPr>
                      <w:rFonts w:hint="default" w:ascii="Times New Roman" w:hAnsi="Times New Roman" w:cs="Times New Roman"/>
                      <w:color w:val="auto"/>
                      <w:spacing w:val="3"/>
                      <w:sz w:val="21"/>
                      <w:szCs w:val="21"/>
                      <w:vertAlign w:val="baseline"/>
                      <w:lang w:val="en-US" w:eastAsia="zh-CN"/>
                    </w:rPr>
                    <w:t>0.</w:t>
                  </w:r>
                  <w:r>
                    <w:rPr>
                      <w:rFonts w:hint="eastAsia" w:ascii="Times New Roman" w:hAnsi="Times New Roman" w:cs="Times New Roman"/>
                      <w:color w:val="auto"/>
                      <w:spacing w:val="3"/>
                      <w:sz w:val="21"/>
                      <w:szCs w:val="21"/>
                      <w:vertAlign w:val="baseline"/>
                      <w:lang w:val="en-US" w:eastAsia="zh-CN"/>
                    </w:rPr>
                    <w:t>0115</w:t>
                  </w:r>
                  <w:r>
                    <w:rPr>
                      <w:rFonts w:hint="default" w:ascii="Times New Roman" w:hAnsi="Times New Roman" w:cs="Times New Roman"/>
                      <w:color w:val="auto"/>
                      <w:spacing w:val="3"/>
                      <w:sz w:val="21"/>
                      <w:szCs w:val="21"/>
                      <w:vertAlign w:val="baseline"/>
                      <w:lang w:val="en-US" w:eastAsia="zh-CN"/>
                    </w:rPr>
                    <w:t>t/a</w:t>
                  </w:r>
                </w:p>
              </w:tc>
              <w:tc>
                <w:tcPr>
                  <w:tcW w:w="1185" w:type="dxa"/>
                  <w:tcBorders>
                    <w:tl2br w:val="nil"/>
                    <w:tr2bl w:val="nil"/>
                  </w:tcBorders>
                  <w:shd w:val="clear" w:color="auto" w:fill="auto"/>
                  <w:vAlign w:val="center"/>
                </w:tcPr>
                <w:p w14:paraId="04C1325A">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default" w:ascii="Times New Roman" w:hAnsi="Times New Roman" w:eastAsia="宋体" w:cs="Times New Roman"/>
                      <w:color w:val="auto"/>
                      <w:spacing w:val="3"/>
                      <w:kern w:val="2"/>
                      <w:sz w:val="21"/>
                      <w:szCs w:val="21"/>
                      <w:vertAlign w:val="baseline"/>
                      <w:lang w:val="en-US" w:eastAsia="zh-CN" w:bidi="ar-SA"/>
                    </w:rPr>
                  </w:pPr>
                  <w:r>
                    <w:rPr>
                      <w:rFonts w:hint="default" w:ascii="Times New Roman" w:hAnsi="Times New Roman" w:cs="Times New Roman"/>
                      <w:color w:val="auto"/>
                      <w:spacing w:val="3"/>
                      <w:sz w:val="21"/>
                      <w:szCs w:val="21"/>
                      <w:vertAlign w:val="baseline"/>
                      <w:lang w:val="en-US" w:eastAsia="zh-CN"/>
                    </w:rPr>
                    <w:t>0.0</w:t>
                  </w:r>
                  <w:r>
                    <w:rPr>
                      <w:rFonts w:hint="eastAsia" w:ascii="Times New Roman" w:hAnsi="Times New Roman" w:cs="Times New Roman"/>
                      <w:color w:val="auto"/>
                      <w:spacing w:val="3"/>
                      <w:sz w:val="21"/>
                      <w:szCs w:val="21"/>
                      <w:vertAlign w:val="baseline"/>
                      <w:lang w:val="en-US" w:eastAsia="zh-CN"/>
                    </w:rPr>
                    <w:t>48kg/h</w:t>
                  </w:r>
                </w:p>
              </w:tc>
              <w:tc>
                <w:tcPr>
                  <w:tcW w:w="1186" w:type="dxa"/>
                  <w:tcBorders>
                    <w:tl2br w:val="nil"/>
                    <w:tr2bl w:val="nil"/>
                  </w:tcBorders>
                  <w:shd w:val="clear" w:color="auto" w:fill="auto"/>
                  <w:vAlign w:val="center"/>
                </w:tcPr>
                <w:p w14:paraId="59598239">
                  <w:pPr>
                    <w:pStyle w:val="114"/>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default" w:ascii="Times New Roman" w:hAnsi="Times New Roman" w:eastAsia="宋体" w:cs="Times New Roman"/>
                      <w:color w:val="auto"/>
                      <w:spacing w:val="3"/>
                      <w:kern w:val="2"/>
                      <w:sz w:val="21"/>
                      <w:szCs w:val="21"/>
                      <w:vertAlign w:val="baseline"/>
                      <w:lang w:val="en-US" w:eastAsia="zh-CN" w:bidi="ar-SA"/>
                    </w:rPr>
                  </w:pPr>
                  <w:r>
                    <w:rPr>
                      <w:rFonts w:hint="eastAsia" w:ascii="Times New Roman" w:hAnsi="Times New Roman" w:cs="Times New Roman"/>
                      <w:color w:val="auto"/>
                      <w:spacing w:val="3"/>
                      <w:sz w:val="21"/>
                      <w:szCs w:val="21"/>
                      <w:vertAlign w:val="baseline"/>
                      <w:lang w:val="en-US" w:eastAsia="zh-CN"/>
                    </w:rPr>
                    <w:t>1.60</w:t>
                  </w:r>
                  <w:r>
                    <w:rPr>
                      <w:rFonts w:hint="default" w:ascii="Times New Roman" w:hAnsi="Times New Roman" w:cs="Times New Roman"/>
                      <w:color w:val="auto"/>
                      <w:spacing w:val="3"/>
                      <w:sz w:val="21"/>
                      <w:szCs w:val="21"/>
                      <w:vertAlign w:val="baseline"/>
                      <w:lang w:val="en-US" w:eastAsia="zh-CN"/>
                    </w:rPr>
                    <w:t>mg/m</w:t>
                  </w:r>
                  <w:r>
                    <w:rPr>
                      <w:rFonts w:hint="default" w:ascii="Times New Roman" w:hAnsi="Times New Roman" w:cs="Times New Roman"/>
                      <w:color w:val="auto"/>
                      <w:spacing w:val="3"/>
                      <w:sz w:val="21"/>
                      <w:szCs w:val="21"/>
                      <w:vertAlign w:val="superscript"/>
                      <w:lang w:val="en-US" w:eastAsia="zh-CN"/>
                    </w:rPr>
                    <w:t>3</w:t>
                  </w:r>
                </w:p>
              </w:tc>
            </w:tr>
          </w:tbl>
          <w:p w14:paraId="5C2B1268">
            <w:pPr>
              <w:pStyle w:val="114"/>
              <w:keepNext w:val="0"/>
              <w:keepLines w:val="0"/>
              <w:pageBreakBefore w:val="0"/>
              <w:widowControl w:val="0"/>
              <w:kinsoku/>
              <w:wordWrap/>
              <w:overflowPunct/>
              <w:topLinePunct w:val="0"/>
              <w:autoSpaceDE/>
              <w:autoSpaceDN/>
              <w:bidi w:val="0"/>
              <w:adjustRightInd/>
              <w:snapToGrid/>
              <w:spacing w:before="313" w:beforeLines="100" w:line="360" w:lineRule="auto"/>
              <w:ind w:left="0" w:firstLine="478" w:firstLineChars="200"/>
              <w:textAlignment w:val="auto"/>
              <w:rPr>
                <w:rFonts w:hint="eastAsia" w:eastAsia="宋体"/>
                <w:b/>
                <w:bCs/>
                <w:color w:val="auto"/>
                <w:lang w:eastAsia="zh-CN"/>
              </w:rPr>
            </w:pPr>
            <w:r>
              <w:rPr>
                <w:rFonts w:hint="eastAsia"/>
                <w:b/>
                <w:bCs/>
                <w:color w:val="auto"/>
                <w:spacing w:val="-1"/>
                <w:lang w:eastAsia="zh-CN"/>
              </w:rPr>
              <w:t>（</w:t>
            </w:r>
            <w:r>
              <w:rPr>
                <w:rFonts w:hint="eastAsia"/>
                <w:b/>
                <w:bCs/>
                <w:color w:val="auto"/>
                <w:spacing w:val="-1"/>
                <w:lang w:val="en-US" w:eastAsia="zh-CN"/>
              </w:rPr>
              <w:t>3</w:t>
            </w:r>
            <w:r>
              <w:rPr>
                <w:rFonts w:hint="eastAsia"/>
                <w:b/>
                <w:bCs/>
                <w:color w:val="auto"/>
                <w:spacing w:val="-1"/>
                <w:lang w:eastAsia="zh-CN"/>
              </w:rPr>
              <w:t>）</w:t>
            </w:r>
            <w:r>
              <w:rPr>
                <w:rFonts w:hint="eastAsia"/>
                <w:b/>
                <w:bCs/>
                <w:color w:val="auto"/>
                <w:spacing w:val="-1"/>
                <w:lang w:val="en-US" w:eastAsia="zh-CN"/>
              </w:rPr>
              <w:t>食品香味</w:t>
            </w:r>
            <w:r>
              <w:rPr>
                <w:b/>
                <w:bCs/>
                <w:color w:val="auto"/>
                <w:spacing w:val="-1"/>
              </w:rPr>
              <w:t>（</w:t>
            </w:r>
            <w:r>
              <w:rPr>
                <w:rFonts w:hint="eastAsia" w:ascii="Times New Roman" w:hAnsi="Times New Roman" w:cs="Times New Roman"/>
                <w:b/>
                <w:bCs/>
                <w:color w:val="auto"/>
                <w:spacing w:val="-1"/>
                <w:lang w:val="en-US" w:eastAsia="zh-CN"/>
              </w:rPr>
              <w:t>异味</w:t>
            </w:r>
            <w:r>
              <w:rPr>
                <w:rFonts w:hint="eastAsia"/>
                <w:b/>
                <w:bCs/>
                <w:color w:val="auto"/>
                <w:spacing w:val="-1"/>
                <w:lang w:eastAsia="zh-CN"/>
              </w:rPr>
              <w:t>）</w:t>
            </w:r>
          </w:p>
          <w:p w14:paraId="72F3CA11">
            <w:pPr>
              <w:pStyle w:val="114"/>
              <w:keepNext w:val="0"/>
              <w:keepLines w:val="0"/>
              <w:pageBreakBefore w:val="0"/>
              <w:widowControl w:val="0"/>
              <w:kinsoku/>
              <w:wordWrap/>
              <w:overflowPunct/>
              <w:topLinePunct w:val="0"/>
              <w:autoSpaceDE/>
              <w:autoSpaceDN/>
              <w:bidi w:val="0"/>
              <w:adjustRightInd/>
              <w:snapToGrid/>
              <w:spacing w:line="360" w:lineRule="auto"/>
              <w:ind w:right="-57" w:firstLine="484" w:firstLineChars="200"/>
              <w:textAlignment w:val="auto"/>
              <w:rPr>
                <w:rFonts w:hint="eastAsia" w:ascii="Times New Roman" w:hAnsi="Times New Roman" w:eastAsia="宋体" w:cs="Times New Roman"/>
                <w:color w:val="auto"/>
                <w:spacing w:val="1"/>
              </w:rPr>
            </w:pPr>
            <w:r>
              <w:rPr>
                <w:rFonts w:hint="eastAsia" w:ascii="Times New Roman" w:hAnsi="Times New Roman" w:eastAsia="宋体" w:cs="Times New Roman"/>
                <w:color w:val="auto"/>
                <w:spacing w:val="1"/>
              </w:rPr>
              <w:t>食品类项目生产过程中会有</w:t>
            </w:r>
            <w:r>
              <w:rPr>
                <w:rFonts w:hint="eastAsia" w:ascii="Times New Roman" w:hAnsi="Times New Roman" w:eastAsia="宋体" w:cs="Times New Roman"/>
                <w:color w:val="auto"/>
                <w:spacing w:val="1"/>
                <w:lang w:val="en-US" w:eastAsia="zh-CN"/>
              </w:rPr>
              <w:t>一</w:t>
            </w:r>
            <w:r>
              <w:rPr>
                <w:rFonts w:hint="eastAsia" w:ascii="Times New Roman" w:hAnsi="Times New Roman" w:eastAsia="宋体" w:cs="Times New Roman"/>
                <w:color w:val="auto"/>
                <w:spacing w:val="1"/>
              </w:rPr>
              <w:t>定的食品香味逸出，食品香味由多种挥发性香气物质组食品类项目生产过程中会有</w:t>
            </w:r>
            <w:r>
              <w:rPr>
                <w:rFonts w:hint="eastAsia" w:ascii="Times New Roman" w:hAnsi="Times New Roman" w:cs="Times New Roman"/>
                <w:color w:val="auto"/>
                <w:spacing w:val="1"/>
                <w:lang w:val="en-US" w:eastAsia="zh-CN"/>
              </w:rPr>
              <w:t>一</w:t>
            </w:r>
            <w:r>
              <w:rPr>
                <w:rFonts w:hint="eastAsia" w:ascii="Times New Roman" w:hAnsi="Times New Roman" w:eastAsia="宋体" w:cs="Times New Roman"/>
                <w:color w:val="auto"/>
                <w:spacing w:val="1"/>
              </w:rPr>
              <w:t>定的食品香味逸出，食品香味由多种挥发性香气物质组成，其主要来源于姜葱蒜</w:t>
            </w:r>
            <w:r>
              <w:rPr>
                <w:rFonts w:hint="eastAsia" w:ascii="Times New Roman" w:hAnsi="Times New Roman" w:eastAsia="宋体" w:cs="Times New Roman"/>
                <w:color w:val="auto"/>
                <w:spacing w:val="1"/>
                <w:lang w:val="en-US" w:eastAsia="zh-CN"/>
              </w:rPr>
              <w:t>味</w:t>
            </w:r>
            <w:r>
              <w:rPr>
                <w:rFonts w:hint="eastAsia" w:ascii="Times New Roman" w:hAnsi="Times New Roman" w:eastAsia="宋体" w:cs="Times New Roman"/>
                <w:color w:val="auto"/>
                <w:spacing w:val="1"/>
              </w:rPr>
              <w:t>，</w:t>
            </w:r>
            <w:r>
              <w:rPr>
                <w:rFonts w:hint="eastAsia" w:ascii="Times New Roman" w:hAnsi="Times New Roman" w:cs="Times New Roman"/>
                <w:color w:val="auto"/>
                <w:spacing w:val="1"/>
                <w:lang w:val="en-US" w:eastAsia="zh-CN"/>
              </w:rPr>
              <w:t>底料</w:t>
            </w:r>
            <w:r>
              <w:rPr>
                <w:rFonts w:hint="eastAsia" w:ascii="Times New Roman" w:hAnsi="Times New Roman" w:eastAsia="宋体" w:cs="Times New Roman"/>
                <w:color w:val="auto"/>
                <w:spacing w:val="1"/>
              </w:rPr>
              <w:t>炒熟过程中酯类化合物挥发香</w:t>
            </w:r>
            <w:r>
              <w:rPr>
                <w:rFonts w:hint="eastAsia" w:ascii="Times New Roman" w:hAnsi="Times New Roman" w:cs="Times New Roman"/>
                <w:color w:val="auto"/>
                <w:spacing w:val="1"/>
                <w:lang w:val="en-US" w:eastAsia="zh-CN"/>
              </w:rPr>
              <w:t>气</w:t>
            </w:r>
            <w:r>
              <w:rPr>
                <w:rFonts w:hint="eastAsia" w:ascii="Times New Roman" w:hAnsi="Times New Roman" w:eastAsia="宋体" w:cs="Times New Roman"/>
                <w:color w:val="auto"/>
                <w:spacing w:val="1"/>
              </w:rPr>
              <w:t>，各种粉料、卤料蒸煮炸熟制等过程散发的复合型气味等。其种类复杂，浓度微小</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color w:val="auto"/>
                <w:spacing w:val="1"/>
              </w:rPr>
              <w:t>难以定量化。</w:t>
            </w:r>
          </w:p>
          <w:p w14:paraId="1CCFCB84">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57" w:rightChars="0"/>
              <w:textAlignment w:val="auto"/>
              <w:rPr>
                <w:rFonts w:hint="eastAsia" w:ascii="Times New Roman" w:hAnsi="Times New Roman" w:cs="Times New Roman"/>
                <w:b/>
                <w:bCs/>
                <w:color w:val="auto"/>
                <w:spacing w:val="1"/>
                <w:lang w:val="en-US" w:eastAsia="zh-CN"/>
              </w:rPr>
            </w:pPr>
            <w:r>
              <w:rPr>
                <w:rFonts w:hint="eastAsia" w:ascii="Times New Roman" w:hAnsi="Times New Roman" w:cs="Times New Roman"/>
                <w:b/>
                <w:bCs/>
                <w:color w:val="auto"/>
                <w:spacing w:val="1"/>
                <w:lang w:val="en-US" w:eastAsia="zh-CN"/>
              </w:rPr>
              <w:t>（4）污水处理站恶臭</w:t>
            </w:r>
          </w:p>
          <w:p w14:paraId="3F2E1632">
            <w:pPr>
              <w:pStyle w:val="114"/>
              <w:keepNext w:val="0"/>
              <w:keepLines w:val="0"/>
              <w:pageBreakBefore w:val="0"/>
              <w:widowControl w:val="0"/>
              <w:kinsoku/>
              <w:wordWrap/>
              <w:overflowPunct/>
              <w:topLinePunct w:val="0"/>
              <w:autoSpaceDE/>
              <w:autoSpaceDN/>
              <w:bidi w:val="0"/>
              <w:adjustRightInd/>
              <w:snapToGrid/>
              <w:spacing w:line="360" w:lineRule="auto"/>
              <w:ind w:right="-57" w:firstLine="484" w:firstLineChars="200"/>
              <w:textAlignment w:val="auto"/>
              <w:rPr>
                <w:rFonts w:hint="default" w:ascii="Times New Roman" w:hAnsi="Times New Roman" w:cs="Times New Roman"/>
                <w:snapToGrid w:val="0"/>
                <w:color w:val="auto"/>
                <w:kern w:val="0"/>
                <w:szCs w:val="22"/>
              </w:rPr>
            </w:pPr>
            <w:r>
              <w:rPr>
                <w:rFonts w:hint="default" w:ascii="Times New Roman" w:hAnsi="Times New Roman" w:cs="Times New Roman"/>
                <w:color w:val="auto"/>
                <w:spacing w:val="1"/>
                <w:lang w:val="en-US" w:eastAsia="zh-CN"/>
              </w:rPr>
              <w:t>本项目</w:t>
            </w:r>
            <w:r>
              <w:rPr>
                <w:rFonts w:hint="default" w:ascii="Times New Roman" w:hAnsi="Times New Roman" w:eastAsia="宋体" w:cs="Times New Roman"/>
                <w:color w:val="auto"/>
                <w:spacing w:val="1"/>
                <w:lang w:eastAsia="zh-CN"/>
              </w:rPr>
              <w:t>臭气污染源源强参照《环境影响评价案例分析》（2018版</w:t>
            </w:r>
            <w:r>
              <w:rPr>
                <w:rFonts w:hint="default" w:ascii="Times New Roman" w:hAnsi="Times New Roman" w:cs="Times New Roman"/>
                <w:color w:val="auto"/>
                <w:spacing w:val="1"/>
                <w:lang w:eastAsia="zh-CN"/>
              </w:rPr>
              <w:t>）</w:t>
            </w:r>
            <w:r>
              <w:rPr>
                <w:rFonts w:hint="default" w:ascii="Times New Roman" w:hAnsi="Times New Roman" w:eastAsia="宋体" w:cs="Times New Roman"/>
                <w:color w:val="auto"/>
                <w:spacing w:val="1"/>
                <w:lang w:eastAsia="zh-CN"/>
              </w:rPr>
              <w:t>（P253</w:t>
            </w:r>
            <w:r>
              <w:rPr>
                <w:rFonts w:hint="default" w:ascii="Times New Roman" w:hAnsi="Times New Roman" w:cs="Times New Roman"/>
                <w:color w:val="auto"/>
                <w:spacing w:val="1"/>
                <w:lang w:eastAsia="zh-CN"/>
              </w:rPr>
              <w:t>）</w:t>
            </w:r>
            <w:r>
              <w:rPr>
                <w:rFonts w:hint="default" w:ascii="Times New Roman" w:hAnsi="Times New Roman" w:eastAsia="宋体" w:cs="Times New Roman"/>
                <w:color w:val="auto"/>
                <w:spacing w:val="1"/>
                <w:lang w:val="en-US" w:eastAsia="zh-CN"/>
              </w:rPr>
              <w:t>中</w:t>
            </w:r>
            <w:r>
              <w:rPr>
                <w:rFonts w:hint="default" w:ascii="Times New Roman" w:hAnsi="Times New Roman" w:eastAsia="宋体" w:cs="Times New Roman"/>
                <w:color w:val="auto"/>
                <w:spacing w:val="1"/>
              </w:rPr>
              <w:t>对城市污水处理厂恶臭污染物产生排放情况研究，每处理1.00g的BOD</w:t>
            </w:r>
            <w:r>
              <w:rPr>
                <w:rFonts w:hint="default" w:ascii="Times New Roman" w:hAnsi="Times New Roman" w:eastAsia="宋体" w:cs="Times New Roman"/>
                <w:color w:val="auto"/>
                <w:spacing w:val="1"/>
                <w:vertAlign w:val="subscript"/>
              </w:rPr>
              <w:t>5</w:t>
            </w:r>
            <w:r>
              <w:rPr>
                <w:rFonts w:hint="default" w:ascii="Times New Roman" w:hAnsi="Times New Roman" w:eastAsia="宋体" w:cs="Times New Roman"/>
                <w:color w:val="auto"/>
                <w:spacing w:val="1"/>
              </w:rPr>
              <w:t>，可能产</w:t>
            </w:r>
            <w:r>
              <w:rPr>
                <w:rFonts w:hint="default" w:ascii="Times New Roman" w:hAnsi="Times New Roman" w:eastAsia="宋体" w:cs="Times New Roman"/>
                <w:color w:val="auto"/>
                <w:spacing w:val="1"/>
                <w:highlight w:val="none"/>
              </w:rPr>
              <w:t>生0.0031g的NH</w:t>
            </w:r>
            <w:r>
              <w:rPr>
                <w:rFonts w:hint="default" w:ascii="Times New Roman" w:hAnsi="Times New Roman" w:eastAsia="宋体" w:cs="Times New Roman"/>
                <w:color w:val="auto"/>
                <w:spacing w:val="1"/>
                <w:highlight w:val="none"/>
                <w:vertAlign w:val="subscript"/>
              </w:rPr>
              <w:t>3</w:t>
            </w:r>
            <w:r>
              <w:rPr>
                <w:rFonts w:hint="default" w:ascii="Times New Roman" w:hAnsi="Times New Roman" w:eastAsia="宋体" w:cs="Times New Roman"/>
                <w:color w:val="auto"/>
                <w:spacing w:val="1"/>
                <w:highlight w:val="none"/>
              </w:rPr>
              <w:t>和0.00012g的H</w:t>
            </w:r>
            <w:r>
              <w:rPr>
                <w:rFonts w:hint="default" w:ascii="Times New Roman" w:hAnsi="Times New Roman" w:eastAsia="宋体" w:cs="Times New Roman"/>
                <w:color w:val="auto"/>
                <w:spacing w:val="1"/>
                <w:highlight w:val="none"/>
                <w:vertAlign w:val="subscript"/>
              </w:rPr>
              <w:t>2</w:t>
            </w:r>
            <w:r>
              <w:rPr>
                <w:rFonts w:hint="default" w:ascii="Times New Roman" w:hAnsi="Times New Roman" w:eastAsia="宋体" w:cs="Times New Roman"/>
                <w:color w:val="auto"/>
                <w:spacing w:val="1"/>
                <w:highlight w:val="none"/>
              </w:rPr>
              <w:t>S。本项目运营后进入污水处理站的废水</w:t>
            </w:r>
            <w:r>
              <w:rPr>
                <w:rFonts w:hint="default" w:ascii="Times New Roman" w:hAnsi="Times New Roman" w:cs="Times New Roman"/>
                <w:color w:val="auto"/>
                <w:spacing w:val="1"/>
                <w:highlight w:val="none"/>
                <w:lang w:val="en-US" w:eastAsia="zh-CN"/>
              </w:rPr>
              <w:t>包括本项目运营期产生的废水和食品加工产业园内产生的废水共45000</w:t>
            </w:r>
            <w:r>
              <w:rPr>
                <w:rFonts w:hint="default" w:ascii="Times New Roman" w:hAnsi="Times New Roman" w:eastAsia="宋体" w:cs="Times New Roman"/>
                <w:color w:val="auto"/>
                <w:spacing w:val="1"/>
                <w:highlight w:val="none"/>
              </w:rPr>
              <w:t>t/a</w:t>
            </w:r>
            <w:r>
              <w:rPr>
                <w:rFonts w:hint="default" w:ascii="Times New Roman" w:hAnsi="Times New Roman" w:eastAsia="宋体" w:cs="Times New Roman"/>
                <w:color w:val="auto"/>
                <w:spacing w:val="1"/>
                <w:highlight w:val="none"/>
                <w:lang w:eastAsia="zh-CN"/>
              </w:rPr>
              <w:t>，</w:t>
            </w:r>
            <w:r>
              <w:rPr>
                <w:rFonts w:hint="default" w:ascii="Times New Roman" w:hAnsi="Times New Roman" w:eastAsia="宋体" w:cs="Times New Roman"/>
                <w:color w:val="auto"/>
                <w:spacing w:val="1"/>
                <w:highlight w:val="none"/>
              </w:rPr>
              <w:t>量为</w:t>
            </w:r>
            <w:r>
              <w:rPr>
                <w:rFonts w:hint="default" w:ascii="Times New Roman" w:hAnsi="Times New Roman" w:eastAsia="宋体" w:cs="Times New Roman"/>
                <w:color w:val="auto"/>
                <w:spacing w:val="1"/>
                <w:highlight w:val="none"/>
                <w:lang w:val="en-US" w:eastAsia="zh-CN"/>
              </w:rPr>
              <w:t>15639</w:t>
            </w:r>
            <w:r>
              <w:rPr>
                <w:rFonts w:hint="default" w:ascii="Times New Roman" w:hAnsi="Times New Roman" w:eastAsia="宋体" w:cs="Times New Roman"/>
                <w:color w:val="auto"/>
                <w:spacing w:val="1"/>
                <w:highlight w:val="none"/>
              </w:rPr>
              <w:t>t/a，进水BOD</w:t>
            </w:r>
            <w:r>
              <w:rPr>
                <w:rFonts w:hint="default" w:ascii="Times New Roman" w:hAnsi="Times New Roman" w:eastAsia="宋体" w:cs="Times New Roman"/>
                <w:color w:val="auto"/>
                <w:spacing w:val="1"/>
                <w:highlight w:val="none"/>
                <w:vertAlign w:val="subscript"/>
              </w:rPr>
              <w:t>5</w:t>
            </w:r>
            <w:r>
              <w:rPr>
                <w:rFonts w:hint="default" w:ascii="Times New Roman" w:hAnsi="Times New Roman" w:eastAsia="宋体" w:cs="Times New Roman"/>
                <w:color w:val="auto"/>
                <w:spacing w:val="1"/>
                <w:highlight w:val="none"/>
              </w:rPr>
              <w:t>浓度为</w:t>
            </w:r>
            <w:r>
              <w:rPr>
                <w:rFonts w:hint="default" w:ascii="Times New Roman" w:hAnsi="Times New Roman" w:eastAsia="宋体" w:cs="Times New Roman"/>
                <w:color w:val="auto"/>
                <w:spacing w:val="1"/>
                <w:highlight w:val="none"/>
                <w:lang w:val="en-US" w:eastAsia="zh-CN"/>
              </w:rPr>
              <w:t>4</w:t>
            </w:r>
            <w:r>
              <w:rPr>
                <w:rFonts w:hint="default" w:ascii="Times New Roman" w:hAnsi="Times New Roman" w:eastAsia="宋体" w:cs="Times New Roman"/>
                <w:color w:val="auto"/>
                <w:spacing w:val="1"/>
                <w:highlight w:val="none"/>
              </w:rPr>
              <w:t>00mg/L，出水BOD</w:t>
            </w:r>
            <w:r>
              <w:rPr>
                <w:rFonts w:hint="default" w:ascii="Times New Roman" w:hAnsi="Times New Roman" w:eastAsia="宋体" w:cs="Times New Roman"/>
                <w:color w:val="auto"/>
                <w:spacing w:val="1"/>
                <w:highlight w:val="none"/>
                <w:vertAlign w:val="subscript"/>
              </w:rPr>
              <w:t>5</w:t>
            </w:r>
            <w:r>
              <w:rPr>
                <w:rFonts w:hint="default" w:ascii="Times New Roman" w:hAnsi="Times New Roman" w:eastAsia="宋体" w:cs="Times New Roman"/>
                <w:color w:val="auto"/>
                <w:spacing w:val="1"/>
                <w:highlight w:val="none"/>
              </w:rPr>
              <w:t>浓度为</w:t>
            </w:r>
            <w:r>
              <w:rPr>
                <w:rFonts w:hint="default" w:ascii="Times New Roman" w:hAnsi="Times New Roman" w:eastAsia="宋体" w:cs="Times New Roman"/>
                <w:color w:val="auto"/>
                <w:spacing w:val="1"/>
                <w:highlight w:val="none"/>
                <w:lang w:val="en-US" w:eastAsia="zh-CN"/>
              </w:rPr>
              <w:t>60</w:t>
            </w:r>
            <w:r>
              <w:rPr>
                <w:rFonts w:hint="default" w:ascii="Times New Roman" w:hAnsi="Times New Roman" w:eastAsia="宋体" w:cs="Times New Roman"/>
                <w:color w:val="auto"/>
                <w:spacing w:val="1"/>
                <w:highlight w:val="none"/>
              </w:rPr>
              <w:t>mg/L，BOD</w:t>
            </w:r>
            <w:r>
              <w:rPr>
                <w:rFonts w:hint="default" w:ascii="Times New Roman" w:hAnsi="Times New Roman" w:eastAsia="宋体" w:cs="Times New Roman"/>
                <w:color w:val="auto"/>
                <w:spacing w:val="1"/>
                <w:highlight w:val="none"/>
                <w:vertAlign w:val="subscript"/>
              </w:rPr>
              <w:t>5</w:t>
            </w:r>
            <w:r>
              <w:rPr>
                <w:rFonts w:hint="default" w:ascii="Times New Roman" w:hAnsi="Times New Roman" w:eastAsia="宋体" w:cs="Times New Roman"/>
                <w:color w:val="auto"/>
                <w:spacing w:val="1"/>
                <w:highlight w:val="none"/>
              </w:rPr>
              <w:t>的处理量为</w:t>
            </w:r>
            <w:r>
              <w:rPr>
                <w:rFonts w:hint="default" w:ascii="Times New Roman" w:hAnsi="Times New Roman" w:cs="Times New Roman"/>
                <w:color w:val="auto"/>
                <w:spacing w:val="1"/>
                <w:highlight w:val="none"/>
                <w:lang w:val="en-US" w:eastAsia="zh-CN"/>
              </w:rPr>
              <w:t>15.3kg</w:t>
            </w:r>
            <w:r>
              <w:rPr>
                <w:rFonts w:hint="default" w:ascii="Times New Roman" w:hAnsi="Times New Roman" w:eastAsia="宋体" w:cs="Times New Roman"/>
                <w:color w:val="auto"/>
                <w:spacing w:val="1"/>
                <w:highlight w:val="none"/>
              </w:rPr>
              <w:t>/a，由此可计算出NH</w:t>
            </w:r>
            <w:r>
              <w:rPr>
                <w:rFonts w:hint="default" w:ascii="Times New Roman" w:hAnsi="Times New Roman" w:eastAsia="宋体" w:cs="Times New Roman"/>
                <w:color w:val="auto"/>
                <w:spacing w:val="1"/>
                <w:highlight w:val="none"/>
                <w:vertAlign w:val="subscript"/>
              </w:rPr>
              <w:t>3</w:t>
            </w:r>
            <w:r>
              <w:rPr>
                <w:rFonts w:hint="default" w:ascii="Times New Roman" w:hAnsi="Times New Roman" w:eastAsia="宋体" w:cs="Times New Roman"/>
                <w:color w:val="auto"/>
                <w:spacing w:val="1"/>
                <w:highlight w:val="none"/>
              </w:rPr>
              <w:t>的产生量为</w:t>
            </w:r>
            <w:r>
              <w:rPr>
                <w:rFonts w:hint="default" w:ascii="Times New Roman" w:hAnsi="Times New Roman" w:cs="Times New Roman"/>
                <w:color w:val="auto"/>
                <w:spacing w:val="1"/>
                <w:highlight w:val="none"/>
                <w:lang w:val="en-US" w:eastAsia="zh-CN"/>
              </w:rPr>
              <w:t>0.047</w:t>
            </w:r>
            <w:r>
              <w:rPr>
                <w:rFonts w:hint="default" w:ascii="Times New Roman" w:hAnsi="Times New Roman" w:eastAsia="宋体" w:cs="Times New Roman"/>
                <w:color w:val="auto"/>
                <w:spacing w:val="1"/>
                <w:highlight w:val="none"/>
                <w:lang w:val="en-US" w:eastAsia="zh-CN"/>
              </w:rPr>
              <w:t>kg</w:t>
            </w:r>
            <w:r>
              <w:rPr>
                <w:rFonts w:hint="default" w:ascii="Times New Roman" w:hAnsi="Times New Roman" w:eastAsia="宋体" w:cs="Times New Roman"/>
                <w:color w:val="auto"/>
                <w:spacing w:val="1"/>
                <w:highlight w:val="none"/>
              </w:rPr>
              <w:t>/a，H</w:t>
            </w:r>
            <w:r>
              <w:rPr>
                <w:rFonts w:hint="default" w:ascii="Times New Roman" w:hAnsi="Times New Roman" w:eastAsia="宋体" w:cs="Times New Roman"/>
                <w:color w:val="auto"/>
                <w:spacing w:val="1"/>
                <w:highlight w:val="none"/>
                <w:vertAlign w:val="subscript"/>
              </w:rPr>
              <w:t>2</w:t>
            </w:r>
            <w:r>
              <w:rPr>
                <w:rFonts w:hint="default" w:ascii="Times New Roman" w:hAnsi="Times New Roman" w:eastAsia="宋体" w:cs="Times New Roman"/>
                <w:color w:val="auto"/>
                <w:spacing w:val="1"/>
                <w:highlight w:val="none"/>
              </w:rPr>
              <w:t>S的产生量为</w:t>
            </w:r>
            <w:r>
              <w:rPr>
                <w:rFonts w:hint="default" w:ascii="Times New Roman" w:hAnsi="Times New Roman" w:cs="Times New Roman"/>
                <w:color w:val="auto"/>
                <w:spacing w:val="1"/>
                <w:highlight w:val="none"/>
                <w:lang w:val="en-US" w:eastAsia="zh-CN"/>
              </w:rPr>
              <w:t>0.001</w:t>
            </w:r>
            <w:r>
              <w:rPr>
                <w:rFonts w:hint="default" w:ascii="Times New Roman" w:hAnsi="Times New Roman" w:eastAsia="宋体" w:cs="Times New Roman"/>
                <w:color w:val="auto"/>
                <w:spacing w:val="1"/>
                <w:highlight w:val="none"/>
                <w:lang w:val="en-US" w:eastAsia="zh-CN"/>
              </w:rPr>
              <w:t>kg</w:t>
            </w:r>
            <w:r>
              <w:rPr>
                <w:rFonts w:hint="default" w:ascii="Times New Roman" w:hAnsi="Times New Roman" w:eastAsia="宋体" w:cs="Times New Roman"/>
                <w:color w:val="auto"/>
                <w:spacing w:val="1"/>
                <w:highlight w:val="none"/>
              </w:rPr>
              <w:t>/a。</w:t>
            </w:r>
            <w:r>
              <w:rPr>
                <w:rFonts w:hint="default" w:ascii="Times New Roman" w:hAnsi="Times New Roman" w:cs="Times New Roman"/>
                <w:color w:val="auto"/>
                <w:highlight w:val="none"/>
              </w:rPr>
              <w:t>项目污水处理站主要恶臭污染物产生点位于格栅井、污泥脱水间及生化池。本项目污水处理设备安装在封闭的水处理间内，水处理间内安装集气管道对恶臭气体收集后引至活性炭吸附系统处理（风机风量</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后通过1根15m高排气筒排放。废气处理设施收集效率90%，10%为无组织排放，依据</w:t>
            </w:r>
            <w:r>
              <w:rPr>
                <w:rFonts w:hint="default" w:ascii="Times New Roman" w:hAnsi="Times New Roman" w:cs="Times New Roman"/>
                <w:snapToGrid w:val="0"/>
                <w:color w:val="auto"/>
                <w:kern w:val="0"/>
                <w:highlight w:val="none"/>
              </w:rPr>
              <w:t>《气态污染物处理技术-恶臭控制技术》中活性炭处理恶臭气体的效率为65%，</w:t>
            </w:r>
            <w:r>
              <w:rPr>
                <w:rFonts w:hint="default" w:ascii="Times New Roman" w:hAnsi="Times New Roman" w:cs="Times New Roman"/>
                <w:color w:val="auto"/>
                <w:highlight w:val="none"/>
              </w:rPr>
              <w:t>项目最终排气筒NH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排放量</w:t>
            </w:r>
            <w:r>
              <w:rPr>
                <w:rFonts w:hint="default" w:ascii="Times New Roman" w:hAnsi="Times New Roman" w:cs="Times New Roman"/>
                <w:color w:val="auto"/>
                <w:highlight w:val="none"/>
                <w:lang w:val="en-US" w:eastAsia="zh-CN"/>
              </w:rPr>
              <w:t>14.94kg</w:t>
            </w:r>
            <w:r>
              <w:rPr>
                <w:rFonts w:hint="default" w:ascii="Times New Roman" w:hAnsi="Times New Roman" w:cs="Times New Roman"/>
                <w:color w:val="auto"/>
                <w:highlight w:val="none"/>
              </w:rPr>
              <w:t>/a，排放浓度</w:t>
            </w:r>
            <w:r>
              <w:rPr>
                <w:rFonts w:hint="default" w:ascii="Times New Roman" w:hAnsi="Times New Roman" w:cs="Times New Roman"/>
                <w:color w:val="auto"/>
                <w:highlight w:val="none"/>
                <w:lang w:val="en-US" w:eastAsia="zh-CN"/>
              </w:rPr>
              <w:t>1.25</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；排气筒H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S排放量</w:t>
            </w:r>
            <w:r>
              <w:rPr>
                <w:rFonts w:hint="default" w:ascii="Times New Roman" w:hAnsi="Times New Roman" w:cs="Times New Roman"/>
                <w:color w:val="auto"/>
                <w:highlight w:val="none"/>
                <w:lang w:val="en-US" w:eastAsia="zh-CN"/>
              </w:rPr>
              <w:t>1.012kg</w:t>
            </w:r>
            <w:r>
              <w:rPr>
                <w:rFonts w:hint="default" w:ascii="Times New Roman" w:hAnsi="Times New Roman" w:cs="Times New Roman"/>
                <w:color w:val="auto"/>
                <w:highlight w:val="none"/>
              </w:rPr>
              <w:t>/a，排放浓度</w:t>
            </w:r>
            <w:r>
              <w:rPr>
                <w:rFonts w:hint="default" w:ascii="Times New Roman" w:hAnsi="Times New Roman" w:cs="Times New Roman"/>
                <w:color w:val="auto"/>
                <w:highlight w:val="none"/>
                <w:lang w:val="en-US" w:eastAsia="zh-CN"/>
              </w:rPr>
              <w:t>0.084</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。本项目污水处理站恶臭产生及排放情况见下表。</w:t>
            </w:r>
          </w:p>
          <w:p w14:paraId="41BDE8A1">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表4-</w:t>
            </w:r>
            <w:r>
              <w:rPr>
                <w:rFonts w:hint="eastAsia"/>
                <w:color w:val="auto"/>
                <w:lang w:val="en-US" w:eastAsia="zh-CN"/>
              </w:rPr>
              <w:t>2</w:t>
            </w:r>
            <w:r>
              <w:rPr>
                <w:color w:val="auto"/>
              </w:rPr>
              <w:t>项目污水处理站恶臭气体产生及排放情况一览表</w:t>
            </w:r>
          </w:p>
          <w:tbl>
            <w:tblPr>
              <w:tblStyle w:val="30"/>
              <w:tblW w:w="82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601"/>
              <w:gridCol w:w="871"/>
              <w:gridCol w:w="881"/>
              <w:gridCol w:w="2392"/>
              <w:gridCol w:w="1040"/>
              <w:gridCol w:w="1073"/>
              <w:gridCol w:w="967"/>
            </w:tblGrid>
            <w:tr w14:paraId="41403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14" w:type="pct"/>
                  <w:gridSpan w:val="2"/>
                  <w:vMerge w:val="restart"/>
                  <w:tcBorders>
                    <w:tl2br w:val="nil"/>
                    <w:tr2bl w:val="nil"/>
                  </w:tcBorders>
                  <w:vAlign w:val="center"/>
                </w:tcPr>
                <w:p w14:paraId="3DC521BA">
                  <w:pPr>
                    <w:adjustRightInd w:val="0"/>
                    <w:snapToGrid w:val="0"/>
                    <w:jc w:val="center"/>
                    <w:rPr>
                      <w:color w:val="auto"/>
                      <w:szCs w:val="21"/>
                    </w:rPr>
                  </w:pPr>
                  <w:r>
                    <w:rPr>
                      <w:color w:val="auto"/>
                      <w:szCs w:val="21"/>
                    </w:rPr>
                    <w:t>污染源</w:t>
                  </w:r>
                </w:p>
              </w:tc>
              <w:tc>
                <w:tcPr>
                  <w:tcW w:w="1063" w:type="pct"/>
                  <w:gridSpan w:val="2"/>
                  <w:tcBorders>
                    <w:tl2br w:val="nil"/>
                    <w:tr2bl w:val="nil"/>
                  </w:tcBorders>
                  <w:vAlign w:val="center"/>
                </w:tcPr>
                <w:p w14:paraId="1C929F5C">
                  <w:pPr>
                    <w:adjustRightInd w:val="0"/>
                    <w:snapToGrid w:val="0"/>
                    <w:jc w:val="center"/>
                    <w:rPr>
                      <w:color w:val="auto"/>
                      <w:szCs w:val="21"/>
                    </w:rPr>
                  </w:pPr>
                  <w:r>
                    <w:rPr>
                      <w:color w:val="auto"/>
                      <w:szCs w:val="21"/>
                    </w:rPr>
                    <w:t>处理前</w:t>
                  </w:r>
                </w:p>
              </w:tc>
              <w:tc>
                <w:tcPr>
                  <w:tcW w:w="1451" w:type="pct"/>
                  <w:vMerge w:val="restart"/>
                  <w:tcBorders>
                    <w:tl2br w:val="nil"/>
                    <w:tr2bl w:val="nil"/>
                  </w:tcBorders>
                  <w:vAlign w:val="center"/>
                </w:tcPr>
                <w:p w14:paraId="661542B6">
                  <w:pPr>
                    <w:adjustRightInd w:val="0"/>
                    <w:snapToGrid w:val="0"/>
                    <w:jc w:val="center"/>
                    <w:rPr>
                      <w:color w:val="auto"/>
                      <w:szCs w:val="21"/>
                    </w:rPr>
                  </w:pPr>
                  <w:r>
                    <w:rPr>
                      <w:color w:val="auto"/>
                      <w:szCs w:val="21"/>
                    </w:rPr>
                    <w:t>拟采取处理措施</w:t>
                  </w:r>
                </w:p>
              </w:tc>
              <w:tc>
                <w:tcPr>
                  <w:tcW w:w="1869" w:type="pct"/>
                  <w:gridSpan w:val="3"/>
                  <w:tcBorders>
                    <w:tl2br w:val="nil"/>
                    <w:tr2bl w:val="nil"/>
                  </w:tcBorders>
                  <w:vAlign w:val="center"/>
                </w:tcPr>
                <w:p w14:paraId="3A68FE9A">
                  <w:pPr>
                    <w:adjustRightInd w:val="0"/>
                    <w:snapToGrid w:val="0"/>
                    <w:jc w:val="center"/>
                    <w:rPr>
                      <w:color w:val="auto"/>
                      <w:szCs w:val="21"/>
                    </w:rPr>
                  </w:pPr>
                  <w:r>
                    <w:rPr>
                      <w:color w:val="auto"/>
                      <w:szCs w:val="21"/>
                    </w:rPr>
                    <w:t>处理后</w:t>
                  </w:r>
                </w:p>
              </w:tc>
            </w:tr>
            <w:tr w14:paraId="5C2A9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14" w:type="pct"/>
                  <w:gridSpan w:val="2"/>
                  <w:vMerge w:val="continue"/>
                  <w:tcBorders>
                    <w:tl2br w:val="nil"/>
                    <w:tr2bl w:val="nil"/>
                  </w:tcBorders>
                  <w:vAlign w:val="center"/>
                </w:tcPr>
                <w:p w14:paraId="23CF9607">
                  <w:pPr>
                    <w:adjustRightInd w:val="0"/>
                    <w:snapToGrid w:val="0"/>
                    <w:jc w:val="center"/>
                    <w:rPr>
                      <w:color w:val="auto"/>
                      <w:szCs w:val="21"/>
                    </w:rPr>
                  </w:pPr>
                </w:p>
              </w:tc>
              <w:tc>
                <w:tcPr>
                  <w:tcW w:w="528" w:type="pct"/>
                  <w:tcBorders>
                    <w:tl2br w:val="nil"/>
                    <w:tr2bl w:val="nil"/>
                  </w:tcBorders>
                  <w:vAlign w:val="center"/>
                </w:tcPr>
                <w:p w14:paraId="69A264BC">
                  <w:pPr>
                    <w:adjustRightInd w:val="0"/>
                    <w:snapToGrid w:val="0"/>
                    <w:jc w:val="center"/>
                    <w:rPr>
                      <w:color w:val="auto"/>
                      <w:szCs w:val="21"/>
                    </w:rPr>
                  </w:pPr>
                  <w:r>
                    <w:rPr>
                      <w:color w:val="auto"/>
                      <w:szCs w:val="21"/>
                    </w:rPr>
                    <w:t>产生量t/a</w:t>
                  </w:r>
                </w:p>
              </w:tc>
              <w:tc>
                <w:tcPr>
                  <w:tcW w:w="534" w:type="pct"/>
                  <w:tcBorders>
                    <w:tl2br w:val="nil"/>
                    <w:tr2bl w:val="nil"/>
                  </w:tcBorders>
                  <w:vAlign w:val="center"/>
                </w:tcPr>
                <w:p w14:paraId="7038C944">
                  <w:pPr>
                    <w:adjustRightInd w:val="0"/>
                    <w:snapToGrid w:val="0"/>
                    <w:jc w:val="center"/>
                    <w:rPr>
                      <w:color w:val="auto"/>
                      <w:szCs w:val="21"/>
                    </w:rPr>
                  </w:pPr>
                  <w:r>
                    <w:rPr>
                      <w:color w:val="auto"/>
                      <w:szCs w:val="21"/>
                    </w:rPr>
                    <w:t>浓度</w:t>
                  </w:r>
                </w:p>
                <w:p w14:paraId="38A97F20">
                  <w:pPr>
                    <w:pStyle w:val="23"/>
                    <w:rPr>
                      <w:color w:val="auto"/>
                      <w:sz w:val="21"/>
                      <w:szCs w:val="21"/>
                    </w:rPr>
                  </w:pPr>
                  <w:r>
                    <w:rPr>
                      <w:color w:val="auto"/>
                      <w:sz w:val="21"/>
                      <w:szCs w:val="21"/>
                    </w:rPr>
                    <w:t>mg/m</w:t>
                  </w:r>
                  <w:r>
                    <w:rPr>
                      <w:color w:val="auto"/>
                      <w:sz w:val="21"/>
                      <w:szCs w:val="21"/>
                      <w:vertAlign w:val="superscript"/>
                    </w:rPr>
                    <w:t>3</w:t>
                  </w:r>
                </w:p>
              </w:tc>
              <w:tc>
                <w:tcPr>
                  <w:tcW w:w="1451" w:type="pct"/>
                  <w:vMerge w:val="continue"/>
                  <w:tcBorders>
                    <w:tl2br w:val="nil"/>
                    <w:tr2bl w:val="nil"/>
                  </w:tcBorders>
                  <w:vAlign w:val="center"/>
                </w:tcPr>
                <w:p w14:paraId="5EE78A5B">
                  <w:pPr>
                    <w:adjustRightInd w:val="0"/>
                    <w:snapToGrid w:val="0"/>
                    <w:jc w:val="center"/>
                    <w:rPr>
                      <w:color w:val="auto"/>
                      <w:szCs w:val="21"/>
                    </w:rPr>
                  </w:pPr>
                </w:p>
              </w:tc>
              <w:tc>
                <w:tcPr>
                  <w:tcW w:w="631" w:type="pct"/>
                  <w:tcBorders>
                    <w:tl2br w:val="nil"/>
                    <w:tr2bl w:val="nil"/>
                  </w:tcBorders>
                  <w:vAlign w:val="center"/>
                </w:tcPr>
                <w:p w14:paraId="046C7406">
                  <w:pPr>
                    <w:adjustRightInd w:val="0"/>
                    <w:snapToGrid w:val="0"/>
                    <w:jc w:val="center"/>
                    <w:rPr>
                      <w:color w:val="auto"/>
                      <w:szCs w:val="21"/>
                    </w:rPr>
                  </w:pPr>
                  <w:r>
                    <w:rPr>
                      <w:color w:val="auto"/>
                      <w:szCs w:val="21"/>
                    </w:rPr>
                    <w:t>排放量</w:t>
                  </w:r>
                </w:p>
                <w:p w14:paraId="2F3A5550">
                  <w:pPr>
                    <w:pStyle w:val="23"/>
                    <w:rPr>
                      <w:color w:val="auto"/>
                      <w:sz w:val="21"/>
                      <w:szCs w:val="21"/>
                    </w:rPr>
                  </w:pPr>
                  <w:r>
                    <w:rPr>
                      <w:color w:val="auto"/>
                      <w:sz w:val="21"/>
                      <w:szCs w:val="21"/>
                    </w:rPr>
                    <w:t>t/a</w:t>
                  </w:r>
                </w:p>
              </w:tc>
              <w:tc>
                <w:tcPr>
                  <w:tcW w:w="651" w:type="pct"/>
                  <w:tcBorders>
                    <w:tl2br w:val="nil"/>
                    <w:tr2bl w:val="nil"/>
                  </w:tcBorders>
                  <w:vAlign w:val="center"/>
                </w:tcPr>
                <w:p w14:paraId="04857246">
                  <w:pPr>
                    <w:adjustRightInd w:val="0"/>
                    <w:snapToGrid w:val="0"/>
                    <w:jc w:val="center"/>
                    <w:rPr>
                      <w:color w:val="auto"/>
                      <w:szCs w:val="21"/>
                    </w:rPr>
                  </w:pPr>
                  <w:r>
                    <w:rPr>
                      <w:color w:val="auto"/>
                      <w:szCs w:val="21"/>
                    </w:rPr>
                    <w:t>浓度</w:t>
                  </w:r>
                </w:p>
                <w:p w14:paraId="4928A26B">
                  <w:pPr>
                    <w:pStyle w:val="23"/>
                    <w:rPr>
                      <w:color w:val="auto"/>
                      <w:sz w:val="21"/>
                      <w:szCs w:val="21"/>
                    </w:rPr>
                  </w:pPr>
                  <w:r>
                    <w:rPr>
                      <w:color w:val="auto"/>
                      <w:sz w:val="21"/>
                      <w:szCs w:val="21"/>
                    </w:rPr>
                    <w:t>mg/m</w:t>
                  </w:r>
                  <w:r>
                    <w:rPr>
                      <w:color w:val="auto"/>
                      <w:sz w:val="21"/>
                      <w:szCs w:val="21"/>
                      <w:vertAlign w:val="superscript"/>
                    </w:rPr>
                    <w:t>3</w:t>
                  </w:r>
                </w:p>
              </w:tc>
              <w:tc>
                <w:tcPr>
                  <w:tcW w:w="586" w:type="pct"/>
                  <w:tcBorders>
                    <w:tl2br w:val="nil"/>
                    <w:tr2bl w:val="nil"/>
                  </w:tcBorders>
                  <w:vAlign w:val="center"/>
                </w:tcPr>
                <w:p w14:paraId="4305BA66">
                  <w:pPr>
                    <w:pStyle w:val="23"/>
                    <w:rPr>
                      <w:color w:val="auto"/>
                      <w:sz w:val="21"/>
                      <w:szCs w:val="21"/>
                    </w:rPr>
                  </w:pPr>
                  <w:r>
                    <w:rPr>
                      <w:color w:val="auto"/>
                      <w:sz w:val="21"/>
                      <w:szCs w:val="21"/>
                    </w:rPr>
                    <w:t>排放速率kg/h</w:t>
                  </w:r>
                </w:p>
              </w:tc>
            </w:tr>
            <w:tr w14:paraId="597A9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50" w:type="pct"/>
                  <w:vMerge w:val="restart"/>
                  <w:tcBorders>
                    <w:tl2br w:val="nil"/>
                    <w:tr2bl w:val="nil"/>
                  </w:tcBorders>
                  <w:vAlign w:val="center"/>
                </w:tcPr>
                <w:p w14:paraId="67223945">
                  <w:pPr>
                    <w:adjustRightInd w:val="0"/>
                    <w:snapToGrid w:val="0"/>
                    <w:jc w:val="center"/>
                    <w:rPr>
                      <w:color w:val="auto"/>
                      <w:szCs w:val="21"/>
                    </w:rPr>
                  </w:pPr>
                  <w:r>
                    <w:rPr>
                      <w:color w:val="auto"/>
                      <w:szCs w:val="21"/>
                    </w:rPr>
                    <w:t>排气筒</w:t>
                  </w:r>
                </w:p>
              </w:tc>
              <w:tc>
                <w:tcPr>
                  <w:tcW w:w="364" w:type="pct"/>
                  <w:tcBorders>
                    <w:tl2br w:val="nil"/>
                    <w:tr2bl w:val="nil"/>
                  </w:tcBorders>
                  <w:vAlign w:val="center"/>
                </w:tcPr>
                <w:p w14:paraId="0A66FB62">
                  <w:pPr>
                    <w:adjustRightInd w:val="0"/>
                    <w:snapToGrid w:val="0"/>
                    <w:jc w:val="center"/>
                    <w:rPr>
                      <w:color w:val="auto"/>
                      <w:szCs w:val="21"/>
                    </w:rPr>
                  </w:pPr>
                  <w:r>
                    <w:rPr>
                      <w:color w:val="auto"/>
                      <w:szCs w:val="21"/>
                    </w:rPr>
                    <w:t>NH</w:t>
                  </w:r>
                  <w:r>
                    <w:rPr>
                      <w:color w:val="auto"/>
                      <w:szCs w:val="21"/>
                      <w:vertAlign w:val="subscript"/>
                    </w:rPr>
                    <w:t>3</w:t>
                  </w:r>
                </w:p>
              </w:tc>
              <w:tc>
                <w:tcPr>
                  <w:tcW w:w="528" w:type="pct"/>
                  <w:tcBorders>
                    <w:tl2br w:val="nil"/>
                    <w:tr2bl w:val="nil"/>
                  </w:tcBorders>
                  <w:vAlign w:val="center"/>
                </w:tcPr>
                <w:p w14:paraId="3C349AFF">
                  <w:pPr>
                    <w:adjustRightInd w:val="0"/>
                    <w:snapToGrid w:val="0"/>
                    <w:jc w:val="center"/>
                    <w:rPr>
                      <w:rFonts w:hint="default" w:eastAsia="宋体"/>
                      <w:color w:val="auto"/>
                      <w:szCs w:val="21"/>
                      <w:lang w:val="en-US" w:eastAsia="zh-CN"/>
                    </w:rPr>
                  </w:pPr>
                  <w:r>
                    <w:rPr>
                      <w:rFonts w:hint="eastAsia"/>
                      <w:color w:val="auto"/>
                      <w:szCs w:val="21"/>
                      <w:lang w:val="en-US" w:eastAsia="zh-CN"/>
                    </w:rPr>
                    <w:t>0.047</w:t>
                  </w:r>
                </w:p>
              </w:tc>
              <w:tc>
                <w:tcPr>
                  <w:tcW w:w="534" w:type="pct"/>
                  <w:tcBorders>
                    <w:tl2br w:val="nil"/>
                    <w:tr2bl w:val="nil"/>
                  </w:tcBorders>
                  <w:vAlign w:val="center"/>
                </w:tcPr>
                <w:p w14:paraId="7C28198B">
                  <w:pPr>
                    <w:adjustRightInd w:val="0"/>
                    <w:snapToGrid w:val="0"/>
                    <w:jc w:val="center"/>
                    <w:rPr>
                      <w:rFonts w:hint="default" w:eastAsia="宋体"/>
                      <w:color w:val="auto"/>
                      <w:szCs w:val="21"/>
                      <w:lang w:val="en-US" w:eastAsia="zh-CN"/>
                    </w:rPr>
                  </w:pPr>
                  <w:r>
                    <w:rPr>
                      <w:rFonts w:hint="eastAsia"/>
                      <w:color w:val="auto"/>
                      <w:szCs w:val="21"/>
                      <w:lang w:val="en-US" w:eastAsia="zh-CN"/>
                    </w:rPr>
                    <w:t>1.33</w:t>
                  </w:r>
                </w:p>
              </w:tc>
              <w:tc>
                <w:tcPr>
                  <w:tcW w:w="1451" w:type="pct"/>
                  <w:vMerge w:val="restart"/>
                  <w:tcBorders>
                    <w:tl2br w:val="nil"/>
                    <w:tr2bl w:val="nil"/>
                  </w:tcBorders>
                  <w:vAlign w:val="center"/>
                </w:tcPr>
                <w:p w14:paraId="3BE84BD0">
                  <w:pPr>
                    <w:adjustRightInd w:val="0"/>
                    <w:snapToGrid w:val="0"/>
                    <w:jc w:val="center"/>
                    <w:rPr>
                      <w:color w:val="auto"/>
                      <w:szCs w:val="21"/>
                    </w:rPr>
                  </w:pPr>
                  <w:r>
                    <w:rPr>
                      <w:color w:val="auto"/>
                      <w:szCs w:val="21"/>
                    </w:rPr>
                    <w:t>活性炭吸附装置+15m高排气筒，设备去除效率</w:t>
                  </w:r>
                  <w:r>
                    <w:rPr>
                      <w:rFonts w:hint="eastAsia"/>
                      <w:color w:val="auto"/>
                      <w:szCs w:val="21"/>
                      <w:lang w:val="en-US" w:eastAsia="zh-CN"/>
                    </w:rPr>
                    <w:t>65</w:t>
                  </w:r>
                  <w:r>
                    <w:rPr>
                      <w:color w:val="auto"/>
                      <w:szCs w:val="21"/>
                    </w:rPr>
                    <w:t>%</w:t>
                  </w:r>
                </w:p>
              </w:tc>
              <w:tc>
                <w:tcPr>
                  <w:tcW w:w="631" w:type="pct"/>
                  <w:tcBorders>
                    <w:tl2br w:val="nil"/>
                    <w:tr2bl w:val="nil"/>
                  </w:tcBorders>
                  <w:vAlign w:val="center"/>
                </w:tcPr>
                <w:p w14:paraId="1DB386CE">
                  <w:pPr>
                    <w:adjustRightInd w:val="0"/>
                    <w:snapToGrid w:val="0"/>
                    <w:jc w:val="center"/>
                    <w:rPr>
                      <w:rFonts w:hint="default" w:eastAsia="宋体"/>
                      <w:color w:val="auto"/>
                      <w:szCs w:val="21"/>
                      <w:lang w:val="en-US" w:eastAsia="zh-CN"/>
                    </w:rPr>
                  </w:pPr>
                  <w:r>
                    <w:rPr>
                      <w:rFonts w:hint="eastAsia"/>
                      <w:color w:val="auto"/>
                      <w:szCs w:val="21"/>
                      <w:lang w:val="en-US" w:eastAsia="zh-CN"/>
                    </w:rPr>
                    <w:t>0.015</w:t>
                  </w:r>
                </w:p>
              </w:tc>
              <w:tc>
                <w:tcPr>
                  <w:tcW w:w="651" w:type="pct"/>
                  <w:tcBorders>
                    <w:tl2br w:val="nil"/>
                    <w:tr2bl w:val="nil"/>
                  </w:tcBorders>
                  <w:vAlign w:val="center"/>
                </w:tcPr>
                <w:p w14:paraId="4D9F586C">
                  <w:pPr>
                    <w:adjustRightInd w:val="0"/>
                    <w:snapToGrid w:val="0"/>
                    <w:jc w:val="center"/>
                    <w:rPr>
                      <w:rFonts w:hint="default" w:eastAsia="宋体"/>
                      <w:color w:val="auto"/>
                      <w:szCs w:val="21"/>
                      <w:lang w:val="en-US" w:eastAsia="zh-CN"/>
                    </w:rPr>
                  </w:pPr>
                  <w:r>
                    <w:rPr>
                      <w:rFonts w:hint="eastAsia"/>
                      <w:color w:val="auto"/>
                      <w:szCs w:val="21"/>
                      <w:lang w:val="en-US" w:eastAsia="zh-CN"/>
                    </w:rPr>
                    <w:t>1.25</w:t>
                  </w:r>
                </w:p>
              </w:tc>
              <w:tc>
                <w:tcPr>
                  <w:tcW w:w="586" w:type="pct"/>
                  <w:tcBorders>
                    <w:tl2br w:val="nil"/>
                    <w:tr2bl w:val="nil"/>
                  </w:tcBorders>
                  <w:vAlign w:val="center"/>
                </w:tcPr>
                <w:p w14:paraId="7E907D44">
                  <w:pPr>
                    <w:adjustRightInd w:val="0"/>
                    <w:snapToGrid w:val="0"/>
                    <w:jc w:val="center"/>
                    <w:rPr>
                      <w:rFonts w:hint="default" w:eastAsia="宋体"/>
                      <w:color w:val="auto"/>
                      <w:szCs w:val="21"/>
                      <w:lang w:val="en-US" w:eastAsia="zh-CN"/>
                    </w:rPr>
                  </w:pPr>
                  <w:r>
                    <w:rPr>
                      <w:color w:val="auto"/>
                      <w:szCs w:val="21"/>
                    </w:rPr>
                    <w:t>0.0</w:t>
                  </w:r>
                  <w:r>
                    <w:rPr>
                      <w:rFonts w:hint="eastAsia"/>
                      <w:color w:val="auto"/>
                      <w:szCs w:val="21"/>
                      <w:lang w:val="en-US" w:eastAsia="zh-CN"/>
                    </w:rPr>
                    <w:t>062</w:t>
                  </w:r>
                </w:p>
              </w:tc>
            </w:tr>
            <w:tr w14:paraId="24136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50" w:type="pct"/>
                  <w:vMerge w:val="continue"/>
                  <w:tcBorders>
                    <w:tl2br w:val="nil"/>
                    <w:tr2bl w:val="nil"/>
                  </w:tcBorders>
                  <w:vAlign w:val="center"/>
                </w:tcPr>
                <w:p w14:paraId="2B1B2557">
                  <w:pPr>
                    <w:adjustRightInd w:val="0"/>
                    <w:snapToGrid w:val="0"/>
                    <w:jc w:val="center"/>
                    <w:rPr>
                      <w:color w:val="auto"/>
                      <w:szCs w:val="21"/>
                    </w:rPr>
                  </w:pPr>
                </w:p>
              </w:tc>
              <w:tc>
                <w:tcPr>
                  <w:tcW w:w="364" w:type="pct"/>
                  <w:tcBorders>
                    <w:tl2br w:val="nil"/>
                    <w:tr2bl w:val="nil"/>
                  </w:tcBorders>
                  <w:vAlign w:val="center"/>
                </w:tcPr>
                <w:p w14:paraId="281FE03F">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528" w:type="pct"/>
                  <w:tcBorders>
                    <w:tl2br w:val="nil"/>
                    <w:tr2bl w:val="nil"/>
                  </w:tcBorders>
                  <w:vAlign w:val="center"/>
                </w:tcPr>
                <w:p w14:paraId="3E46F730">
                  <w:pPr>
                    <w:adjustRightInd w:val="0"/>
                    <w:snapToGrid w:val="0"/>
                    <w:jc w:val="center"/>
                    <w:rPr>
                      <w:rFonts w:hint="default" w:eastAsia="宋体"/>
                      <w:color w:val="auto"/>
                      <w:szCs w:val="21"/>
                      <w:lang w:val="en-US" w:eastAsia="zh-CN"/>
                    </w:rPr>
                  </w:pPr>
                  <w:r>
                    <w:rPr>
                      <w:rFonts w:hint="eastAsia"/>
                      <w:color w:val="auto"/>
                      <w:szCs w:val="21"/>
                      <w:lang w:val="en-US" w:eastAsia="zh-CN"/>
                    </w:rPr>
                    <w:t>0.0032</w:t>
                  </w:r>
                </w:p>
              </w:tc>
              <w:tc>
                <w:tcPr>
                  <w:tcW w:w="534" w:type="pct"/>
                  <w:tcBorders>
                    <w:tl2br w:val="nil"/>
                    <w:tr2bl w:val="nil"/>
                  </w:tcBorders>
                  <w:vAlign w:val="center"/>
                </w:tcPr>
                <w:p w14:paraId="65809FE3">
                  <w:pPr>
                    <w:adjustRightInd w:val="0"/>
                    <w:snapToGrid w:val="0"/>
                    <w:jc w:val="center"/>
                    <w:rPr>
                      <w:rFonts w:hint="default" w:eastAsia="宋体"/>
                      <w:color w:val="auto"/>
                      <w:szCs w:val="21"/>
                      <w:lang w:val="en-US" w:eastAsia="zh-CN"/>
                    </w:rPr>
                  </w:pPr>
                  <w:r>
                    <w:rPr>
                      <w:rFonts w:hint="eastAsia"/>
                      <w:color w:val="auto"/>
                      <w:szCs w:val="21"/>
                      <w:lang w:val="en-US" w:eastAsia="zh-CN"/>
                    </w:rPr>
                    <w:t>0.05</w:t>
                  </w:r>
                </w:p>
              </w:tc>
              <w:tc>
                <w:tcPr>
                  <w:tcW w:w="1451" w:type="pct"/>
                  <w:vMerge w:val="continue"/>
                  <w:tcBorders>
                    <w:tl2br w:val="nil"/>
                    <w:tr2bl w:val="nil"/>
                  </w:tcBorders>
                  <w:vAlign w:val="center"/>
                </w:tcPr>
                <w:p w14:paraId="28706E74">
                  <w:pPr>
                    <w:adjustRightInd w:val="0"/>
                    <w:snapToGrid w:val="0"/>
                    <w:jc w:val="center"/>
                    <w:rPr>
                      <w:color w:val="auto"/>
                      <w:szCs w:val="21"/>
                    </w:rPr>
                  </w:pPr>
                </w:p>
              </w:tc>
              <w:tc>
                <w:tcPr>
                  <w:tcW w:w="631" w:type="pct"/>
                  <w:tcBorders>
                    <w:tl2br w:val="nil"/>
                    <w:tr2bl w:val="nil"/>
                  </w:tcBorders>
                  <w:vAlign w:val="center"/>
                </w:tcPr>
                <w:p w14:paraId="31DB1432">
                  <w:pPr>
                    <w:adjustRightInd w:val="0"/>
                    <w:snapToGrid w:val="0"/>
                    <w:jc w:val="center"/>
                    <w:rPr>
                      <w:rFonts w:hint="default" w:eastAsia="宋体"/>
                      <w:color w:val="auto"/>
                      <w:szCs w:val="21"/>
                      <w:lang w:val="en-US" w:eastAsia="zh-CN"/>
                    </w:rPr>
                  </w:pPr>
                  <w:r>
                    <w:rPr>
                      <w:rFonts w:hint="eastAsia"/>
                      <w:color w:val="auto"/>
                      <w:szCs w:val="21"/>
                      <w:lang w:val="en-US" w:eastAsia="zh-CN"/>
                    </w:rPr>
                    <w:t>0.001</w:t>
                  </w:r>
                </w:p>
              </w:tc>
              <w:tc>
                <w:tcPr>
                  <w:tcW w:w="651" w:type="pct"/>
                  <w:tcBorders>
                    <w:tl2br w:val="nil"/>
                    <w:tr2bl w:val="nil"/>
                  </w:tcBorders>
                  <w:vAlign w:val="center"/>
                </w:tcPr>
                <w:p w14:paraId="78C3C0E1">
                  <w:pPr>
                    <w:adjustRightInd w:val="0"/>
                    <w:snapToGrid w:val="0"/>
                    <w:jc w:val="center"/>
                    <w:rPr>
                      <w:rFonts w:hint="default" w:eastAsia="宋体"/>
                      <w:color w:val="auto"/>
                      <w:szCs w:val="21"/>
                      <w:lang w:val="en-US" w:eastAsia="zh-CN"/>
                    </w:rPr>
                  </w:pPr>
                  <w:r>
                    <w:rPr>
                      <w:rFonts w:hint="eastAsia"/>
                      <w:color w:val="auto"/>
                      <w:szCs w:val="21"/>
                      <w:lang w:val="en-US" w:eastAsia="zh-CN"/>
                    </w:rPr>
                    <w:t>0.084</w:t>
                  </w:r>
                </w:p>
              </w:tc>
              <w:tc>
                <w:tcPr>
                  <w:tcW w:w="586" w:type="pct"/>
                  <w:tcBorders>
                    <w:tl2br w:val="nil"/>
                    <w:tr2bl w:val="nil"/>
                  </w:tcBorders>
                  <w:vAlign w:val="center"/>
                </w:tcPr>
                <w:p w14:paraId="3638BA3C">
                  <w:pPr>
                    <w:adjustRightInd w:val="0"/>
                    <w:snapToGrid w:val="0"/>
                    <w:jc w:val="center"/>
                    <w:rPr>
                      <w:rFonts w:hint="default" w:eastAsia="宋体"/>
                      <w:color w:val="auto"/>
                      <w:szCs w:val="21"/>
                      <w:lang w:val="en-US" w:eastAsia="zh-CN"/>
                    </w:rPr>
                  </w:pPr>
                  <w:r>
                    <w:rPr>
                      <w:color w:val="auto"/>
                      <w:szCs w:val="21"/>
                    </w:rPr>
                    <w:t>0.000</w:t>
                  </w:r>
                  <w:r>
                    <w:rPr>
                      <w:rFonts w:hint="eastAsia"/>
                      <w:color w:val="auto"/>
                      <w:szCs w:val="21"/>
                      <w:lang w:val="en-US" w:eastAsia="zh-CN"/>
                    </w:rPr>
                    <w:t>04</w:t>
                  </w:r>
                </w:p>
              </w:tc>
            </w:tr>
            <w:tr w14:paraId="383CA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50" w:type="pct"/>
                  <w:vMerge w:val="restart"/>
                  <w:tcBorders>
                    <w:tl2br w:val="nil"/>
                    <w:tr2bl w:val="nil"/>
                  </w:tcBorders>
                  <w:vAlign w:val="center"/>
                </w:tcPr>
                <w:p w14:paraId="617EA71F">
                  <w:pPr>
                    <w:adjustRightInd w:val="0"/>
                    <w:snapToGrid w:val="0"/>
                    <w:jc w:val="center"/>
                    <w:rPr>
                      <w:color w:val="auto"/>
                      <w:szCs w:val="21"/>
                    </w:rPr>
                  </w:pPr>
                  <w:r>
                    <w:rPr>
                      <w:color w:val="auto"/>
                      <w:szCs w:val="21"/>
                    </w:rPr>
                    <w:t>无组织</w:t>
                  </w:r>
                </w:p>
              </w:tc>
              <w:tc>
                <w:tcPr>
                  <w:tcW w:w="364" w:type="pct"/>
                  <w:tcBorders>
                    <w:tl2br w:val="nil"/>
                    <w:tr2bl w:val="nil"/>
                  </w:tcBorders>
                  <w:vAlign w:val="center"/>
                </w:tcPr>
                <w:p w14:paraId="7D75AAF8">
                  <w:pPr>
                    <w:adjustRightInd w:val="0"/>
                    <w:snapToGrid w:val="0"/>
                    <w:jc w:val="center"/>
                    <w:rPr>
                      <w:color w:val="auto"/>
                      <w:szCs w:val="21"/>
                    </w:rPr>
                  </w:pPr>
                  <w:r>
                    <w:rPr>
                      <w:color w:val="auto"/>
                      <w:szCs w:val="21"/>
                    </w:rPr>
                    <w:t>NH</w:t>
                  </w:r>
                  <w:r>
                    <w:rPr>
                      <w:color w:val="auto"/>
                      <w:szCs w:val="21"/>
                      <w:vertAlign w:val="subscript"/>
                    </w:rPr>
                    <w:t>3</w:t>
                  </w:r>
                </w:p>
              </w:tc>
              <w:tc>
                <w:tcPr>
                  <w:tcW w:w="528" w:type="pct"/>
                  <w:tcBorders>
                    <w:tl2br w:val="nil"/>
                    <w:tr2bl w:val="nil"/>
                  </w:tcBorders>
                  <w:vAlign w:val="center"/>
                </w:tcPr>
                <w:p w14:paraId="70D5B8DC">
                  <w:pPr>
                    <w:adjustRightInd w:val="0"/>
                    <w:snapToGrid w:val="0"/>
                    <w:jc w:val="center"/>
                    <w:rPr>
                      <w:rFonts w:hint="default" w:eastAsia="宋体"/>
                      <w:color w:val="auto"/>
                      <w:szCs w:val="21"/>
                      <w:lang w:val="en-US" w:eastAsia="zh-CN"/>
                    </w:rPr>
                  </w:pPr>
                  <w:r>
                    <w:rPr>
                      <w:color w:val="auto"/>
                      <w:szCs w:val="21"/>
                    </w:rPr>
                    <w:t>0.0</w:t>
                  </w:r>
                  <w:r>
                    <w:rPr>
                      <w:rFonts w:hint="eastAsia"/>
                      <w:color w:val="auto"/>
                      <w:szCs w:val="21"/>
                      <w:lang w:val="en-US" w:eastAsia="zh-CN"/>
                    </w:rPr>
                    <w:t>047</w:t>
                  </w:r>
                </w:p>
              </w:tc>
              <w:tc>
                <w:tcPr>
                  <w:tcW w:w="534" w:type="pct"/>
                  <w:tcBorders>
                    <w:tl2br w:val="nil"/>
                    <w:tr2bl w:val="nil"/>
                  </w:tcBorders>
                  <w:vAlign w:val="center"/>
                </w:tcPr>
                <w:p w14:paraId="4CDF038C">
                  <w:pPr>
                    <w:adjustRightInd w:val="0"/>
                    <w:snapToGrid w:val="0"/>
                    <w:jc w:val="center"/>
                    <w:rPr>
                      <w:color w:val="auto"/>
                      <w:szCs w:val="21"/>
                    </w:rPr>
                  </w:pPr>
                  <w:r>
                    <w:rPr>
                      <w:color w:val="auto"/>
                      <w:szCs w:val="21"/>
                    </w:rPr>
                    <w:t>/</w:t>
                  </w:r>
                </w:p>
              </w:tc>
              <w:tc>
                <w:tcPr>
                  <w:tcW w:w="1451" w:type="pct"/>
                  <w:vMerge w:val="restart"/>
                  <w:tcBorders>
                    <w:tl2br w:val="nil"/>
                    <w:tr2bl w:val="nil"/>
                  </w:tcBorders>
                  <w:vAlign w:val="center"/>
                </w:tcPr>
                <w:p w14:paraId="3BDD94F9">
                  <w:pPr>
                    <w:adjustRightInd w:val="0"/>
                    <w:snapToGrid w:val="0"/>
                    <w:jc w:val="center"/>
                    <w:rPr>
                      <w:color w:val="auto"/>
                      <w:szCs w:val="21"/>
                    </w:rPr>
                  </w:pPr>
                  <w:r>
                    <w:rPr>
                      <w:color w:val="auto"/>
                      <w:szCs w:val="21"/>
                    </w:rPr>
                    <w:t>水处理间密闭，喷洒除臭剂</w:t>
                  </w:r>
                </w:p>
              </w:tc>
              <w:tc>
                <w:tcPr>
                  <w:tcW w:w="631" w:type="pct"/>
                  <w:tcBorders>
                    <w:tl2br w:val="nil"/>
                    <w:tr2bl w:val="nil"/>
                  </w:tcBorders>
                  <w:vAlign w:val="center"/>
                </w:tcPr>
                <w:p w14:paraId="29D1F737">
                  <w:pPr>
                    <w:adjustRightInd w:val="0"/>
                    <w:snapToGrid w:val="0"/>
                    <w:jc w:val="center"/>
                    <w:rPr>
                      <w:color w:val="auto"/>
                      <w:szCs w:val="21"/>
                    </w:rPr>
                  </w:pPr>
                  <w:r>
                    <w:rPr>
                      <w:color w:val="auto"/>
                      <w:szCs w:val="21"/>
                    </w:rPr>
                    <w:t>0.0</w:t>
                  </w:r>
                  <w:r>
                    <w:rPr>
                      <w:rFonts w:hint="eastAsia"/>
                      <w:color w:val="auto"/>
                      <w:szCs w:val="21"/>
                      <w:lang w:val="en-US" w:eastAsia="zh-CN"/>
                    </w:rPr>
                    <w:t>047</w:t>
                  </w:r>
                </w:p>
              </w:tc>
              <w:tc>
                <w:tcPr>
                  <w:tcW w:w="651" w:type="pct"/>
                  <w:tcBorders>
                    <w:tl2br w:val="nil"/>
                    <w:tr2bl w:val="nil"/>
                  </w:tcBorders>
                  <w:vAlign w:val="center"/>
                </w:tcPr>
                <w:p w14:paraId="2399F26B">
                  <w:pPr>
                    <w:adjustRightInd w:val="0"/>
                    <w:snapToGrid w:val="0"/>
                    <w:jc w:val="center"/>
                    <w:rPr>
                      <w:color w:val="auto"/>
                      <w:szCs w:val="21"/>
                    </w:rPr>
                  </w:pPr>
                  <w:r>
                    <w:rPr>
                      <w:color w:val="auto"/>
                      <w:szCs w:val="21"/>
                    </w:rPr>
                    <w:t>/</w:t>
                  </w:r>
                </w:p>
              </w:tc>
              <w:tc>
                <w:tcPr>
                  <w:tcW w:w="586" w:type="pct"/>
                  <w:tcBorders>
                    <w:tl2br w:val="nil"/>
                    <w:tr2bl w:val="nil"/>
                  </w:tcBorders>
                  <w:vAlign w:val="center"/>
                </w:tcPr>
                <w:p w14:paraId="6AFD524D">
                  <w:pPr>
                    <w:adjustRightInd w:val="0"/>
                    <w:snapToGrid w:val="0"/>
                    <w:jc w:val="center"/>
                    <w:rPr>
                      <w:color w:val="auto"/>
                      <w:szCs w:val="21"/>
                    </w:rPr>
                  </w:pPr>
                  <w:r>
                    <w:rPr>
                      <w:color w:val="auto"/>
                      <w:szCs w:val="21"/>
                    </w:rPr>
                    <w:t>/</w:t>
                  </w:r>
                </w:p>
              </w:tc>
            </w:tr>
            <w:tr w14:paraId="7547F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50" w:type="pct"/>
                  <w:vMerge w:val="continue"/>
                  <w:tcBorders>
                    <w:tl2br w:val="nil"/>
                    <w:tr2bl w:val="nil"/>
                  </w:tcBorders>
                  <w:vAlign w:val="center"/>
                </w:tcPr>
                <w:p w14:paraId="457875D7">
                  <w:pPr>
                    <w:adjustRightInd w:val="0"/>
                    <w:snapToGrid w:val="0"/>
                    <w:jc w:val="center"/>
                    <w:rPr>
                      <w:color w:val="auto"/>
                      <w:szCs w:val="21"/>
                    </w:rPr>
                  </w:pPr>
                </w:p>
              </w:tc>
              <w:tc>
                <w:tcPr>
                  <w:tcW w:w="364" w:type="pct"/>
                  <w:tcBorders>
                    <w:tl2br w:val="nil"/>
                    <w:tr2bl w:val="nil"/>
                  </w:tcBorders>
                  <w:vAlign w:val="center"/>
                </w:tcPr>
                <w:p w14:paraId="27C6D692">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528" w:type="pct"/>
                  <w:tcBorders>
                    <w:tl2br w:val="nil"/>
                    <w:tr2bl w:val="nil"/>
                  </w:tcBorders>
                  <w:vAlign w:val="center"/>
                </w:tcPr>
                <w:p w14:paraId="5847D3D8">
                  <w:pPr>
                    <w:adjustRightInd w:val="0"/>
                    <w:snapToGrid w:val="0"/>
                    <w:jc w:val="center"/>
                    <w:rPr>
                      <w:rFonts w:hint="default" w:eastAsia="宋体"/>
                      <w:color w:val="auto"/>
                      <w:szCs w:val="21"/>
                      <w:lang w:val="en-US" w:eastAsia="zh-CN"/>
                    </w:rPr>
                  </w:pPr>
                  <w:r>
                    <w:rPr>
                      <w:color w:val="auto"/>
                      <w:szCs w:val="21"/>
                    </w:rPr>
                    <w:t>0.00</w:t>
                  </w:r>
                  <w:r>
                    <w:rPr>
                      <w:rFonts w:hint="eastAsia"/>
                      <w:color w:val="auto"/>
                      <w:szCs w:val="21"/>
                      <w:lang w:val="en-US" w:eastAsia="zh-CN"/>
                    </w:rPr>
                    <w:t>03</w:t>
                  </w:r>
                </w:p>
              </w:tc>
              <w:tc>
                <w:tcPr>
                  <w:tcW w:w="534" w:type="pct"/>
                  <w:tcBorders>
                    <w:tl2br w:val="nil"/>
                    <w:tr2bl w:val="nil"/>
                  </w:tcBorders>
                  <w:vAlign w:val="center"/>
                </w:tcPr>
                <w:p w14:paraId="18AF13B7">
                  <w:pPr>
                    <w:adjustRightInd w:val="0"/>
                    <w:snapToGrid w:val="0"/>
                    <w:jc w:val="center"/>
                    <w:rPr>
                      <w:color w:val="auto"/>
                      <w:szCs w:val="21"/>
                    </w:rPr>
                  </w:pPr>
                  <w:r>
                    <w:rPr>
                      <w:color w:val="auto"/>
                      <w:szCs w:val="21"/>
                    </w:rPr>
                    <w:t>/</w:t>
                  </w:r>
                </w:p>
              </w:tc>
              <w:tc>
                <w:tcPr>
                  <w:tcW w:w="1451" w:type="pct"/>
                  <w:vMerge w:val="continue"/>
                  <w:tcBorders>
                    <w:tl2br w:val="nil"/>
                    <w:tr2bl w:val="nil"/>
                  </w:tcBorders>
                  <w:vAlign w:val="center"/>
                </w:tcPr>
                <w:p w14:paraId="023C5314">
                  <w:pPr>
                    <w:adjustRightInd w:val="0"/>
                    <w:snapToGrid w:val="0"/>
                    <w:jc w:val="center"/>
                    <w:rPr>
                      <w:color w:val="auto"/>
                      <w:szCs w:val="21"/>
                    </w:rPr>
                  </w:pPr>
                </w:p>
              </w:tc>
              <w:tc>
                <w:tcPr>
                  <w:tcW w:w="631" w:type="pct"/>
                  <w:tcBorders>
                    <w:tl2br w:val="nil"/>
                    <w:tr2bl w:val="nil"/>
                  </w:tcBorders>
                  <w:vAlign w:val="center"/>
                </w:tcPr>
                <w:p w14:paraId="4E737650">
                  <w:pPr>
                    <w:adjustRightInd w:val="0"/>
                    <w:snapToGrid w:val="0"/>
                    <w:jc w:val="center"/>
                    <w:rPr>
                      <w:color w:val="auto"/>
                      <w:szCs w:val="21"/>
                    </w:rPr>
                  </w:pPr>
                  <w:r>
                    <w:rPr>
                      <w:color w:val="auto"/>
                      <w:szCs w:val="21"/>
                    </w:rPr>
                    <w:t>0.00</w:t>
                  </w:r>
                  <w:r>
                    <w:rPr>
                      <w:rFonts w:hint="eastAsia"/>
                      <w:color w:val="auto"/>
                      <w:szCs w:val="21"/>
                      <w:lang w:val="en-US" w:eastAsia="zh-CN"/>
                    </w:rPr>
                    <w:t>03</w:t>
                  </w:r>
                </w:p>
              </w:tc>
              <w:tc>
                <w:tcPr>
                  <w:tcW w:w="651" w:type="pct"/>
                  <w:tcBorders>
                    <w:tl2br w:val="nil"/>
                    <w:tr2bl w:val="nil"/>
                  </w:tcBorders>
                  <w:vAlign w:val="center"/>
                </w:tcPr>
                <w:p w14:paraId="1B923F02">
                  <w:pPr>
                    <w:adjustRightInd w:val="0"/>
                    <w:snapToGrid w:val="0"/>
                    <w:jc w:val="center"/>
                    <w:rPr>
                      <w:color w:val="auto"/>
                      <w:szCs w:val="21"/>
                    </w:rPr>
                  </w:pPr>
                  <w:r>
                    <w:rPr>
                      <w:color w:val="auto"/>
                      <w:szCs w:val="21"/>
                    </w:rPr>
                    <w:t>/</w:t>
                  </w:r>
                </w:p>
              </w:tc>
              <w:tc>
                <w:tcPr>
                  <w:tcW w:w="586" w:type="pct"/>
                  <w:tcBorders>
                    <w:tl2br w:val="nil"/>
                    <w:tr2bl w:val="nil"/>
                  </w:tcBorders>
                  <w:vAlign w:val="center"/>
                </w:tcPr>
                <w:p w14:paraId="592D9C36">
                  <w:pPr>
                    <w:adjustRightInd w:val="0"/>
                    <w:snapToGrid w:val="0"/>
                    <w:jc w:val="center"/>
                    <w:rPr>
                      <w:color w:val="auto"/>
                      <w:szCs w:val="21"/>
                    </w:rPr>
                  </w:pPr>
                  <w:r>
                    <w:rPr>
                      <w:color w:val="auto"/>
                      <w:szCs w:val="21"/>
                    </w:rPr>
                    <w:t>/</w:t>
                  </w:r>
                </w:p>
              </w:tc>
            </w:tr>
          </w:tbl>
          <w:p w14:paraId="6E0B7691">
            <w:pPr>
              <w:pStyle w:val="91"/>
              <w:keepNext w:val="0"/>
              <w:keepLines w:val="0"/>
              <w:pageBreakBefore w:val="0"/>
              <w:widowControl w:val="0"/>
              <w:kinsoku/>
              <w:wordWrap/>
              <w:overflowPunct/>
              <w:topLinePunct w:val="0"/>
              <w:autoSpaceDE/>
              <w:autoSpaceDN/>
              <w:bidi w:val="0"/>
              <w:adjustRightInd w:val="0"/>
              <w:snapToGrid w:val="0"/>
              <w:spacing w:before="313" w:beforeLines="100" w:line="240" w:lineRule="auto"/>
              <w:textAlignment w:val="auto"/>
              <w:rPr>
                <w:color w:val="auto"/>
              </w:rPr>
            </w:pPr>
            <w:r>
              <w:rPr>
                <w:color w:val="auto"/>
              </w:rPr>
              <w:t>表4-</w:t>
            </w:r>
            <w:r>
              <w:rPr>
                <w:rFonts w:hint="eastAsia"/>
                <w:color w:val="auto"/>
                <w:lang w:val="en-US" w:eastAsia="zh-CN"/>
              </w:rPr>
              <w:t>3</w:t>
            </w:r>
            <w:r>
              <w:rPr>
                <w:color w:val="auto"/>
              </w:rPr>
              <w:t>污水处理站废气排放口基本情况表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125"/>
              <w:gridCol w:w="1065"/>
              <w:gridCol w:w="1320"/>
              <w:gridCol w:w="960"/>
              <w:gridCol w:w="945"/>
              <w:gridCol w:w="2004"/>
            </w:tblGrid>
            <w:tr w14:paraId="102BA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91" w:type="pct"/>
                  <w:vAlign w:val="center"/>
                </w:tcPr>
                <w:p w14:paraId="294A9B95">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排放口编号</w:t>
                  </w:r>
                </w:p>
              </w:tc>
              <w:tc>
                <w:tcPr>
                  <w:tcW w:w="683" w:type="pct"/>
                  <w:vAlign w:val="center"/>
                </w:tcPr>
                <w:p w14:paraId="154FB79D">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排放口名称</w:t>
                  </w:r>
                </w:p>
              </w:tc>
              <w:tc>
                <w:tcPr>
                  <w:tcW w:w="647" w:type="pct"/>
                  <w:vAlign w:val="center"/>
                </w:tcPr>
                <w:p w14:paraId="7B8E073C">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排放口类型</w:t>
                  </w:r>
                </w:p>
              </w:tc>
              <w:tc>
                <w:tcPr>
                  <w:tcW w:w="802" w:type="pct"/>
                  <w:vAlign w:val="center"/>
                </w:tcPr>
                <w:p w14:paraId="4CFDD750">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污染物名称</w:t>
                  </w:r>
                </w:p>
              </w:tc>
              <w:tc>
                <w:tcPr>
                  <w:tcW w:w="583" w:type="pct"/>
                  <w:vAlign w:val="center"/>
                </w:tcPr>
                <w:p w14:paraId="7222716B">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排气筒高度</w:t>
                  </w:r>
                </w:p>
              </w:tc>
              <w:tc>
                <w:tcPr>
                  <w:tcW w:w="574" w:type="pct"/>
                  <w:vAlign w:val="center"/>
                </w:tcPr>
                <w:p w14:paraId="62A4A0E7">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排气筒内径</w:t>
                  </w:r>
                </w:p>
              </w:tc>
              <w:tc>
                <w:tcPr>
                  <w:tcW w:w="1217" w:type="pct"/>
                  <w:vAlign w:val="center"/>
                </w:tcPr>
                <w:p w14:paraId="28EEB4D2">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坐标</w:t>
                  </w:r>
                </w:p>
              </w:tc>
            </w:tr>
            <w:tr w14:paraId="2BCD2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1" w:type="pct"/>
                  <w:vAlign w:val="center"/>
                </w:tcPr>
                <w:p w14:paraId="2D676768">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rFonts w:hint="eastAsia" w:eastAsia="宋体"/>
                      <w:color w:val="auto"/>
                      <w:sz w:val="21"/>
                      <w:szCs w:val="21"/>
                      <w:lang w:eastAsia="zh-CN"/>
                    </w:rPr>
                  </w:pPr>
                  <w:r>
                    <w:rPr>
                      <w:color w:val="auto"/>
                      <w:sz w:val="21"/>
                      <w:szCs w:val="21"/>
                    </w:rPr>
                    <w:t>DA00</w:t>
                  </w:r>
                  <w:r>
                    <w:rPr>
                      <w:rFonts w:hint="eastAsia"/>
                      <w:color w:val="auto"/>
                      <w:sz w:val="21"/>
                      <w:szCs w:val="21"/>
                      <w:lang w:val="en-US" w:eastAsia="zh-CN"/>
                    </w:rPr>
                    <w:t>1</w:t>
                  </w:r>
                </w:p>
              </w:tc>
              <w:tc>
                <w:tcPr>
                  <w:tcW w:w="683" w:type="pct"/>
                  <w:vAlign w:val="center"/>
                </w:tcPr>
                <w:p w14:paraId="0E800994">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除臭设施排放口</w:t>
                  </w:r>
                </w:p>
              </w:tc>
              <w:tc>
                <w:tcPr>
                  <w:tcW w:w="647" w:type="pct"/>
                  <w:vAlign w:val="center"/>
                </w:tcPr>
                <w:p w14:paraId="034B0D8B">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一般排放口</w:t>
                  </w:r>
                </w:p>
              </w:tc>
              <w:tc>
                <w:tcPr>
                  <w:tcW w:w="802" w:type="pct"/>
                  <w:vAlign w:val="center"/>
                </w:tcPr>
                <w:p w14:paraId="7A70EDB2">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rFonts w:hint="eastAsia" w:eastAsia="宋体"/>
                      <w:color w:val="auto"/>
                      <w:sz w:val="21"/>
                      <w:szCs w:val="21"/>
                      <w:lang w:val="en-US" w:eastAsia="zh-CN"/>
                    </w:rPr>
                  </w:pPr>
                  <w:r>
                    <w:rPr>
                      <w:color w:val="auto"/>
                      <w:sz w:val="21"/>
                      <w:szCs w:val="21"/>
                    </w:rPr>
                    <w:t>NH</w:t>
                  </w:r>
                  <w:r>
                    <w:rPr>
                      <w:color w:val="auto"/>
                      <w:sz w:val="21"/>
                      <w:szCs w:val="21"/>
                      <w:vertAlign w:val="subscript"/>
                    </w:rPr>
                    <w:t>3</w:t>
                  </w:r>
                  <w:r>
                    <w:rPr>
                      <w:color w:val="auto"/>
                      <w:sz w:val="21"/>
                      <w:szCs w:val="21"/>
                    </w:rPr>
                    <w:t>、H</w:t>
                  </w:r>
                  <w:r>
                    <w:rPr>
                      <w:color w:val="auto"/>
                      <w:sz w:val="21"/>
                      <w:szCs w:val="21"/>
                      <w:vertAlign w:val="subscript"/>
                    </w:rPr>
                    <w:t>2</w:t>
                  </w:r>
                  <w:r>
                    <w:rPr>
                      <w:color w:val="auto"/>
                      <w:sz w:val="21"/>
                      <w:szCs w:val="21"/>
                    </w:rPr>
                    <w:t>S</w:t>
                  </w:r>
                  <w:r>
                    <w:rPr>
                      <w:rFonts w:hint="eastAsia"/>
                      <w:color w:val="auto"/>
                      <w:sz w:val="21"/>
                      <w:szCs w:val="21"/>
                      <w:lang w:val="en-US" w:eastAsia="zh-CN"/>
                    </w:rPr>
                    <w:t>、臭气浓度</w:t>
                  </w:r>
                </w:p>
              </w:tc>
              <w:tc>
                <w:tcPr>
                  <w:tcW w:w="583" w:type="pct"/>
                  <w:vAlign w:val="center"/>
                </w:tcPr>
                <w:p w14:paraId="7DB32757">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15m</w:t>
                  </w:r>
                </w:p>
              </w:tc>
              <w:tc>
                <w:tcPr>
                  <w:tcW w:w="574" w:type="pct"/>
                  <w:vAlign w:val="center"/>
                </w:tcPr>
                <w:p w14:paraId="0094658F">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color w:val="auto"/>
                      <w:sz w:val="21"/>
                      <w:szCs w:val="21"/>
                    </w:rPr>
                    <w:t>0.5m</w:t>
                  </w:r>
                </w:p>
              </w:tc>
              <w:tc>
                <w:tcPr>
                  <w:tcW w:w="1217" w:type="pct"/>
                  <w:vAlign w:val="center"/>
                </w:tcPr>
                <w:p w14:paraId="5CFC25BE">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rFonts w:hint="eastAsia" w:eastAsia="宋体"/>
                      <w:color w:val="auto"/>
                      <w:sz w:val="21"/>
                      <w:szCs w:val="21"/>
                      <w:lang w:eastAsia="zh-CN"/>
                    </w:rPr>
                  </w:pPr>
                  <w:r>
                    <w:rPr>
                      <w:rFonts w:hint="eastAsia"/>
                      <w:color w:val="auto"/>
                      <w:sz w:val="21"/>
                      <w:szCs w:val="21"/>
                      <w:lang w:val="en-US" w:eastAsia="zh-CN"/>
                    </w:rPr>
                    <w:t>E</w:t>
                  </w:r>
                  <w:r>
                    <w:rPr>
                      <w:rFonts w:hint="eastAsia"/>
                      <w:color w:val="auto"/>
                      <w:sz w:val="21"/>
                      <w:szCs w:val="21"/>
                    </w:rPr>
                    <w:t>86°02'53.1128"</w:t>
                  </w:r>
                  <w:r>
                    <w:rPr>
                      <w:rFonts w:hint="eastAsia"/>
                      <w:color w:val="auto"/>
                      <w:sz w:val="21"/>
                      <w:szCs w:val="21"/>
                      <w:lang w:eastAsia="zh-CN"/>
                    </w:rPr>
                    <w:t>，</w:t>
                  </w:r>
                </w:p>
                <w:p w14:paraId="64C073F4">
                  <w:pPr>
                    <w:pStyle w:val="23"/>
                    <w:keepNext w:val="0"/>
                    <w:keepLines w:val="0"/>
                    <w:pageBreakBefore w:val="0"/>
                    <w:widowControl w:val="0"/>
                    <w:kinsoku/>
                    <w:wordWrap/>
                    <w:overflowPunct/>
                    <w:topLinePunct w:val="0"/>
                    <w:autoSpaceDE/>
                    <w:autoSpaceDN/>
                    <w:bidi w:val="0"/>
                    <w:adjustRightInd/>
                    <w:snapToGrid/>
                    <w:ind w:left="-105" w:leftChars="-50" w:right="-105" w:rightChars="-50"/>
                    <w:textAlignment w:val="auto"/>
                    <w:rPr>
                      <w:color w:val="auto"/>
                      <w:sz w:val="21"/>
                      <w:szCs w:val="21"/>
                    </w:rPr>
                  </w:pPr>
                  <w:r>
                    <w:rPr>
                      <w:rFonts w:hint="eastAsia"/>
                      <w:color w:val="auto"/>
                      <w:sz w:val="21"/>
                      <w:szCs w:val="21"/>
                      <w:lang w:val="en-US" w:eastAsia="zh-CN"/>
                    </w:rPr>
                    <w:t>N</w:t>
                  </w:r>
                  <w:r>
                    <w:rPr>
                      <w:rFonts w:hint="eastAsia"/>
                      <w:color w:val="auto"/>
                      <w:sz w:val="21"/>
                      <w:szCs w:val="21"/>
                    </w:rPr>
                    <w:t>41°45'36.8367"</w:t>
                  </w:r>
                </w:p>
              </w:tc>
            </w:tr>
          </w:tbl>
          <w:p w14:paraId="5517BD2C">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70" w:firstLineChars="200"/>
              <w:textAlignment w:val="auto"/>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1.2废气自行监测</w:t>
            </w:r>
          </w:p>
          <w:p w14:paraId="2DA070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根据《排污单位自行监测技术指南</w:t>
            </w:r>
            <w:r>
              <w:rPr>
                <w:rFonts w:hint="eastAsia" w:ascii="宋体" w:hAnsi="宋体" w:eastAsia="宋体" w:cs="宋体"/>
                <w:sz w:val="24"/>
                <w:szCs w:val="24"/>
                <w:lang w:val="en-US" w:eastAsia="zh-CN"/>
              </w:rPr>
              <w:t>总则</w:t>
            </w:r>
            <w:r>
              <w:rPr>
                <w:rFonts w:hint="eastAsia" w:ascii="宋体" w:hAnsi="宋体" w:eastAsia="宋体" w:cs="宋体"/>
                <w:sz w:val="24"/>
                <w:szCs w:val="24"/>
              </w:rPr>
              <w:t>》（HJ820-2017</w:t>
            </w:r>
            <w:r>
              <w:rPr>
                <w:rFonts w:hint="eastAsia" w:ascii="宋体" w:hAnsi="宋体" w:cs="宋体"/>
                <w:sz w:val="24"/>
                <w:szCs w:val="24"/>
                <w:lang w:eastAsia="zh-CN"/>
              </w:rPr>
              <w:t>）</w:t>
            </w:r>
            <w:r>
              <w:rPr>
                <w:rFonts w:hint="eastAsia" w:ascii="宋体" w:hAnsi="宋体" w:eastAsia="宋体" w:cs="宋体"/>
                <w:sz w:val="24"/>
                <w:szCs w:val="24"/>
              </w:rPr>
              <w:t>和《排污单位自行监测技术指南食品制造》（HJ1084-2020</w:t>
            </w:r>
            <w:r>
              <w:rPr>
                <w:rFonts w:hint="eastAsia" w:ascii="宋体" w:hAnsi="宋体" w:cs="宋体"/>
                <w:sz w:val="24"/>
                <w:szCs w:val="24"/>
                <w:lang w:eastAsia="zh-CN"/>
              </w:rPr>
              <w:t>）</w:t>
            </w:r>
            <w:r>
              <w:rPr>
                <w:rFonts w:hint="eastAsia" w:ascii="宋体" w:hAnsi="宋体" w:eastAsia="宋体" w:cs="宋体"/>
                <w:sz w:val="24"/>
                <w:szCs w:val="24"/>
                <w:lang w:val="en-US" w:eastAsia="zh-CN"/>
              </w:rPr>
              <w:t>和</w:t>
            </w:r>
            <w:r>
              <w:rPr>
                <w:rFonts w:hint="eastAsia" w:ascii="宋体" w:hAnsi="宋体" w:eastAsia="宋体" w:cs="宋体"/>
                <w:sz w:val="24"/>
                <w:szCs w:val="24"/>
              </w:rPr>
              <w:t>《排污单位自行监测技术指南</w:t>
            </w:r>
            <w:r>
              <w:rPr>
                <w:rFonts w:hint="eastAsia" w:ascii="宋体" w:hAnsi="宋体" w:eastAsia="宋体" w:cs="宋体"/>
                <w:sz w:val="24"/>
                <w:szCs w:val="24"/>
                <w:lang w:val="en-US" w:eastAsia="zh-CN"/>
              </w:rPr>
              <w:t>农副</w:t>
            </w:r>
            <w:r>
              <w:rPr>
                <w:rFonts w:hint="eastAsia" w:ascii="宋体" w:hAnsi="宋体" w:eastAsia="宋体" w:cs="宋体"/>
                <w:sz w:val="24"/>
                <w:szCs w:val="24"/>
              </w:rPr>
              <w:t>食品</w:t>
            </w:r>
            <w:r>
              <w:rPr>
                <w:rFonts w:hint="eastAsia" w:ascii="宋体" w:hAnsi="宋体" w:eastAsia="宋体" w:cs="宋体"/>
                <w:sz w:val="24"/>
                <w:szCs w:val="24"/>
                <w:lang w:val="en-US" w:eastAsia="zh-CN"/>
              </w:rPr>
              <w:t>加工业</w:t>
            </w:r>
            <w:r>
              <w:rPr>
                <w:rFonts w:hint="eastAsia" w:ascii="宋体" w:hAnsi="宋体" w:eastAsia="宋体" w:cs="宋体"/>
                <w:sz w:val="24"/>
                <w:szCs w:val="24"/>
              </w:rPr>
              <w:t>》（HJ</w:t>
            </w:r>
            <w:r>
              <w:rPr>
                <w:rFonts w:hint="eastAsia" w:ascii="宋体" w:hAnsi="宋体" w:eastAsia="宋体" w:cs="宋体"/>
                <w:sz w:val="24"/>
                <w:szCs w:val="24"/>
                <w:lang w:val="en-US" w:eastAsia="zh-CN"/>
              </w:rPr>
              <w:t>986-2018</w:t>
            </w:r>
            <w:r>
              <w:rPr>
                <w:rFonts w:hint="eastAsia" w:ascii="宋体" w:hAnsi="宋体" w:cs="宋体"/>
                <w:sz w:val="24"/>
                <w:szCs w:val="24"/>
                <w:lang w:eastAsia="zh-CN"/>
              </w:rPr>
              <w:t>）</w:t>
            </w:r>
            <w:r>
              <w:rPr>
                <w:rFonts w:hint="eastAsia" w:ascii="宋体" w:hAnsi="宋体" w:eastAsia="宋体" w:cs="宋体"/>
                <w:sz w:val="24"/>
                <w:szCs w:val="24"/>
              </w:rPr>
              <w:t>制定本工程废气污</w:t>
            </w:r>
            <w:r>
              <w:rPr>
                <w:rFonts w:hint="eastAsia" w:ascii="宋体" w:hAnsi="宋体" w:eastAsia="宋体" w:cs="宋体"/>
                <w:color w:val="auto"/>
                <w:sz w:val="24"/>
                <w:szCs w:val="24"/>
              </w:rPr>
              <w:t>染源监测计划，详见表4-</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p>
          <w:p w14:paraId="16026C41">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表4-</w:t>
            </w:r>
            <w:r>
              <w:rPr>
                <w:rFonts w:hint="eastAsia"/>
                <w:color w:val="auto"/>
                <w:lang w:val="en-US" w:eastAsia="zh-CN"/>
              </w:rPr>
              <w:t>4</w:t>
            </w:r>
            <w:r>
              <w:rPr>
                <w:color w:val="auto"/>
              </w:rPr>
              <w:t>废气监测方案</w:t>
            </w:r>
          </w:p>
          <w:tbl>
            <w:tblPr>
              <w:tblStyle w:val="30"/>
              <w:tblW w:w="48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84"/>
              <w:gridCol w:w="3038"/>
              <w:gridCol w:w="2265"/>
              <w:gridCol w:w="1185"/>
            </w:tblGrid>
            <w:tr w14:paraId="7BED0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25" w:type="pct"/>
                  <w:vAlign w:val="center"/>
                </w:tcPr>
                <w:p w14:paraId="112F23C6">
                  <w:pPr>
                    <w:pStyle w:val="18"/>
                    <w:adjustRightInd w:val="0"/>
                    <w:snapToGrid w:val="0"/>
                    <w:spacing w:line="240" w:lineRule="auto"/>
                    <w:ind w:firstLine="0"/>
                    <w:jc w:val="center"/>
                    <w:rPr>
                      <w:color w:val="auto"/>
                      <w:sz w:val="21"/>
                      <w:szCs w:val="21"/>
                    </w:rPr>
                  </w:pPr>
                  <w:r>
                    <w:rPr>
                      <w:color w:val="auto"/>
                      <w:sz w:val="21"/>
                      <w:szCs w:val="21"/>
                    </w:rPr>
                    <w:t>环境要素</w:t>
                  </w:r>
                </w:p>
              </w:tc>
              <w:tc>
                <w:tcPr>
                  <w:tcW w:w="548" w:type="pct"/>
                  <w:vAlign w:val="center"/>
                </w:tcPr>
                <w:p w14:paraId="392B1202">
                  <w:pPr>
                    <w:pStyle w:val="18"/>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废气来源</w:t>
                  </w:r>
                </w:p>
              </w:tc>
              <w:tc>
                <w:tcPr>
                  <w:tcW w:w="1885" w:type="pct"/>
                  <w:vAlign w:val="center"/>
                </w:tcPr>
                <w:p w14:paraId="4EE2B096">
                  <w:pPr>
                    <w:pStyle w:val="18"/>
                    <w:adjustRightInd w:val="0"/>
                    <w:snapToGrid w:val="0"/>
                    <w:spacing w:line="240" w:lineRule="auto"/>
                    <w:ind w:firstLine="0"/>
                    <w:jc w:val="center"/>
                    <w:rPr>
                      <w:color w:val="auto"/>
                      <w:sz w:val="21"/>
                      <w:szCs w:val="21"/>
                    </w:rPr>
                  </w:pPr>
                  <w:r>
                    <w:rPr>
                      <w:color w:val="auto"/>
                      <w:sz w:val="21"/>
                      <w:szCs w:val="21"/>
                    </w:rPr>
                    <w:t>监测点位</w:t>
                  </w:r>
                </w:p>
              </w:tc>
              <w:tc>
                <w:tcPr>
                  <w:tcW w:w="1405" w:type="pct"/>
                  <w:vAlign w:val="center"/>
                </w:tcPr>
                <w:p w14:paraId="21E24CD7">
                  <w:pPr>
                    <w:pStyle w:val="18"/>
                    <w:adjustRightInd w:val="0"/>
                    <w:snapToGrid w:val="0"/>
                    <w:spacing w:line="240" w:lineRule="auto"/>
                    <w:ind w:firstLine="0"/>
                    <w:jc w:val="center"/>
                    <w:rPr>
                      <w:color w:val="auto"/>
                      <w:sz w:val="21"/>
                      <w:szCs w:val="21"/>
                    </w:rPr>
                  </w:pPr>
                  <w:r>
                    <w:rPr>
                      <w:color w:val="auto"/>
                      <w:sz w:val="21"/>
                      <w:szCs w:val="21"/>
                    </w:rPr>
                    <w:t>监测指标</w:t>
                  </w:r>
                </w:p>
              </w:tc>
              <w:tc>
                <w:tcPr>
                  <w:tcW w:w="735" w:type="pct"/>
                  <w:vAlign w:val="center"/>
                </w:tcPr>
                <w:p w14:paraId="10947FA3">
                  <w:pPr>
                    <w:pStyle w:val="18"/>
                    <w:adjustRightInd w:val="0"/>
                    <w:snapToGrid w:val="0"/>
                    <w:spacing w:line="240" w:lineRule="auto"/>
                    <w:ind w:firstLine="0"/>
                    <w:jc w:val="center"/>
                    <w:rPr>
                      <w:color w:val="auto"/>
                      <w:sz w:val="21"/>
                      <w:szCs w:val="21"/>
                    </w:rPr>
                  </w:pPr>
                  <w:r>
                    <w:rPr>
                      <w:color w:val="auto"/>
                      <w:sz w:val="21"/>
                      <w:szCs w:val="21"/>
                    </w:rPr>
                    <w:t>监测频次</w:t>
                  </w:r>
                </w:p>
              </w:tc>
            </w:tr>
            <w:tr w14:paraId="35D90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3AD94302">
                  <w:pPr>
                    <w:pStyle w:val="18"/>
                    <w:adjustRightInd w:val="0"/>
                    <w:snapToGrid w:val="0"/>
                    <w:spacing w:line="240" w:lineRule="auto"/>
                    <w:ind w:firstLine="0"/>
                    <w:jc w:val="center"/>
                    <w:rPr>
                      <w:color w:val="auto"/>
                      <w:sz w:val="21"/>
                      <w:szCs w:val="21"/>
                    </w:rPr>
                  </w:pPr>
                  <w:r>
                    <w:rPr>
                      <w:color w:val="auto"/>
                      <w:sz w:val="21"/>
                      <w:szCs w:val="21"/>
                    </w:rPr>
                    <w:t>废气</w:t>
                  </w:r>
                </w:p>
              </w:tc>
              <w:tc>
                <w:tcPr>
                  <w:tcW w:w="548" w:type="pct"/>
                  <w:vAlign w:val="center"/>
                </w:tcPr>
                <w:p w14:paraId="40E163F3">
                  <w:pPr>
                    <w:pStyle w:val="18"/>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油烟</w:t>
                  </w:r>
                </w:p>
              </w:tc>
              <w:tc>
                <w:tcPr>
                  <w:tcW w:w="1885" w:type="pct"/>
                  <w:vAlign w:val="center"/>
                </w:tcPr>
                <w:p w14:paraId="4FA8A402">
                  <w:pPr>
                    <w:pStyle w:val="18"/>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油烟排放口</w:t>
                  </w:r>
                </w:p>
              </w:tc>
              <w:tc>
                <w:tcPr>
                  <w:tcW w:w="1405" w:type="pct"/>
                  <w:vAlign w:val="center"/>
                </w:tcPr>
                <w:p w14:paraId="01B65517">
                  <w:pPr>
                    <w:pStyle w:val="18"/>
                    <w:adjustRightInd w:val="0"/>
                    <w:snapToGrid w:val="0"/>
                    <w:spacing w:line="240" w:lineRule="auto"/>
                    <w:ind w:firstLine="0"/>
                    <w:jc w:val="center"/>
                    <w:rPr>
                      <w:rFonts w:hint="eastAsia" w:eastAsia="宋体"/>
                      <w:color w:val="auto"/>
                      <w:sz w:val="21"/>
                      <w:szCs w:val="21"/>
                      <w:lang w:eastAsia="zh-CN"/>
                    </w:rPr>
                  </w:pPr>
                  <w:r>
                    <w:rPr>
                      <w:rFonts w:hint="eastAsia"/>
                      <w:color w:val="auto"/>
                      <w:sz w:val="21"/>
                      <w:szCs w:val="21"/>
                      <w:lang w:val="en-US" w:eastAsia="zh-CN"/>
                    </w:rPr>
                    <w:t>油烟</w:t>
                  </w:r>
                </w:p>
              </w:tc>
              <w:tc>
                <w:tcPr>
                  <w:tcW w:w="735" w:type="pct"/>
                  <w:vAlign w:val="center"/>
                </w:tcPr>
                <w:p w14:paraId="3DD08070">
                  <w:pPr>
                    <w:adjustRightInd w:val="0"/>
                    <w:snapToGrid w:val="0"/>
                    <w:jc w:val="center"/>
                    <w:rPr>
                      <w:color w:val="auto"/>
                      <w:sz w:val="21"/>
                      <w:szCs w:val="21"/>
                    </w:rPr>
                  </w:pPr>
                  <w:r>
                    <w:rPr>
                      <w:rFonts w:hint="eastAsia"/>
                      <w:color w:val="auto"/>
                      <w:sz w:val="21"/>
                      <w:szCs w:val="21"/>
                      <w:lang w:val="en-US" w:eastAsia="zh-CN"/>
                    </w:rPr>
                    <w:t>1次/半年</w:t>
                  </w:r>
                </w:p>
              </w:tc>
            </w:tr>
            <w:tr w14:paraId="2757D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25" w:type="pct"/>
                  <w:vMerge w:val="continue"/>
                  <w:vAlign w:val="center"/>
                </w:tcPr>
                <w:p w14:paraId="427F3FCE">
                  <w:pPr>
                    <w:pStyle w:val="18"/>
                    <w:adjustRightInd w:val="0"/>
                    <w:snapToGrid w:val="0"/>
                    <w:spacing w:line="240" w:lineRule="auto"/>
                    <w:ind w:firstLine="0"/>
                    <w:jc w:val="center"/>
                    <w:rPr>
                      <w:color w:val="auto"/>
                      <w:sz w:val="21"/>
                      <w:szCs w:val="21"/>
                    </w:rPr>
                  </w:pPr>
                </w:p>
              </w:tc>
              <w:tc>
                <w:tcPr>
                  <w:tcW w:w="548" w:type="pct"/>
                  <w:vAlign w:val="center"/>
                </w:tcPr>
                <w:p w14:paraId="6F4B64C2">
                  <w:pPr>
                    <w:pStyle w:val="18"/>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污水处理站</w:t>
                  </w:r>
                </w:p>
              </w:tc>
              <w:tc>
                <w:tcPr>
                  <w:tcW w:w="1885" w:type="pct"/>
                  <w:vAlign w:val="center"/>
                </w:tcPr>
                <w:p w14:paraId="59013D60">
                  <w:pPr>
                    <w:pStyle w:val="18"/>
                    <w:adjustRightInd w:val="0"/>
                    <w:snapToGrid w:val="0"/>
                    <w:spacing w:line="240" w:lineRule="auto"/>
                    <w:ind w:firstLine="0"/>
                    <w:jc w:val="center"/>
                    <w:rPr>
                      <w:rFonts w:hint="eastAsia" w:eastAsia="宋体"/>
                      <w:color w:val="auto"/>
                      <w:sz w:val="21"/>
                      <w:szCs w:val="21"/>
                      <w:lang w:val="en-US" w:eastAsia="zh-CN"/>
                    </w:rPr>
                  </w:pPr>
                  <w:r>
                    <w:rPr>
                      <w:color w:val="auto"/>
                      <w:sz w:val="21"/>
                      <w:szCs w:val="21"/>
                    </w:rPr>
                    <w:t>污水处理站排气口DA00</w:t>
                  </w:r>
                  <w:r>
                    <w:rPr>
                      <w:rFonts w:hint="eastAsia"/>
                      <w:color w:val="auto"/>
                      <w:sz w:val="21"/>
                      <w:szCs w:val="21"/>
                      <w:lang w:val="en-US" w:eastAsia="zh-CN"/>
                    </w:rPr>
                    <w:t>1</w:t>
                  </w:r>
                </w:p>
              </w:tc>
              <w:tc>
                <w:tcPr>
                  <w:tcW w:w="1405" w:type="pct"/>
                  <w:vAlign w:val="center"/>
                </w:tcPr>
                <w:p w14:paraId="5C51C2C4">
                  <w:pPr>
                    <w:pStyle w:val="18"/>
                    <w:adjustRightInd w:val="0"/>
                    <w:snapToGrid w:val="0"/>
                    <w:spacing w:line="240" w:lineRule="auto"/>
                    <w:ind w:firstLine="0"/>
                    <w:jc w:val="center"/>
                    <w:rPr>
                      <w:rFonts w:hint="default"/>
                      <w:color w:val="auto"/>
                      <w:sz w:val="21"/>
                      <w:szCs w:val="21"/>
                      <w:lang w:val="en-US" w:eastAsia="zh-CN"/>
                    </w:rPr>
                  </w:pPr>
                  <w:r>
                    <w:rPr>
                      <w:rFonts w:hint="eastAsia"/>
                      <w:color w:val="auto"/>
                      <w:sz w:val="21"/>
                      <w:szCs w:val="21"/>
                      <w:lang w:val="en-US" w:eastAsia="zh-CN"/>
                    </w:rPr>
                    <w:t>硫化氢、氨（氨气）、臭气浓度</w:t>
                  </w:r>
                </w:p>
              </w:tc>
              <w:tc>
                <w:tcPr>
                  <w:tcW w:w="735" w:type="pct"/>
                  <w:vAlign w:val="center"/>
                </w:tcPr>
                <w:p w14:paraId="6CCDED57">
                  <w:pPr>
                    <w:adjustRightInd w:val="0"/>
                    <w:snapToGrid w:val="0"/>
                    <w:jc w:val="center"/>
                    <w:rPr>
                      <w:rFonts w:hint="eastAsia"/>
                      <w:color w:val="auto"/>
                      <w:sz w:val="21"/>
                      <w:szCs w:val="21"/>
                      <w:lang w:val="en-US" w:eastAsia="zh-CN"/>
                    </w:rPr>
                  </w:pPr>
                  <w:r>
                    <w:rPr>
                      <w:rFonts w:hint="eastAsia"/>
                      <w:color w:val="auto"/>
                      <w:sz w:val="21"/>
                      <w:szCs w:val="21"/>
                      <w:lang w:val="en-US" w:eastAsia="zh-CN"/>
                    </w:rPr>
                    <w:t>1次/半年</w:t>
                  </w:r>
                </w:p>
              </w:tc>
            </w:tr>
            <w:tr w14:paraId="5E446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5" w:type="pct"/>
                  <w:vMerge w:val="continue"/>
                  <w:vAlign w:val="center"/>
                </w:tcPr>
                <w:p w14:paraId="2C316BFE">
                  <w:pPr>
                    <w:pStyle w:val="18"/>
                    <w:adjustRightInd w:val="0"/>
                    <w:snapToGrid w:val="0"/>
                    <w:spacing w:line="240" w:lineRule="auto"/>
                    <w:ind w:firstLine="0"/>
                    <w:jc w:val="center"/>
                    <w:rPr>
                      <w:color w:val="auto"/>
                      <w:sz w:val="21"/>
                      <w:szCs w:val="21"/>
                    </w:rPr>
                  </w:pPr>
                </w:p>
              </w:tc>
              <w:tc>
                <w:tcPr>
                  <w:tcW w:w="548" w:type="pct"/>
                  <w:vMerge w:val="restart"/>
                  <w:vAlign w:val="center"/>
                </w:tcPr>
                <w:p w14:paraId="5E38A483">
                  <w:pPr>
                    <w:pStyle w:val="18"/>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无组织废气</w:t>
                  </w:r>
                </w:p>
              </w:tc>
              <w:tc>
                <w:tcPr>
                  <w:tcW w:w="1885" w:type="pct"/>
                  <w:vAlign w:val="center"/>
                </w:tcPr>
                <w:p w14:paraId="6F07DAE2">
                  <w:pPr>
                    <w:pStyle w:val="18"/>
                    <w:adjustRightInd w:val="0"/>
                    <w:snapToGrid w:val="0"/>
                    <w:spacing w:line="240" w:lineRule="auto"/>
                    <w:ind w:firstLine="0"/>
                    <w:jc w:val="center"/>
                    <w:rPr>
                      <w:color w:val="auto"/>
                      <w:sz w:val="21"/>
                      <w:szCs w:val="21"/>
                    </w:rPr>
                  </w:pPr>
                  <w:r>
                    <w:rPr>
                      <w:color w:val="auto"/>
                      <w:sz w:val="21"/>
                      <w:szCs w:val="21"/>
                    </w:rPr>
                    <w:t>厂界</w:t>
                  </w:r>
                </w:p>
              </w:tc>
              <w:tc>
                <w:tcPr>
                  <w:tcW w:w="1405" w:type="pct"/>
                  <w:vAlign w:val="center"/>
                </w:tcPr>
                <w:p w14:paraId="5D464133">
                  <w:pPr>
                    <w:pStyle w:val="18"/>
                    <w:adjustRightInd w:val="0"/>
                    <w:snapToGrid w:val="0"/>
                    <w:spacing w:line="240" w:lineRule="auto"/>
                    <w:ind w:firstLine="0"/>
                    <w:jc w:val="center"/>
                    <w:rPr>
                      <w:rFonts w:hint="eastAsia" w:eastAsia="宋体"/>
                      <w:color w:val="auto"/>
                      <w:sz w:val="21"/>
                      <w:szCs w:val="21"/>
                      <w:lang w:val="en-US" w:eastAsia="zh-CN"/>
                    </w:rPr>
                  </w:pPr>
                  <w:r>
                    <w:rPr>
                      <w:color w:val="auto"/>
                      <w:sz w:val="21"/>
                      <w:szCs w:val="21"/>
                    </w:rPr>
                    <w:t>硫化氢、氨、臭气浓度</w:t>
                  </w:r>
                  <w:r>
                    <w:rPr>
                      <w:rFonts w:hint="eastAsia"/>
                      <w:color w:val="auto"/>
                      <w:sz w:val="21"/>
                      <w:szCs w:val="21"/>
                      <w:lang w:val="en-US" w:eastAsia="zh-CN"/>
                    </w:rPr>
                    <w:t>、颗粒物</w:t>
                  </w:r>
                </w:p>
              </w:tc>
              <w:tc>
                <w:tcPr>
                  <w:tcW w:w="735" w:type="pct"/>
                  <w:vAlign w:val="center"/>
                </w:tcPr>
                <w:p w14:paraId="4E41E44A">
                  <w:pPr>
                    <w:adjustRightInd w:val="0"/>
                    <w:snapToGrid w:val="0"/>
                    <w:jc w:val="center"/>
                    <w:rPr>
                      <w:color w:val="auto"/>
                      <w:sz w:val="21"/>
                      <w:szCs w:val="21"/>
                    </w:rPr>
                  </w:pPr>
                  <w:r>
                    <w:rPr>
                      <w:rFonts w:hint="eastAsia"/>
                      <w:color w:val="auto"/>
                      <w:sz w:val="21"/>
                      <w:szCs w:val="21"/>
                      <w:lang w:val="en-US" w:eastAsia="zh-CN"/>
                    </w:rPr>
                    <w:t>1次/半年</w:t>
                  </w:r>
                </w:p>
              </w:tc>
            </w:tr>
            <w:tr w14:paraId="27473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pct"/>
                  <w:vMerge w:val="continue"/>
                  <w:vAlign w:val="center"/>
                </w:tcPr>
                <w:p w14:paraId="4958BC82">
                  <w:pPr>
                    <w:pStyle w:val="18"/>
                    <w:adjustRightInd w:val="0"/>
                    <w:snapToGrid w:val="0"/>
                    <w:spacing w:line="240" w:lineRule="auto"/>
                    <w:ind w:firstLine="0"/>
                    <w:jc w:val="center"/>
                    <w:rPr>
                      <w:color w:val="auto"/>
                      <w:sz w:val="21"/>
                      <w:szCs w:val="21"/>
                    </w:rPr>
                  </w:pPr>
                </w:p>
              </w:tc>
              <w:tc>
                <w:tcPr>
                  <w:tcW w:w="548" w:type="pct"/>
                  <w:vMerge w:val="continue"/>
                  <w:vAlign w:val="center"/>
                </w:tcPr>
                <w:p w14:paraId="4ECBE74E">
                  <w:pPr>
                    <w:pStyle w:val="18"/>
                    <w:adjustRightInd w:val="0"/>
                    <w:snapToGrid w:val="0"/>
                    <w:spacing w:line="240" w:lineRule="auto"/>
                    <w:ind w:firstLine="0"/>
                    <w:jc w:val="center"/>
                    <w:rPr>
                      <w:rFonts w:hint="default"/>
                      <w:color w:val="FF0000"/>
                      <w:sz w:val="21"/>
                      <w:szCs w:val="21"/>
                      <w:lang w:val="en-US" w:eastAsia="zh-CN"/>
                    </w:rPr>
                  </w:pPr>
                </w:p>
              </w:tc>
              <w:tc>
                <w:tcPr>
                  <w:tcW w:w="1885" w:type="pct"/>
                  <w:vAlign w:val="center"/>
                </w:tcPr>
                <w:p w14:paraId="5BBBCD1B">
                  <w:pPr>
                    <w:pStyle w:val="18"/>
                    <w:adjustRightInd w:val="0"/>
                    <w:snapToGrid w:val="0"/>
                    <w:spacing w:line="240" w:lineRule="auto"/>
                    <w:ind w:firstLine="0"/>
                    <w:jc w:val="center"/>
                    <w:rPr>
                      <w:color w:val="auto"/>
                      <w:sz w:val="21"/>
                      <w:szCs w:val="21"/>
                    </w:rPr>
                  </w:pPr>
                  <w:r>
                    <w:rPr>
                      <w:rFonts w:hint="default"/>
                      <w:color w:val="auto"/>
                      <w:sz w:val="21"/>
                      <w:szCs w:val="21"/>
                      <w:lang w:val="en-US" w:eastAsia="zh-CN"/>
                    </w:rPr>
                    <w:t>污水处理设施周边厂界下风向侧或有臭气方位的边界线上</w:t>
                  </w:r>
                </w:p>
              </w:tc>
              <w:tc>
                <w:tcPr>
                  <w:tcW w:w="1405" w:type="pct"/>
                  <w:vAlign w:val="center"/>
                </w:tcPr>
                <w:p w14:paraId="577D8970">
                  <w:pPr>
                    <w:pStyle w:val="18"/>
                    <w:adjustRightInd w:val="0"/>
                    <w:snapToGrid w:val="0"/>
                    <w:spacing w:line="240" w:lineRule="auto"/>
                    <w:ind w:firstLine="0"/>
                    <w:jc w:val="center"/>
                    <w:rPr>
                      <w:rFonts w:hint="eastAsia"/>
                      <w:color w:val="auto"/>
                      <w:sz w:val="21"/>
                      <w:szCs w:val="21"/>
                      <w:lang w:val="en-US" w:eastAsia="zh-CN"/>
                    </w:rPr>
                  </w:pPr>
                  <w:r>
                    <w:rPr>
                      <w:color w:val="auto"/>
                      <w:sz w:val="21"/>
                      <w:szCs w:val="21"/>
                    </w:rPr>
                    <w:t>氨、硫化氢、臭气浓度</w:t>
                  </w:r>
                </w:p>
              </w:tc>
              <w:tc>
                <w:tcPr>
                  <w:tcW w:w="735" w:type="pct"/>
                  <w:vAlign w:val="center"/>
                </w:tcPr>
                <w:p w14:paraId="5C08662E">
                  <w:pPr>
                    <w:adjustRightInd w:val="0"/>
                    <w:snapToGrid w:val="0"/>
                    <w:jc w:val="center"/>
                    <w:rPr>
                      <w:rFonts w:hint="eastAsia"/>
                      <w:color w:val="auto"/>
                      <w:sz w:val="21"/>
                      <w:szCs w:val="21"/>
                      <w:lang w:val="en-US" w:eastAsia="zh-CN"/>
                    </w:rPr>
                  </w:pPr>
                  <w:r>
                    <w:rPr>
                      <w:rFonts w:hint="eastAsia"/>
                      <w:color w:val="auto"/>
                      <w:sz w:val="21"/>
                      <w:szCs w:val="21"/>
                      <w:lang w:val="en-US" w:eastAsia="zh-CN"/>
                    </w:rPr>
                    <w:t>1次/半年</w:t>
                  </w:r>
                </w:p>
              </w:tc>
            </w:tr>
          </w:tbl>
          <w:p w14:paraId="11C6A23B">
            <w:pPr>
              <w:pStyle w:val="17"/>
              <w:keepNext w:val="0"/>
              <w:keepLines w:val="0"/>
              <w:pageBreakBefore w:val="0"/>
              <w:widowControl w:val="0"/>
              <w:kinsoku/>
              <w:wordWrap/>
              <w:overflowPunct/>
              <w:topLinePunct w:val="0"/>
              <w:autoSpaceDE/>
              <w:autoSpaceDN/>
              <w:bidi w:val="0"/>
              <w:adjustRightInd w:val="0"/>
              <w:snapToGrid w:val="0"/>
              <w:spacing w:before="313" w:beforeLines="100" w:line="360" w:lineRule="auto"/>
              <w:ind w:left="0" w:leftChars="0" w:firstLine="482" w:firstLineChars="200"/>
              <w:textAlignment w:val="auto"/>
              <w:rPr>
                <w:b/>
                <w:bCs/>
                <w:color w:val="auto"/>
                <w:szCs w:val="24"/>
              </w:rPr>
            </w:pPr>
            <w:r>
              <w:rPr>
                <w:b/>
                <w:bCs/>
                <w:color w:val="auto"/>
                <w:szCs w:val="24"/>
              </w:rPr>
              <w:t>1.3非正常工况</w:t>
            </w:r>
          </w:p>
          <w:p w14:paraId="326AF5C8">
            <w:pPr>
              <w:pStyle w:val="17"/>
              <w:adjustRightInd w:val="0"/>
              <w:snapToGrid w:val="0"/>
              <w:spacing w:line="360" w:lineRule="auto"/>
              <w:ind w:left="0" w:leftChars="0" w:firstLine="480" w:firstLineChars="200"/>
              <w:rPr>
                <w:color w:val="auto"/>
                <w:szCs w:val="24"/>
              </w:rPr>
            </w:pPr>
            <w:r>
              <w:rPr>
                <w:color w:val="auto"/>
                <w:szCs w:val="24"/>
              </w:rPr>
              <w:t>污水处理站非正常工况一般</w:t>
            </w:r>
            <w:r>
              <w:rPr>
                <w:rFonts w:hint="eastAsia"/>
                <w:color w:val="auto"/>
                <w:szCs w:val="24"/>
              </w:rPr>
              <w:t>指</w:t>
            </w:r>
            <w:r>
              <w:rPr>
                <w:color w:val="auto"/>
                <w:szCs w:val="24"/>
              </w:rPr>
              <w:t>废气治理过程中废气收集治理设施异常，对污水处理站产生的恶臭气体收集处置效率为0。</w:t>
            </w:r>
          </w:p>
          <w:p w14:paraId="5FEB1D59">
            <w:pPr>
              <w:pStyle w:val="91"/>
              <w:rPr>
                <w:color w:val="auto"/>
              </w:rPr>
            </w:pPr>
            <w:r>
              <w:rPr>
                <w:color w:val="auto"/>
              </w:rPr>
              <w:t>表4-</w:t>
            </w:r>
            <w:r>
              <w:rPr>
                <w:rFonts w:hint="eastAsia"/>
                <w:color w:val="auto"/>
                <w:lang w:val="en-US" w:eastAsia="zh-CN"/>
              </w:rPr>
              <w:t>5</w:t>
            </w:r>
            <w:r>
              <w:rPr>
                <w:color w:val="auto"/>
              </w:rPr>
              <w:t>非正常工况一览表</w:t>
            </w:r>
          </w:p>
          <w:tbl>
            <w:tblPr>
              <w:tblStyle w:val="30"/>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48"/>
              <w:gridCol w:w="1227"/>
              <w:gridCol w:w="2024"/>
              <w:gridCol w:w="1888"/>
            </w:tblGrid>
            <w:tr w14:paraId="0667F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34" w:type="pct"/>
                  <w:vAlign w:val="center"/>
                </w:tcPr>
                <w:p w14:paraId="6002163F">
                  <w:pPr>
                    <w:pStyle w:val="17"/>
                    <w:adjustRightInd w:val="0"/>
                    <w:snapToGrid w:val="0"/>
                    <w:ind w:left="0" w:leftChars="0"/>
                    <w:jc w:val="center"/>
                    <w:rPr>
                      <w:color w:val="auto"/>
                      <w:sz w:val="21"/>
                      <w:szCs w:val="21"/>
                    </w:rPr>
                  </w:pPr>
                  <w:r>
                    <w:rPr>
                      <w:color w:val="auto"/>
                      <w:sz w:val="21"/>
                      <w:szCs w:val="21"/>
                    </w:rPr>
                    <w:t>工况</w:t>
                  </w:r>
                </w:p>
              </w:tc>
              <w:tc>
                <w:tcPr>
                  <w:tcW w:w="941" w:type="pct"/>
                  <w:vAlign w:val="center"/>
                </w:tcPr>
                <w:p w14:paraId="7C78BC7A">
                  <w:pPr>
                    <w:pStyle w:val="17"/>
                    <w:adjustRightInd w:val="0"/>
                    <w:snapToGrid w:val="0"/>
                    <w:ind w:left="0" w:leftChars="0"/>
                    <w:jc w:val="center"/>
                    <w:rPr>
                      <w:color w:val="auto"/>
                      <w:sz w:val="21"/>
                      <w:szCs w:val="21"/>
                    </w:rPr>
                  </w:pPr>
                  <w:r>
                    <w:rPr>
                      <w:color w:val="auto"/>
                      <w:sz w:val="21"/>
                      <w:szCs w:val="21"/>
                    </w:rPr>
                    <w:t>排放口</w:t>
                  </w:r>
                </w:p>
              </w:tc>
              <w:tc>
                <w:tcPr>
                  <w:tcW w:w="745" w:type="pct"/>
                  <w:vAlign w:val="center"/>
                </w:tcPr>
                <w:p w14:paraId="09E491A3">
                  <w:pPr>
                    <w:pStyle w:val="17"/>
                    <w:adjustRightInd w:val="0"/>
                    <w:snapToGrid w:val="0"/>
                    <w:ind w:left="0" w:leftChars="0"/>
                    <w:jc w:val="center"/>
                    <w:rPr>
                      <w:color w:val="auto"/>
                      <w:sz w:val="21"/>
                      <w:szCs w:val="21"/>
                    </w:rPr>
                  </w:pPr>
                  <w:r>
                    <w:rPr>
                      <w:color w:val="auto"/>
                      <w:sz w:val="21"/>
                      <w:szCs w:val="21"/>
                    </w:rPr>
                    <w:t>持续时间</w:t>
                  </w:r>
                </w:p>
              </w:tc>
              <w:tc>
                <w:tcPr>
                  <w:tcW w:w="1230" w:type="pct"/>
                  <w:vAlign w:val="center"/>
                </w:tcPr>
                <w:p w14:paraId="6D626D7D">
                  <w:pPr>
                    <w:pStyle w:val="17"/>
                    <w:adjustRightInd w:val="0"/>
                    <w:snapToGrid w:val="0"/>
                    <w:ind w:left="0" w:leftChars="0"/>
                    <w:jc w:val="center"/>
                    <w:rPr>
                      <w:color w:val="auto"/>
                      <w:sz w:val="21"/>
                      <w:szCs w:val="21"/>
                    </w:rPr>
                  </w:pPr>
                  <w:r>
                    <w:rPr>
                      <w:color w:val="auto"/>
                      <w:sz w:val="21"/>
                      <w:szCs w:val="21"/>
                    </w:rPr>
                    <w:t>污染物</w:t>
                  </w:r>
                </w:p>
              </w:tc>
              <w:tc>
                <w:tcPr>
                  <w:tcW w:w="1147" w:type="pct"/>
                  <w:vAlign w:val="center"/>
                </w:tcPr>
                <w:p w14:paraId="076DBCF9">
                  <w:pPr>
                    <w:adjustRightInd w:val="0"/>
                    <w:snapToGrid w:val="0"/>
                    <w:jc w:val="center"/>
                    <w:rPr>
                      <w:color w:val="auto"/>
                      <w:szCs w:val="21"/>
                    </w:rPr>
                  </w:pPr>
                  <w:r>
                    <w:rPr>
                      <w:color w:val="auto"/>
                    </w:rPr>
                    <w:t>排放量</w:t>
                  </w:r>
                </w:p>
              </w:tc>
            </w:tr>
            <w:tr w14:paraId="34A56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34" w:type="pct"/>
                  <w:vMerge w:val="restart"/>
                  <w:vAlign w:val="center"/>
                </w:tcPr>
                <w:p w14:paraId="3196CE8D">
                  <w:pPr>
                    <w:pStyle w:val="17"/>
                    <w:adjustRightInd w:val="0"/>
                    <w:snapToGrid w:val="0"/>
                    <w:ind w:left="0" w:leftChars="0"/>
                    <w:jc w:val="center"/>
                    <w:rPr>
                      <w:color w:val="auto"/>
                      <w:sz w:val="21"/>
                      <w:szCs w:val="21"/>
                    </w:rPr>
                  </w:pPr>
                  <w:r>
                    <w:rPr>
                      <w:color w:val="auto"/>
                      <w:sz w:val="21"/>
                      <w:szCs w:val="21"/>
                    </w:rPr>
                    <w:t>污水处理站</w:t>
                  </w:r>
                </w:p>
              </w:tc>
              <w:tc>
                <w:tcPr>
                  <w:tcW w:w="941" w:type="pct"/>
                  <w:vMerge w:val="restart"/>
                  <w:vAlign w:val="center"/>
                </w:tcPr>
                <w:p w14:paraId="04975D6E">
                  <w:pPr>
                    <w:pStyle w:val="17"/>
                    <w:adjustRightInd w:val="0"/>
                    <w:snapToGrid w:val="0"/>
                    <w:ind w:left="0" w:leftChars="0"/>
                    <w:jc w:val="center"/>
                    <w:rPr>
                      <w:color w:val="auto"/>
                      <w:sz w:val="21"/>
                      <w:szCs w:val="21"/>
                    </w:rPr>
                  </w:pPr>
                  <w:r>
                    <w:rPr>
                      <w:color w:val="auto"/>
                      <w:sz w:val="21"/>
                      <w:szCs w:val="21"/>
                    </w:rPr>
                    <w:t>污水处理站排气口</w:t>
                  </w:r>
                </w:p>
              </w:tc>
              <w:tc>
                <w:tcPr>
                  <w:tcW w:w="745" w:type="pct"/>
                  <w:vMerge w:val="restart"/>
                  <w:vAlign w:val="center"/>
                </w:tcPr>
                <w:p w14:paraId="7AFE76EE">
                  <w:pPr>
                    <w:adjustRightInd w:val="0"/>
                    <w:snapToGrid w:val="0"/>
                    <w:jc w:val="center"/>
                    <w:rPr>
                      <w:color w:val="auto"/>
                      <w:szCs w:val="21"/>
                    </w:rPr>
                  </w:pPr>
                  <w:r>
                    <w:rPr>
                      <w:color w:val="auto"/>
                      <w:szCs w:val="21"/>
                    </w:rPr>
                    <w:t>30min</w:t>
                  </w:r>
                </w:p>
              </w:tc>
              <w:tc>
                <w:tcPr>
                  <w:tcW w:w="1230" w:type="pct"/>
                  <w:vAlign w:val="center"/>
                </w:tcPr>
                <w:p w14:paraId="7FA67901">
                  <w:pPr>
                    <w:adjustRightInd w:val="0"/>
                    <w:snapToGrid w:val="0"/>
                    <w:jc w:val="center"/>
                    <w:rPr>
                      <w:color w:val="auto"/>
                      <w:szCs w:val="21"/>
                    </w:rPr>
                  </w:pPr>
                  <w:r>
                    <w:rPr>
                      <w:color w:val="auto"/>
                      <w:szCs w:val="21"/>
                    </w:rPr>
                    <w:t>硫化氢</w:t>
                  </w:r>
                </w:p>
              </w:tc>
              <w:tc>
                <w:tcPr>
                  <w:tcW w:w="1147" w:type="pct"/>
                  <w:vAlign w:val="center"/>
                </w:tcPr>
                <w:p w14:paraId="19526AE8">
                  <w:pPr>
                    <w:adjustRightInd w:val="0"/>
                    <w:snapToGrid w:val="0"/>
                    <w:jc w:val="center"/>
                    <w:rPr>
                      <w:rFonts w:hint="default"/>
                      <w:color w:val="auto"/>
                      <w:szCs w:val="21"/>
                      <w:highlight w:val="none"/>
                      <w:lang w:val="en-US"/>
                    </w:rPr>
                  </w:pPr>
                  <w:r>
                    <w:rPr>
                      <w:rFonts w:hint="eastAsia"/>
                      <w:color w:val="auto"/>
                      <w:szCs w:val="21"/>
                      <w:highlight w:val="none"/>
                      <w:lang w:val="en-US" w:eastAsia="zh-CN"/>
                    </w:rPr>
                    <w:t>0.047t/a</w:t>
                  </w:r>
                </w:p>
              </w:tc>
            </w:tr>
            <w:tr w14:paraId="19DA4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34" w:type="pct"/>
                  <w:vMerge w:val="continue"/>
                  <w:vAlign w:val="center"/>
                </w:tcPr>
                <w:p w14:paraId="51DAAD3A">
                  <w:pPr>
                    <w:pStyle w:val="17"/>
                    <w:adjustRightInd w:val="0"/>
                    <w:snapToGrid w:val="0"/>
                    <w:ind w:left="0" w:leftChars="0"/>
                    <w:jc w:val="center"/>
                    <w:rPr>
                      <w:color w:val="auto"/>
                      <w:sz w:val="21"/>
                      <w:szCs w:val="21"/>
                    </w:rPr>
                  </w:pPr>
                </w:p>
              </w:tc>
              <w:tc>
                <w:tcPr>
                  <w:tcW w:w="941" w:type="pct"/>
                  <w:vMerge w:val="continue"/>
                  <w:vAlign w:val="center"/>
                </w:tcPr>
                <w:p w14:paraId="7BC1F337">
                  <w:pPr>
                    <w:pStyle w:val="17"/>
                    <w:adjustRightInd w:val="0"/>
                    <w:snapToGrid w:val="0"/>
                    <w:ind w:left="0" w:leftChars="0"/>
                    <w:jc w:val="center"/>
                    <w:rPr>
                      <w:color w:val="auto"/>
                      <w:sz w:val="21"/>
                      <w:szCs w:val="21"/>
                    </w:rPr>
                  </w:pPr>
                </w:p>
              </w:tc>
              <w:tc>
                <w:tcPr>
                  <w:tcW w:w="745" w:type="pct"/>
                  <w:vMerge w:val="continue"/>
                  <w:vAlign w:val="center"/>
                </w:tcPr>
                <w:p w14:paraId="0EF18111">
                  <w:pPr>
                    <w:adjustRightInd w:val="0"/>
                    <w:snapToGrid w:val="0"/>
                    <w:jc w:val="center"/>
                    <w:rPr>
                      <w:color w:val="auto"/>
                      <w:szCs w:val="21"/>
                    </w:rPr>
                  </w:pPr>
                </w:p>
              </w:tc>
              <w:tc>
                <w:tcPr>
                  <w:tcW w:w="1230" w:type="pct"/>
                  <w:vAlign w:val="center"/>
                </w:tcPr>
                <w:p w14:paraId="740EE428">
                  <w:pPr>
                    <w:adjustRightInd w:val="0"/>
                    <w:snapToGrid w:val="0"/>
                    <w:jc w:val="center"/>
                    <w:rPr>
                      <w:color w:val="auto"/>
                      <w:szCs w:val="21"/>
                    </w:rPr>
                  </w:pPr>
                  <w:r>
                    <w:rPr>
                      <w:color w:val="auto"/>
                      <w:szCs w:val="21"/>
                    </w:rPr>
                    <w:t>氨</w:t>
                  </w:r>
                </w:p>
              </w:tc>
              <w:tc>
                <w:tcPr>
                  <w:tcW w:w="1147" w:type="pct"/>
                  <w:vAlign w:val="center"/>
                </w:tcPr>
                <w:p w14:paraId="446C3B2D">
                  <w:pPr>
                    <w:adjustRightInd w:val="0"/>
                    <w:snapToGrid w:val="0"/>
                    <w:jc w:val="center"/>
                    <w:rPr>
                      <w:color w:val="auto"/>
                      <w:szCs w:val="21"/>
                      <w:highlight w:val="none"/>
                    </w:rPr>
                  </w:pPr>
                  <w:r>
                    <w:rPr>
                      <w:color w:val="auto"/>
                      <w:szCs w:val="21"/>
                      <w:highlight w:val="none"/>
                    </w:rPr>
                    <w:t>0.0</w:t>
                  </w:r>
                  <w:r>
                    <w:rPr>
                      <w:rFonts w:hint="eastAsia"/>
                      <w:color w:val="auto"/>
                      <w:szCs w:val="21"/>
                      <w:highlight w:val="none"/>
                      <w:lang w:val="en-US" w:eastAsia="zh-CN"/>
                    </w:rPr>
                    <w:t>03t/a</w:t>
                  </w:r>
                </w:p>
              </w:tc>
            </w:tr>
            <w:tr w14:paraId="0EB52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14:paraId="35FEC9C1">
                  <w:pPr>
                    <w:adjustRightInd w:val="0"/>
                    <w:snapToGrid w:val="0"/>
                    <w:jc w:val="left"/>
                    <w:rPr>
                      <w:color w:val="auto"/>
                      <w:szCs w:val="21"/>
                    </w:rPr>
                  </w:pPr>
                  <w:r>
                    <w:rPr>
                      <w:color w:val="auto"/>
                      <w:szCs w:val="21"/>
                    </w:rPr>
                    <w:t>措施：加强设备保养，定期开展自行监测，存储必要的配件，发生故障时及时维修，尽快恢复设备运行。</w:t>
                  </w:r>
                </w:p>
              </w:tc>
            </w:tr>
          </w:tbl>
          <w:p w14:paraId="589D7E21">
            <w:pPr>
              <w:pStyle w:val="5"/>
              <w:ind w:firstLine="482"/>
              <w:rPr>
                <w:rFonts w:eastAsia="宋体"/>
                <w:color w:val="auto"/>
              </w:rPr>
            </w:pPr>
            <w:r>
              <w:rPr>
                <w:rFonts w:hint="eastAsia" w:eastAsia="宋体"/>
                <w:color w:val="auto"/>
                <w:lang w:val="en-US" w:eastAsia="zh-CN"/>
              </w:rPr>
              <w:t>2废水</w:t>
            </w:r>
            <w:r>
              <w:rPr>
                <w:rFonts w:eastAsia="宋体"/>
                <w:color w:val="auto"/>
              </w:rPr>
              <w:t>环境影响分析及保护措施</w:t>
            </w:r>
          </w:p>
          <w:p w14:paraId="48E64CF6">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根据《地表水环境影响评价技术导则—地表水环境》（HJ2.3-2018</w:t>
            </w:r>
            <w:r>
              <w:rPr>
                <w:rFonts w:hint="eastAsia" w:cs="Times New Roman"/>
                <w:sz w:val="24"/>
                <w:szCs w:val="24"/>
                <w:lang w:eastAsia="zh-CN"/>
              </w:rPr>
              <w:t>）</w:t>
            </w:r>
            <w:r>
              <w:rPr>
                <w:rFonts w:hint="default" w:ascii="Times New Roman" w:hAnsi="Times New Roman" w:eastAsia="宋体" w:cs="Times New Roman"/>
                <w:sz w:val="24"/>
                <w:szCs w:val="24"/>
              </w:rPr>
              <w:t>，间接排放建设项目评价等级为三级B，</w:t>
            </w:r>
            <w:r>
              <w:rPr>
                <w:rFonts w:hint="default" w:ascii="Times New Roman" w:hAnsi="Times New Roman" w:eastAsia="宋体" w:cs="Times New Roman"/>
                <w:sz w:val="24"/>
                <w:szCs w:val="24"/>
                <w:lang w:val="en-US" w:eastAsia="zh-CN"/>
              </w:rPr>
              <w:t>本项目废水排放为间接排放，可判断项目评价等级为三级B。可不进行水环境影响预测，</w:t>
            </w:r>
            <w:r>
              <w:rPr>
                <w:rFonts w:hint="default" w:ascii="Times New Roman" w:hAnsi="Times New Roman" w:eastAsia="宋体" w:cs="Times New Roman"/>
                <w:sz w:val="24"/>
                <w:szCs w:val="24"/>
              </w:rPr>
              <w:t>评价内容为：（1</w:t>
            </w:r>
            <w:r>
              <w:rPr>
                <w:rFonts w:hint="eastAsia" w:cs="Times New Roman"/>
                <w:sz w:val="24"/>
                <w:szCs w:val="24"/>
                <w:lang w:eastAsia="zh-CN"/>
              </w:rPr>
              <w:t>）</w:t>
            </w:r>
            <w:r>
              <w:rPr>
                <w:rFonts w:hint="default" w:ascii="Times New Roman" w:hAnsi="Times New Roman" w:eastAsia="宋体" w:cs="Times New Roman"/>
                <w:sz w:val="24"/>
                <w:szCs w:val="24"/>
              </w:rPr>
              <w:t>水污染控制和水环境影响减缓措施有效性评价；（2</w:t>
            </w:r>
            <w:r>
              <w:rPr>
                <w:rFonts w:hint="eastAsia" w:cs="Times New Roman"/>
                <w:sz w:val="24"/>
                <w:szCs w:val="24"/>
                <w:lang w:eastAsia="zh-CN"/>
              </w:rPr>
              <w:t>）</w:t>
            </w:r>
            <w:r>
              <w:rPr>
                <w:rFonts w:hint="default" w:ascii="Times New Roman" w:hAnsi="Times New Roman" w:eastAsia="宋体" w:cs="Times New Roman"/>
                <w:sz w:val="24"/>
                <w:szCs w:val="24"/>
              </w:rPr>
              <w:t>依托污水处理设施的环境可行性评价。</w:t>
            </w:r>
          </w:p>
          <w:p w14:paraId="6D6545EB">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本项目运营过程中</w:t>
            </w:r>
            <w:r>
              <w:rPr>
                <w:rFonts w:hint="default" w:ascii="Times New Roman" w:hAnsi="Times New Roman" w:eastAsia="宋体" w:cs="Times New Roman"/>
                <w:sz w:val="24"/>
                <w:szCs w:val="24"/>
                <w:lang w:val="en-US" w:eastAsia="zh-CN"/>
              </w:rPr>
              <w:t>外排废水包括</w:t>
            </w:r>
            <w:r>
              <w:rPr>
                <w:rFonts w:hint="default" w:ascii="Times New Roman" w:hAnsi="Times New Roman" w:eastAsia="宋体" w:cs="Times New Roman"/>
                <w:sz w:val="24"/>
                <w:szCs w:val="24"/>
              </w:rPr>
              <w:t>职工</w:t>
            </w:r>
            <w:r>
              <w:rPr>
                <w:rFonts w:hint="default" w:ascii="Times New Roman" w:hAnsi="Times New Roman" w:eastAsia="宋体" w:cs="Times New Roman"/>
                <w:sz w:val="24"/>
                <w:szCs w:val="24"/>
                <w:lang w:val="en-US" w:eastAsia="zh-CN"/>
              </w:rPr>
              <w:t>生活污水和原料</w:t>
            </w:r>
            <w:r>
              <w:rPr>
                <w:rFonts w:hint="default" w:ascii="Times New Roman" w:hAnsi="Times New Roman" w:eastAsia="宋体" w:cs="Times New Roman"/>
                <w:sz w:val="24"/>
                <w:szCs w:val="24"/>
              </w:rPr>
              <w:t>清洗</w:t>
            </w:r>
            <w:r>
              <w:rPr>
                <w:rFonts w:hint="default"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食品浸泡废水、蒸煮废水、豆制品压榨废水、软水制备废、纯水制备废水和地面</w:t>
            </w:r>
            <w:r>
              <w:rPr>
                <w:rFonts w:hint="eastAsia" w:cs="Times New Roman"/>
                <w:sz w:val="24"/>
                <w:szCs w:val="24"/>
                <w:lang w:val="en-US" w:eastAsia="zh-CN"/>
              </w:rPr>
              <w:t>擦洗废水</w:t>
            </w:r>
            <w:r>
              <w:rPr>
                <w:rFonts w:hint="default" w:ascii="Times New Roman" w:hAnsi="Times New Roman" w:eastAsia="宋体" w:cs="Times New Roman"/>
                <w:sz w:val="24"/>
                <w:szCs w:val="24"/>
                <w:lang w:val="en-US" w:eastAsia="zh-CN"/>
              </w:rPr>
              <w:t>等</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主要污染物为</w:t>
            </w:r>
            <w:r>
              <w:rPr>
                <w:rFonts w:hint="default" w:ascii="Times New Roman" w:hAnsi="Times New Roman" w:eastAsia="宋体" w:cs="Times New Roman"/>
                <w:sz w:val="24"/>
                <w:szCs w:val="24"/>
              </w:rPr>
              <w:t>COD</w:t>
            </w:r>
            <w:r>
              <w:rPr>
                <w:rFonts w:hint="default" w:ascii="Times New Roman" w:hAnsi="Times New Roman" w:eastAsia="宋体" w:cs="Times New Roman"/>
                <w:sz w:val="24"/>
                <w:szCs w:val="24"/>
                <w:vertAlign w:val="subscript"/>
              </w:rPr>
              <w:t>Cr</w:t>
            </w:r>
            <w:r>
              <w:rPr>
                <w:rFonts w:hint="default" w:ascii="Times New Roman" w:hAnsi="Times New Roman" w:eastAsia="宋体" w:cs="Times New Roman"/>
                <w:sz w:val="24"/>
                <w:szCs w:val="24"/>
                <w:lang w:val="en-US" w:eastAsia="zh-CN"/>
              </w:rPr>
              <w:t>、BOD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lang w:val="en-US" w:eastAsia="zh-CN"/>
              </w:rPr>
              <w:t>、SS、氨氮和动植物油等，均进入</w:t>
            </w:r>
            <w:r>
              <w:rPr>
                <w:rFonts w:hint="default" w:ascii="Times New Roman" w:hAnsi="Times New Roman" w:eastAsia="宋体" w:cs="Times New Roman"/>
                <w:color w:val="auto"/>
                <w:sz w:val="24"/>
                <w:szCs w:val="24"/>
                <w:lang w:val="en-US" w:eastAsia="zh-CN"/>
              </w:rPr>
              <w:t>项目区配套</w:t>
            </w:r>
            <w:r>
              <w:rPr>
                <w:rFonts w:hint="default" w:ascii="Times New Roman" w:hAnsi="Times New Roman" w:eastAsia="宋体" w:cs="Times New Roman"/>
                <w:color w:val="auto"/>
                <w:sz w:val="24"/>
                <w:szCs w:val="24"/>
              </w:rPr>
              <w:t>污水处理设施处理后，进入</w:t>
            </w:r>
            <w:r>
              <w:rPr>
                <w:rFonts w:hint="default" w:ascii="Times New Roman" w:hAnsi="Times New Roman" w:eastAsia="宋体" w:cs="Times New Roman"/>
                <w:color w:val="auto"/>
                <w:sz w:val="24"/>
                <w:szCs w:val="24"/>
                <w:lang w:val="en-US" w:eastAsia="zh-CN"/>
              </w:rPr>
              <w:t>兰干乡市政</w:t>
            </w:r>
            <w:r>
              <w:rPr>
                <w:rFonts w:hint="default" w:ascii="Times New Roman" w:hAnsi="Times New Roman" w:eastAsia="宋体" w:cs="Times New Roman"/>
                <w:color w:val="auto"/>
                <w:sz w:val="24"/>
                <w:szCs w:val="24"/>
              </w:rPr>
              <w:t>下水管网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最终进入</w:t>
            </w:r>
            <w:r>
              <w:rPr>
                <w:rFonts w:hint="default" w:ascii="Times New Roman" w:hAnsi="Times New Roman" w:eastAsia="宋体" w:cs="Times New Roman"/>
                <w:spacing w:val="-6"/>
                <w:kern w:val="2"/>
                <w:sz w:val="24"/>
                <w:szCs w:val="24"/>
                <w:lang w:val="en-US" w:eastAsia="zh-CN" w:bidi="ar-SA"/>
              </w:rPr>
              <w:t>库尔勒金城洁净排水有限责任公司库尔勒市老城区污水处理厂</w:t>
            </w:r>
            <w:r>
              <w:rPr>
                <w:rFonts w:hint="default" w:ascii="Times New Roman" w:hAnsi="Times New Roman" w:eastAsia="宋体" w:cs="Times New Roman"/>
                <w:spacing w:val="-6"/>
                <w:kern w:val="2"/>
                <w:sz w:val="24"/>
                <w:szCs w:val="24"/>
                <w:lang w:val="en-US" w:eastAsia="en-US" w:bidi="ar-SA"/>
              </w:rPr>
              <w:t>处理</w:t>
            </w:r>
            <w:r>
              <w:rPr>
                <w:rFonts w:hint="default" w:ascii="Times New Roman" w:hAnsi="Times New Roman" w:eastAsia="宋体" w:cs="Times New Roman"/>
                <w:spacing w:val="-6"/>
                <w:kern w:val="2"/>
                <w:sz w:val="24"/>
                <w:szCs w:val="24"/>
                <w:lang w:val="en-US" w:eastAsia="zh-CN" w:bidi="ar-SA"/>
              </w:rPr>
              <w:t>。</w:t>
            </w:r>
          </w:p>
          <w:p w14:paraId="4E080EE0">
            <w:pPr>
              <w:keepNext w:val="0"/>
              <w:keepLines w:val="0"/>
              <w:suppressLineNumbers w:val="0"/>
              <w:topLinePunct/>
              <w:spacing w:before="0" w:beforeAutospacing="0" w:after="0" w:afterAutospacing="0" w:line="360" w:lineRule="auto"/>
              <w:ind w:left="0" w:right="0" w:firstLine="482" w:firstLineChars="200"/>
              <w:rPr>
                <w:rFonts w:hint="eastAsia"/>
                <w:b/>
                <w:bCs/>
                <w:sz w:val="24"/>
                <w:szCs w:val="24"/>
              </w:rPr>
            </w:pPr>
            <w:r>
              <w:rPr>
                <w:rFonts w:hint="eastAsia"/>
                <w:b/>
                <w:bCs/>
                <w:sz w:val="24"/>
                <w:szCs w:val="24"/>
                <w:lang w:val="en-US" w:eastAsia="zh-CN"/>
              </w:rPr>
              <w:t>2.1职工</w:t>
            </w:r>
            <w:r>
              <w:rPr>
                <w:rFonts w:hint="eastAsia"/>
                <w:b/>
                <w:bCs/>
                <w:sz w:val="24"/>
                <w:szCs w:val="24"/>
              </w:rPr>
              <w:t>生活污水</w:t>
            </w:r>
          </w:p>
          <w:p w14:paraId="1D068A14">
            <w:pPr>
              <w:keepNext w:val="0"/>
              <w:keepLines w:val="0"/>
              <w:suppressLineNumbers w:val="0"/>
              <w:topLinePunct/>
              <w:spacing w:before="0" w:beforeAutospacing="0" w:after="0" w:afterAutospacing="0" w:line="360" w:lineRule="auto"/>
              <w:ind w:left="0" w:right="0" w:firstLine="480" w:firstLineChars="200"/>
              <w:rPr>
                <w:rFonts w:hint="eastAsia"/>
                <w:sz w:val="24"/>
                <w:szCs w:val="24"/>
              </w:rPr>
            </w:pPr>
            <w:r>
              <w:rPr>
                <w:rFonts w:hint="eastAsia"/>
                <w:sz w:val="24"/>
                <w:szCs w:val="24"/>
              </w:rPr>
              <w:t>该企业</w:t>
            </w:r>
            <w:r>
              <w:rPr>
                <w:rFonts w:hint="eastAsia"/>
                <w:sz w:val="24"/>
                <w:szCs w:val="24"/>
                <w:lang w:val="en-US" w:eastAsia="zh-CN"/>
              </w:rPr>
              <w:t>运营期</w:t>
            </w:r>
            <w:r>
              <w:rPr>
                <w:rFonts w:hint="eastAsia"/>
                <w:sz w:val="24"/>
                <w:szCs w:val="24"/>
              </w:rPr>
              <w:t>共有</w:t>
            </w:r>
            <w:r>
              <w:rPr>
                <w:rFonts w:hint="eastAsia"/>
                <w:sz w:val="24"/>
                <w:szCs w:val="24"/>
                <w:lang w:val="en-US" w:eastAsia="zh-CN"/>
              </w:rPr>
              <w:t>120</w:t>
            </w:r>
            <w:r>
              <w:rPr>
                <w:rFonts w:hint="eastAsia"/>
                <w:sz w:val="24"/>
                <w:szCs w:val="24"/>
              </w:rPr>
              <w:t>名职工，均</w:t>
            </w:r>
            <w:r>
              <w:rPr>
                <w:rFonts w:hint="eastAsia"/>
                <w:sz w:val="24"/>
                <w:szCs w:val="24"/>
                <w:lang w:val="en-US" w:eastAsia="zh-CN"/>
              </w:rPr>
              <w:t>不</w:t>
            </w:r>
            <w:r>
              <w:rPr>
                <w:rFonts w:hint="eastAsia"/>
                <w:sz w:val="24"/>
                <w:szCs w:val="24"/>
              </w:rPr>
              <w:t>在</w:t>
            </w:r>
            <w:r>
              <w:rPr>
                <w:rFonts w:hint="eastAsia"/>
                <w:sz w:val="24"/>
                <w:szCs w:val="24"/>
                <w:lang w:val="en-US" w:eastAsia="zh-CN"/>
              </w:rPr>
              <w:t>项目区</w:t>
            </w:r>
            <w:r>
              <w:rPr>
                <w:rFonts w:hint="eastAsia"/>
                <w:sz w:val="24"/>
                <w:szCs w:val="24"/>
              </w:rPr>
              <w:t>内食宿，</w:t>
            </w:r>
            <w:r>
              <w:rPr>
                <w:rFonts w:hint="eastAsia"/>
                <w:sz w:val="24"/>
                <w:szCs w:val="24"/>
                <w:lang w:val="en-US" w:eastAsia="zh-CN"/>
              </w:rPr>
              <w:t>办公</w:t>
            </w:r>
            <w:r>
              <w:rPr>
                <w:rFonts w:hint="eastAsia"/>
                <w:sz w:val="24"/>
                <w:szCs w:val="24"/>
              </w:rPr>
              <w:t>职工用水量参考《新疆维吾尔自治区生活用水定额》（新政办发[2007]105号</w:t>
            </w:r>
            <w:r>
              <w:rPr>
                <w:rFonts w:hint="eastAsia"/>
                <w:sz w:val="24"/>
                <w:szCs w:val="24"/>
                <w:lang w:eastAsia="zh-CN"/>
              </w:rPr>
              <w:t>）</w:t>
            </w:r>
            <w:r>
              <w:rPr>
                <w:rFonts w:hint="eastAsia"/>
                <w:sz w:val="24"/>
                <w:szCs w:val="24"/>
              </w:rPr>
              <w:t>规定以及2010年新疆巴州城镇统计人均用水指标，职工均不在厂区内食宿，用水量按每人平均</w:t>
            </w:r>
            <w:r>
              <w:rPr>
                <w:rFonts w:hint="eastAsia"/>
                <w:sz w:val="24"/>
                <w:szCs w:val="24"/>
                <w:lang w:val="en-US" w:eastAsia="zh-CN"/>
              </w:rPr>
              <w:t>30</w:t>
            </w:r>
            <w:r>
              <w:rPr>
                <w:rFonts w:hint="eastAsia"/>
                <w:sz w:val="24"/>
                <w:szCs w:val="24"/>
              </w:rPr>
              <w:t>L/d计算，则生活用水量为</w:t>
            </w:r>
            <w:r>
              <w:rPr>
                <w:rFonts w:hint="eastAsia"/>
                <w:sz w:val="24"/>
                <w:szCs w:val="24"/>
                <w:lang w:val="en-US" w:eastAsia="zh-CN"/>
              </w:rPr>
              <w:t>2.7</w:t>
            </w:r>
            <w:r>
              <w:rPr>
                <w:rFonts w:hint="eastAsia"/>
                <w:sz w:val="24"/>
                <w:szCs w:val="24"/>
              </w:rPr>
              <w:t>m</w:t>
            </w:r>
            <w:r>
              <w:rPr>
                <w:rFonts w:hint="eastAsia"/>
                <w:sz w:val="24"/>
                <w:szCs w:val="24"/>
                <w:vertAlign w:val="superscript"/>
              </w:rPr>
              <w:t>3</w:t>
            </w:r>
            <w:r>
              <w:rPr>
                <w:rFonts w:hint="eastAsia"/>
                <w:sz w:val="24"/>
                <w:szCs w:val="24"/>
              </w:rPr>
              <w:t>/d、</w:t>
            </w:r>
            <w:r>
              <w:rPr>
                <w:rFonts w:hint="eastAsia"/>
                <w:sz w:val="24"/>
                <w:szCs w:val="24"/>
                <w:lang w:val="en-US" w:eastAsia="zh-CN"/>
              </w:rPr>
              <w:t>810</w:t>
            </w:r>
            <w:r>
              <w:rPr>
                <w:rFonts w:hint="eastAsia"/>
                <w:sz w:val="24"/>
                <w:szCs w:val="24"/>
              </w:rPr>
              <w:t>m</w:t>
            </w:r>
            <w:r>
              <w:rPr>
                <w:rFonts w:hint="eastAsia"/>
                <w:sz w:val="24"/>
                <w:szCs w:val="24"/>
                <w:vertAlign w:val="superscript"/>
              </w:rPr>
              <w:t>3</w:t>
            </w:r>
            <w:r>
              <w:rPr>
                <w:rFonts w:hint="eastAsia"/>
                <w:sz w:val="24"/>
                <w:szCs w:val="24"/>
              </w:rPr>
              <w:t>/a。生活污水排放量按用水量的80%计，则为</w:t>
            </w:r>
            <w:r>
              <w:rPr>
                <w:rFonts w:hint="eastAsia"/>
                <w:sz w:val="24"/>
                <w:szCs w:val="24"/>
                <w:lang w:val="en-US" w:eastAsia="zh-CN"/>
              </w:rPr>
              <w:t>2.16</w:t>
            </w:r>
            <w:r>
              <w:rPr>
                <w:rFonts w:hint="eastAsia"/>
                <w:sz w:val="24"/>
                <w:szCs w:val="24"/>
              </w:rPr>
              <w:t>m</w:t>
            </w:r>
            <w:r>
              <w:rPr>
                <w:rFonts w:hint="eastAsia"/>
                <w:sz w:val="24"/>
                <w:szCs w:val="24"/>
                <w:vertAlign w:val="superscript"/>
              </w:rPr>
              <w:t>3</w:t>
            </w:r>
            <w:r>
              <w:rPr>
                <w:rFonts w:hint="eastAsia"/>
                <w:sz w:val="24"/>
                <w:szCs w:val="24"/>
              </w:rPr>
              <w:t>/d、</w:t>
            </w:r>
            <w:r>
              <w:rPr>
                <w:rFonts w:hint="eastAsia"/>
                <w:sz w:val="24"/>
                <w:szCs w:val="24"/>
                <w:lang w:val="en-US" w:eastAsia="zh-CN"/>
              </w:rPr>
              <w:t>648</w:t>
            </w:r>
            <w:r>
              <w:rPr>
                <w:rFonts w:hint="eastAsia"/>
                <w:sz w:val="24"/>
                <w:szCs w:val="24"/>
              </w:rPr>
              <w:t>m</w:t>
            </w:r>
            <w:r>
              <w:rPr>
                <w:rFonts w:hint="eastAsia"/>
                <w:sz w:val="24"/>
                <w:szCs w:val="24"/>
                <w:vertAlign w:val="superscript"/>
              </w:rPr>
              <w:t>3</w:t>
            </w:r>
            <w:r>
              <w:rPr>
                <w:rFonts w:hint="eastAsia"/>
                <w:sz w:val="24"/>
                <w:szCs w:val="24"/>
              </w:rPr>
              <w:t>/a。</w:t>
            </w:r>
          </w:p>
          <w:p w14:paraId="48D287EB">
            <w:pPr>
              <w:adjustRightInd w:val="0"/>
              <w:snapToGrid w:val="0"/>
              <w:spacing w:line="360" w:lineRule="auto"/>
              <w:ind w:firstLine="480" w:firstLineChars="200"/>
              <w:rPr>
                <w:b/>
                <w:bCs/>
                <w:color w:val="auto"/>
                <w:szCs w:val="21"/>
              </w:rPr>
            </w:pPr>
            <w:r>
              <w:rPr>
                <w:color w:val="auto"/>
                <w:sz w:val="24"/>
              </w:rPr>
              <w:t>综上所述，本项目</w:t>
            </w:r>
            <w:r>
              <w:rPr>
                <w:rFonts w:hint="eastAsia"/>
                <w:color w:val="auto"/>
                <w:sz w:val="24"/>
              </w:rPr>
              <w:t>生活污水</w:t>
            </w:r>
            <w:r>
              <w:rPr>
                <w:color w:val="auto"/>
                <w:sz w:val="24"/>
              </w:rPr>
              <w:t>排放量为</w:t>
            </w:r>
            <w:r>
              <w:rPr>
                <w:rFonts w:hint="eastAsia"/>
                <w:color w:val="auto"/>
                <w:sz w:val="24"/>
                <w:lang w:val="en-US" w:eastAsia="zh-CN"/>
              </w:rPr>
              <w:t>648</w:t>
            </w:r>
            <w:r>
              <w:rPr>
                <w:color w:val="auto"/>
                <w:sz w:val="24"/>
              </w:rPr>
              <w:t>m</w:t>
            </w:r>
            <w:r>
              <w:rPr>
                <w:color w:val="auto"/>
                <w:sz w:val="24"/>
                <w:vertAlign w:val="superscript"/>
              </w:rPr>
              <w:t>3</w:t>
            </w:r>
            <w:r>
              <w:rPr>
                <w:color w:val="auto"/>
                <w:sz w:val="24"/>
              </w:rPr>
              <w:t>/a。项目区生活</w:t>
            </w:r>
            <w:r>
              <w:rPr>
                <w:rFonts w:hint="eastAsia"/>
                <w:color w:val="auto"/>
                <w:sz w:val="24"/>
                <w:lang w:val="en-US" w:eastAsia="zh-CN"/>
              </w:rPr>
              <w:t>污水</w:t>
            </w:r>
            <w:r>
              <w:rPr>
                <w:color w:val="auto"/>
                <w:sz w:val="24"/>
              </w:rPr>
              <w:t>经防渗化粪池收集处理</w:t>
            </w:r>
            <w:r>
              <w:rPr>
                <w:rFonts w:hint="eastAsia"/>
                <w:color w:val="auto"/>
                <w:sz w:val="24"/>
                <w:lang w:val="en-US" w:eastAsia="zh-CN"/>
              </w:rPr>
              <w:t>后进入配套污水处理</w:t>
            </w:r>
            <w:r>
              <w:rPr>
                <w:rFonts w:hint="eastAsia"/>
                <w:color w:val="auto"/>
                <w:sz w:val="24"/>
                <w:highlight w:val="none"/>
                <w:lang w:val="en-US" w:eastAsia="zh-CN"/>
              </w:rPr>
              <w:t>站</w:t>
            </w:r>
            <w:r>
              <w:rPr>
                <w:color w:val="auto"/>
                <w:sz w:val="24"/>
                <w:highlight w:val="none"/>
              </w:rPr>
              <w:t>，</w:t>
            </w:r>
            <w:r>
              <w:rPr>
                <w:rFonts w:hint="eastAsia"/>
                <w:color w:val="auto"/>
                <w:sz w:val="24"/>
                <w:highlight w:val="none"/>
                <w:lang w:val="en-US" w:eastAsia="zh-CN"/>
              </w:rPr>
              <w:t>总排口</w:t>
            </w:r>
            <w:r>
              <w:rPr>
                <w:color w:val="auto"/>
                <w:sz w:val="24"/>
                <w:szCs w:val="32"/>
                <w:highlight w:val="none"/>
              </w:rPr>
              <w:t>水质达到</w:t>
            </w:r>
            <w:r>
              <w:rPr>
                <w:rFonts w:hint="eastAsia"/>
                <w:color w:val="auto"/>
                <w:sz w:val="24"/>
                <w:szCs w:val="32"/>
                <w:highlight w:val="none"/>
                <w:lang w:eastAsia="zh-CN"/>
              </w:rPr>
              <w:t>《肉类加工工业水污染物排放标准》（GB13457-92）中表3三级排放限值标准</w:t>
            </w:r>
            <w:r>
              <w:rPr>
                <w:color w:val="auto"/>
                <w:sz w:val="24"/>
                <w:szCs w:val="32"/>
                <w:highlight w:val="none"/>
              </w:rPr>
              <w:t>排入</w:t>
            </w:r>
            <w:r>
              <w:rPr>
                <w:rFonts w:hint="eastAsia"/>
                <w:color w:val="auto"/>
                <w:sz w:val="24"/>
                <w:szCs w:val="32"/>
                <w:highlight w:val="none"/>
                <w:lang w:val="en-US" w:eastAsia="zh-CN"/>
              </w:rPr>
              <w:t>市政</w:t>
            </w:r>
            <w:r>
              <w:rPr>
                <w:color w:val="auto"/>
                <w:sz w:val="24"/>
                <w:szCs w:val="32"/>
                <w:highlight w:val="none"/>
              </w:rPr>
              <w:t>污水管网，最终进入</w:t>
            </w:r>
            <w:r>
              <w:rPr>
                <w:rFonts w:hint="eastAsia"/>
                <w:color w:val="auto"/>
                <w:sz w:val="24"/>
                <w:szCs w:val="32"/>
                <w:highlight w:val="none"/>
              </w:rPr>
              <w:t>库尔勒金城洁净排水有限责任公司库尔勒市老城区污水处理</w:t>
            </w:r>
            <w:r>
              <w:rPr>
                <w:rFonts w:hint="eastAsia"/>
                <w:color w:val="auto"/>
                <w:sz w:val="24"/>
                <w:szCs w:val="32"/>
              </w:rPr>
              <w:t>厂</w:t>
            </w:r>
            <w:r>
              <w:rPr>
                <w:color w:val="auto"/>
                <w:sz w:val="24"/>
                <w:szCs w:val="32"/>
              </w:rPr>
              <w:t>处理。</w:t>
            </w:r>
          </w:p>
          <w:p w14:paraId="4242E6DC">
            <w:pPr>
              <w:pStyle w:val="91"/>
              <w:rPr>
                <w:color w:val="auto"/>
              </w:rPr>
            </w:pPr>
            <w:r>
              <w:rPr>
                <w:color w:val="auto"/>
              </w:rPr>
              <w:t>表4-</w:t>
            </w:r>
            <w:r>
              <w:rPr>
                <w:rFonts w:hint="eastAsia"/>
                <w:color w:val="auto"/>
                <w:lang w:val="en-US" w:eastAsia="zh-CN"/>
              </w:rPr>
              <w:t>6</w:t>
            </w:r>
            <w:r>
              <w:rPr>
                <w:color w:val="auto"/>
              </w:rPr>
              <w:t>生活污水产排放情况一览表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645"/>
              <w:gridCol w:w="1644"/>
              <w:gridCol w:w="1644"/>
              <w:gridCol w:w="1644"/>
            </w:tblGrid>
            <w:tr w14:paraId="39504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pct"/>
                  <w:vAlign w:val="center"/>
                </w:tcPr>
                <w:p w14:paraId="691A2BB5">
                  <w:pPr>
                    <w:adjustRightInd w:val="0"/>
                    <w:snapToGrid w:val="0"/>
                    <w:jc w:val="center"/>
                    <w:outlineLvl w:val="2"/>
                    <w:rPr>
                      <w:color w:val="auto"/>
                      <w:szCs w:val="21"/>
                    </w:rPr>
                  </w:pPr>
                  <w:r>
                    <w:rPr>
                      <w:color w:val="auto"/>
                      <w:szCs w:val="21"/>
                    </w:rPr>
                    <w:t>项目</w:t>
                  </w:r>
                </w:p>
              </w:tc>
              <w:tc>
                <w:tcPr>
                  <w:tcW w:w="1000" w:type="pct"/>
                  <w:vAlign w:val="center"/>
                </w:tcPr>
                <w:p w14:paraId="5CC0FA87">
                  <w:pPr>
                    <w:adjustRightInd w:val="0"/>
                    <w:snapToGrid w:val="0"/>
                    <w:jc w:val="center"/>
                    <w:outlineLvl w:val="2"/>
                    <w:rPr>
                      <w:color w:val="auto"/>
                      <w:szCs w:val="21"/>
                    </w:rPr>
                  </w:pPr>
                  <w:r>
                    <w:rPr>
                      <w:color w:val="auto"/>
                      <w:szCs w:val="21"/>
                    </w:rPr>
                    <w:t>产生浓度</w:t>
                  </w:r>
                </w:p>
                <w:p w14:paraId="5C10C20F">
                  <w:pPr>
                    <w:pStyle w:val="2"/>
                    <w:adjustRightInd w:val="0"/>
                    <w:snapToGrid w:val="0"/>
                    <w:ind w:left="0" w:leftChars="0" w:firstLine="0"/>
                    <w:jc w:val="center"/>
                    <w:rPr>
                      <w:rFonts w:hint="eastAsia" w:eastAsia="宋体"/>
                      <w:color w:val="auto"/>
                      <w:sz w:val="21"/>
                      <w:szCs w:val="21"/>
                      <w:lang w:eastAsia="zh-CN"/>
                    </w:rPr>
                  </w:pPr>
                  <w:r>
                    <w:rPr>
                      <w:color w:val="auto"/>
                      <w:sz w:val="21"/>
                      <w:szCs w:val="21"/>
                    </w:rPr>
                    <w:t>（mg/L</w:t>
                  </w:r>
                  <w:r>
                    <w:rPr>
                      <w:rFonts w:hint="eastAsia"/>
                      <w:color w:val="auto"/>
                      <w:sz w:val="21"/>
                      <w:szCs w:val="21"/>
                      <w:lang w:eastAsia="zh-CN"/>
                    </w:rPr>
                    <w:t>）</w:t>
                  </w:r>
                </w:p>
              </w:tc>
              <w:tc>
                <w:tcPr>
                  <w:tcW w:w="1000" w:type="pct"/>
                  <w:vAlign w:val="center"/>
                </w:tcPr>
                <w:p w14:paraId="0F5ABF2B">
                  <w:pPr>
                    <w:adjustRightInd w:val="0"/>
                    <w:snapToGrid w:val="0"/>
                    <w:jc w:val="center"/>
                    <w:outlineLvl w:val="2"/>
                    <w:rPr>
                      <w:color w:val="auto"/>
                      <w:szCs w:val="21"/>
                    </w:rPr>
                  </w:pPr>
                  <w:r>
                    <w:rPr>
                      <w:color w:val="auto"/>
                      <w:szCs w:val="21"/>
                    </w:rPr>
                    <w:t>产生量</w:t>
                  </w:r>
                </w:p>
                <w:p w14:paraId="610C1F46">
                  <w:pPr>
                    <w:adjustRightInd w:val="0"/>
                    <w:snapToGrid w:val="0"/>
                    <w:jc w:val="center"/>
                    <w:outlineLvl w:val="2"/>
                    <w:rPr>
                      <w:rFonts w:hint="eastAsia" w:eastAsia="宋体"/>
                      <w:color w:val="auto"/>
                      <w:szCs w:val="21"/>
                      <w:lang w:eastAsia="zh-CN"/>
                    </w:rPr>
                  </w:pPr>
                  <w:r>
                    <w:rPr>
                      <w:color w:val="auto"/>
                      <w:szCs w:val="21"/>
                    </w:rPr>
                    <w:t>（t/a</w:t>
                  </w:r>
                  <w:r>
                    <w:rPr>
                      <w:rFonts w:hint="eastAsia"/>
                      <w:color w:val="auto"/>
                      <w:szCs w:val="21"/>
                      <w:lang w:eastAsia="zh-CN"/>
                    </w:rPr>
                    <w:t>）</w:t>
                  </w:r>
                </w:p>
              </w:tc>
              <w:tc>
                <w:tcPr>
                  <w:tcW w:w="1000" w:type="pct"/>
                  <w:vAlign w:val="center"/>
                </w:tcPr>
                <w:p w14:paraId="38E73D9D">
                  <w:pPr>
                    <w:adjustRightInd w:val="0"/>
                    <w:snapToGrid w:val="0"/>
                    <w:jc w:val="center"/>
                    <w:outlineLvl w:val="2"/>
                    <w:rPr>
                      <w:color w:val="auto"/>
                      <w:szCs w:val="21"/>
                    </w:rPr>
                  </w:pPr>
                  <w:r>
                    <w:rPr>
                      <w:color w:val="auto"/>
                      <w:szCs w:val="21"/>
                    </w:rPr>
                    <w:t>排放浓度</w:t>
                  </w:r>
                </w:p>
                <w:p w14:paraId="0DD39D37">
                  <w:pPr>
                    <w:pStyle w:val="2"/>
                    <w:adjustRightInd w:val="0"/>
                    <w:snapToGrid w:val="0"/>
                    <w:ind w:left="0" w:leftChars="0" w:firstLine="0"/>
                    <w:jc w:val="center"/>
                    <w:rPr>
                      <w:rFonts w:hint="eastAsia" w:eastAsia="宋体"/>
                      <w:color w:val="auto"/>
                      <w:sz w:val="21"/>
                      <w:szCs w:val="21"/>
                      <w:lang w:eastAsia="zh-CN"/>
                    </w:rPr>
                  </w:pPr>
                  <w:r>
                    <w:rPr>
                      <w:color w:val="auto"/>
                      <w:sz w:val="21"/>
                      <w:szCs w:val="21"/>
                    </w:rPr>
                    <w:t>（mg/L</w:t>
                  </w:r>
                  <w:r>
                    <w:rPr>
                      <w:rFonts w:hint="eastAsia"/>
                      <w:color w:val="auto"/>
                      <w:sz w:val="21"/>
                      <w:szCs w:val="21"/>
                      <w:lang w:eastAsia="zh-CN"/>
                    </w:rPr>
                    <w:t>）</w:t>
                  </w:r>
                </w:p>
              </w:tc>
              <w:tc>
                <w:tcPr>
                  <w:tcW w:w="1000" w:type="pct"/>
                  <w:vAlign w:val="center"/>
                </w:tcPr>
                <w:p w14:paraId="46171F15">
                  <w:pPr>
                    <w:adjustRightInd w:val="0"/>
                    <w:snapToGrid w:val="0"/>
                    <w:jc w:val="center"/>
                    <w:outlineLvl w:val="2"/>
                    <w:rPr>
                      <w:color w:val="auto"/>
                      <w:szCs w:val="21"/>
                    </w:rPr>
                  </w:pPr>
                  <w:r>
                    <w:rPr>
                      <w:color w:val="auto"/>
                      <w:szCs w:val="21"/>
                    </w:rPr>
                    <w:t>排放量</w:t>
                  </w:r>
                </w:p>
                <w:p w14:paraId="1A0DA21B">
                  <w:pPr>
                    <w:adjustRightInd w:val="0"/>
                    <w:snapToGrid w:val="0"/>
                    <w:jc w:val="center"/>
                    <w:outlineLvl w:val="2"/>
                    <w:rPr>
                      <w:rFonts w:hint="eastAsia" w:eastAsia="宋体"/>
                      <w:color w:val="auto"/>
                      <w:szCs w:val="21"/>
                      <w:lang w:eastAsia="zh-CN"/>
                    </w:rPr>
                  </w:pPr>
                  <w:r>
                    <w:rPr>
                      <w:color w:val="auto"/>
                      <w:szCs w:val="21"/>
                    </w:rPr>
                    <w:t>（t/a</w:t>
                  </w:r>
                  <w:r>
                    <w:rPr>
                      <w:rFonts w:hint="eastAsia"/>
                      <w:color w:val="auto"/>
                      <w:szCs w:val="21"/>
                      <w:lang w:eastAsia="zh-CN"/>
                    </w:rPr>
                    <w:t>）</w:t>
                  </w:r>
                </w:p>
              </w:tc>
            </w:tr>
            <w:tr w14:paraId="5C2B6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pct"/>
                  <w:vAlign w:val="center"/>
                </w:tcPr>
                <w:p w14:paraId="30FF86A8">
                  <w:pPr>
                    <w:adjustRightInd w:val="0"/>
                    <w:snapToGrid w:val="0"/>
                    <w:jc w:val="center"/>
                    <w:outlineLvl w:val="2"/>
                    <w:rPr>
                      <w:color w:val="auto"/>
                      <w:szCs w:val="21"/>
                    </w:rPr>
                  </w:pPr>
                  <w:r>
                    <w:rPr>
                      <w:color w:val="auto"/>
                      <w:szCs w:val="21"/>
                    </w:rPr>
                    <w:t>COD</w:t>
                  </w:r>
                </w:p>
              </w:tc>
              <w:tc>
                <w:tcPr>
                  <w:tcW w:w="1000" w:type="pct"/>
                  <w:vAlign w:val="center"/>
                </w:tcPr>
                <w:p w14:paraId="01F03BC2">
                  <w:pPr>
                    <w:adjustRightInd w:val="0"/>
                    <w:snapToGrid w:val="0"/>
                    <w:jc w:val="center"/>
                    <w:outlineLvl w:val="2"/>
                    <w:rPr>
                      <w:color w:val="auto"/>
                      <w:szCs w:val="21"/>
                    </w:rPr>
                  </w:pPr>
                  <w:r>
                    <w:rPr>
                      <w:color w:val="auto"/>
                      <w:szCs w:val="21"/>
                    </w:rPr>
                    <w:t>350</w:t>
                  </w:r>
                </w:p>
              </w:tc>
              <w:tc>
                <w:tcPr>
                  <w:tcW w:w="1000" w:type="pct"/>
                  <w:vAlign w:val="center"/>
                </w:tcPr>
                <w:p w14:paraId="64EF898B">
                  <w:pPr>
                    <w:widowControl/>
                    <w:jc w:val="center"/>
                    <w:rPr>
                      <w:rFonts w:hint="default" w:eastAsia="宋体"/>
                      <w:color w:val="auto"/>
                      <w:kern w:val="0"/>
                      <w:szCs w:val="21"/>
                      <w:lang w:val="en-US" w:eastAsia="zh-CN"/>
                    </w:rPr>
                  </w:pPr>
                  <w:r>
                    <w:rPr>
                      <w:rFonts w:hint="eastAsia"/>
                      <w:color w:val="auto"/>
                      <w:kern w:val="0"/>
                      <w:szCs w:val="21"/>
                      <w:lang w:val="en-US" w:eastAsia="zh-CN"/>
                    </w:rPr>
                    <w:t>0.23</w:t>
                  </w:r>
                </w:p>
              </w:tc>
              <w:tc>
                <w:tcPr>
                  <w:tcW w:w="1000" w:type="pct"/>
                  <w:vAlign w:val="center"/>
                </w:tcPr>
                <w:p w14:paraId="7D908DAC">
                  <w:pPr>
                    <w:adjustRightInd w:val="0"/>
                    <w:snapToGrid w:val="0"/>
                    <w:jc w:val="center"/>
                    <w:outlineLvl w:val="2"/>
                    <w:rPr>
                      <w:color w:val="auto"/>
                      <w:szCs w:val="21"/>
                    </w:rPr>
                  </w:pPr>
                  <w:r>
                    <w:rPr>
                      <w:color w:val="auto"/>
                      <w:szCs w:val="21"/>
                    </w:rPr>
                    <w:t>300</w:t>
                  </w:r>
                </w:p>
              </w:tc>
              <w:tc>
                <w:tcPr>
                  <w:tcW w:w="1000" w:type="pct"/>
                  <w:vAlign w:val="center"/>
                </w:tcPr>
                <w:p w14:paraId="18C78369">
                  <w:pPr>
                    <w:widowControl/>
                    <w:jc w:val="center"/>
                    <w:rPr>
                      <w:rFonts w:hint="default" w:eastAsia="宋体"/>
                      <w:color w:val="auto"/>
                      <w:kern w:val="0"/>
                      <w:szCs w:val="21"/>
                      <w:lang w:val="en-US" w:eastAsia="zh-CN"/>
                    </w:rPr>
                  </w:pPr>
                  <w:r>
                    <w:rPr>
                      <w:rFonts w:hint="eastAsia"/>
                      <w:color w:val="auto"/>
                      <w:kern w:val="0"/>
                      <w:szCs w:val="21"/>
                      <w:lang w:val="en-US" w:eastAsia="zh-CN"/>
                    </w:rPr>
                    <w:t>0.19</w:t>
                  </w:r>
                </w:p>
              </w:tc>
            </w:tr>
            <w:tr w14:paraId="41F77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pct"/>
                  <w:vAlign w:val="center"/>
                </w:tcPr>
                <w:p w14:paraId="43732643">
                  <w:pPr>
                    <w:adjustRightInd w:val="0"/>
                    <w:snapToGrid w:val="0"/>
                    <w:jc w:val="center"/>
                    <w:outlineLvl w:val="2"/>
                    <w:rPr>
                      <w:color w:val="auto"/>
                      <w:szCs w:val="21"/>
                    </w:rPr>
                  </w:pPr>
                  <w:r>
                    <w:rPr>
                      <w:color w:val="auto"/>
                      <w:szCs w:val="21"/>
                    </w:rPr>
                    <w:t>BOD</w:t>
                  </w:r>
                  <w:r>
                    <w:rPr>
                      <w:color w:val="auto"/>
                      <w:szCs w:val="21"/>
                      <w:vertAlign w:val="subscript"/>
                    </w:rPr>
                    <w:t>5</w:t>
                  </w:r>
                </w:p>
              </w:tc>
              <w:tc>
                <w:tcPr>
                  <w:tcW w:w="1000" w:type="pct"/>
                  <w:vAlign w:val="center"/>
                </w:tcPr>
                <w:p w14:paraId="005CA8E2">
                  <w:pPr>
                    <w:adjustRightInd w:val="0"/>
                    <w:snapToGrid w:val="0"/>
                    <w:jc w:val="center"/>
                    <w:outlineLvl w:val="2"/>
                    <w:rPr>
                      <w:rFonts w:hint="default" w:eastAsia="宋体"/>
                      <w:color w:val="auto"/>
                      <w:szCs w:val="21"/>
                      <w:lang w:val="en-US" w:eastAsia="zh-CN"/>
                    </w:rPr>
                  </w:pPr>
                  <w:r>
                    <w:rPr>
                      <w:rFonts w:hint="eastAsia"/>
                      <w:color w:val="auto"/>
                      <w:szCs w:val="21"/>
                      <w:lang w:val="en-US" w:eastAsia="zh-CN"/>
                    </w:rPr>
                    <w:t>400</w:t>
                  </w:r>
                </w:p>
              </w:tc>
              <w:tc>
                <w:tcPr>
                  <w:tcW w:w="1000" w:type="pct"/>
                  <w:vAlign w:val="center"/>
                </w:tcPr>
                <w:p w14:paraId="7ABDC68F">
                  <w:pPr>
                    <w:jc w:val="center"/>
                    <w:rPr>
                      <w:rFonts w:hint="default" w:eastAsia="宋体"/>
                      <w:color w:val="auto"/>
                      <w:szCs w:val="21"/>
                      <w:lang w:val="en-US" w:eastAsia="zh-CN"/>
                    </w:rPr>
                  </w:pPr>
                  <w:r>
                    <w:rPr>
                      <w:rFonts w:hint="eastAsia"/>
                      <w:color w:val="auto"/>
                      <w:szCs w:val="21"/>
                      <w:lang w:val="en-US" w:eastAsia="zh-CN"/>
                    </w:rPr>
                    <w:t>0.26</w:t>
                  </w:r>
                </w:p>
              </w:tc>
              <w:tc>
                <w:tcPr>
                  <w:tcW w:w="1000" w:type="pct"/>
                  <w:vAlign w:val="center"/>
                </w:tcPr>
                <w:p w14:paraId="3F409628">
                  <w:pPr>
                    <w:adjustRightInd w:val="0"/>
                    <w:snapToGrid w:val="0"/>
                    <w:jc w:val="center"/>
                    <w:outlineLvl w:val="2"/>
                    <w:rPr>
                      <w:color w:val="auto"/>
                      <w:szCs w:val="21"/>
                    </w:rPr>
                  </w:pPr>
                  <w:r>
                    <w:rPr>
                      <w:color w:val="auto"/>
                      <w:szCs w:val="21"/>
                    </w:rPr>
                    <w:t>200</w:t>
                  </w:r>
                </w:p>
              </w:tc>
              <w:tc>
                <w:tcPr>
                  <w:tcW w:w="1000" w:type="pct"/>
                  <w:vAlign w:val="center"/>
                </w:tcPr>
                <w:p w14:paraId="5F7177AF">
                  <w:pPr>
                    <w:jc w:val="center"/>
                    <w:rPr>
                      <w:rFonts w:hint="default" w:eastAsia="宋体"/>
                      <w:color w:val="auto"/>
                      <w:szCs w:val="21"/>
                      <w:lang w:val="en-US" w:eastAsia="zh-CN"/>
                    </w:rPr>
                  </w:pPr>
                  <w:r>
                    <w:rPr>
                      <w:rFonts w:hint="eastAsia"/>
                      <w:color w:val="auto"/>
                      <w:szCs w:val="21"/>
                      <w:lang w:val="en-US" w:eastAsia="zh-CN"/>
                    </w:rPr>
                    <w:t>0.13</w:t>
                  </w:r>
                </w:p>
              </w:tc>
            </w:tr>
            <w:tr w14:paraId="1C26B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pct"/>
                  <w:vAlign w:val="center"/>
                </w:tcPr>
                <w:p w14:paraId="5FD781F0">
                  <w:pPr>
                    <w:adjustRightInd w:val="0"/>
                    <w:snapToGrid w:val="0"/>
                    <w:jc w:val="center"/>
                    <w:outlineLvl w:val="2"/>
                    <w:rPr>
                      <w:color w:val="auto"/>
                      <w:szCs w:val="21"/>
                    </w:rPr>
                  </w:pPr>
                  <w:r>
                    <w:rPr>
                      <w:color w:val="auto"/>
                      <w:szCs w:val="21"/>
                    </w:rPr>
                    <w:t>SS</w:t>
                  </w:r>
                </w:p>
              </w:tc>
              <w:tc>
                <w:tcPr>
                  <w:tcW w:w="1000" w:type="pct"/>
                  <w:vAlign w:val="center"/>
                </w:tcPr>
                <w:p w14:paraId="36466682">
                  <w:pPr>
                    <w:adjustRightInd w:val="0"/>
                    <w:snapToGrid w:val="0"/>
                    <w:jc w:val="center"/>
                    <w:outlineLvl w:val="2"/>
                    <w:rPr>
                      <w:color w:val="auto"/>
                      <w:szCs w:val="21"/>
                    </w:rPr>
                  </w:pPr>
                  <w:r>
                    <w:rPr>
                      <w:color w:val="auto"/>
                      <w:szCs w:val="21"/>
                    </w:rPr>
                    <w:t>250</w:t>
                  </w:r>
                </w:p>
              </w:tc>
              <w:tc>
                <w:tcPr>
                  <w:tcW w:w="1000" w:type="pct"/>
                  <w:vAlign w:val="center"/>
                </w:tcPr>
                <w:p w14:paraId="6B7396ED">
                  <w:pPr>
                    <w:jc w:val="center"/>
                    <w:rPr>
                      <w:rFonts w:hint="default" w:eastAsia="宋体"/>
                      <w:color w:val="auto"/>
                      <w:szCs w:val="21"/>
                      <w:lang w:val="en-US" w:eastAsia="zh-CN"/>
                    </w:rPr>
                  </w:pPr>
                  <w:r>
                    <w:rPr>
                      <w:rFonts w:hint="eastAsia"/>
                      <w:color w:val="auto"/>
                      <w:szCs w:val="21"/>
                      <w:lang w:val="en-US" w:eastAsia="zh-CN"/>
                    </w:rPr>
                    <w:t>0.16</w:t>
                  </w:r>
                </w:p>
              </w:tc>
              <w:tc>
                <w:tcPr>
                  <w:tcW w:w="1000" w:type="pct"/>
                  <w:vAlign w:val="center"/>
                </w:tcPr>
                <w:p w14:paraId="2741A5F0">
                  <w:pPr>
                    <w:adjustRightInd w:val="0"/>
                    <w:snapToGrid w:val="0"/>
                    <w:jc w:val="center"/>
                    <w:outlineLvl w:val="2"/>
                    <w:rPr>
                      <w:color w:val="auto"/>
                      <w:szCs w:val="21"/>
                    </w:rPr>
                  </w:pPr>
                  <w:r>
                    <w:rPr>
                      <w:color w:val="auto"/>
                      <w:szCs w:val="21"/>
                    </w:rPr>
                    <w:t>150</w:t>
                  </w:r>
                </w:p>
              </w:tc>
              <w:tc>
                <w:tcPr>
                  <w:tcW w:w="1000" w:type="pct"/>
                  <w:vAlign w:val="center"/>
                </w:tcPr>
                <w:p w14:paraId="718F5762">
                  <w:pPr>
                    <w:jc w:val="center"/>
                    <w:rPr>
                      <w:rFonts w:hint="default" w:eastAsia="宋体"/>
                      <w:color w:val="auto"/>
                      <w:szCs w:val="21"/>
                      <w:lang w:val="en-US" w:eastAsia="zh-CN"/>
                    </w:rPr>
                  </w:pPr>
                  <w:r>
                    <w:rPr>
                      <w:rFonts w:hint="eastAsia"/>
                      <w:color w:val="auto"/>
                      <w:szCs w:val="21"/>
                      <w:lang w:val="en-US" w:eastAsia="zh-CN"/>
                    </w:rPr>
                    <w:t>0.09</w:t>
                  </w:r>
                </w:p>
              </w:tc>
            </w:tr>
            <w:tr w14:paraId="31699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0" w:type="pct"/>
                  <w:vAlign w:val="center"/>
                </w:tcPr>
                <w:p w14:paraId="478BCD36">
                  <w:pPr>
                    <w:adjustRightInd w:val="0"/>
                    <w:snapToGrid w:val="0"/>
                    <w:jc w:val="center"/>
                    <w:outlineLvl w:val="2"/>
                    <w:rPr>
                      <w:color w:val="auto"/>
                      <w:szCs w:val="21"/>
                    </w:rPr>
                  </w:pPr>
                  <w:r>
                    <w:rPr>
                      <w:color w:val="auto"/>
                      <w:szCs w:val="21"/>
                    </w:rPr>
                    <w:t>NH</w:t>
                  </w:r>
                  <w:r>
                    <w:rPr>
                      <w:color w:val="auto"/>
                      <w:szCs w:val="21"/>
                      <w:vertAlign w:val="subscript"/>
                    </w:rPr>
                    <w:t>3</w:t>
                  </w:r>
                  <w:r>
                    <w:rPr>
                      <w:color w:val="auto"/>
                      <w:szCs w:val="21"/>
                    </w:rPr>
                    <w:t>-N</w:t>
                  </w:r>
                </w:p>
              </w:tc>
              <w:tc>
                <w:tcPr>
                  <w:tcW w:w="1000" w:type="pct"/>
                  <w:vAlign w:val="center"/>
                </w:tcPr>
                <w:p w14:paraId="181E6CE0">
                  <w:pPr>
                    <w:adjustRightInd w:val="0"/>
                    <w:snapToGrid w:val="0"/>
                    <w:jc w:val="center"/>
                    <w:outlineLvl w:val="2"/>
                    <w:rPr>
                      <w:color w:val="auto"/>
                      <w:szCs w:val="21"/>
                    </w:rPr>
                  </w:pPr>
                  <w:r>
                    <w:rPr>
                      <w:color w:val="auto"/>
                      <w:szCs w:val="21"/>
                    </w:rPr>
                    <w:t>30</w:t>
                  </w:r>
                </w:p>
              </w:tc>
              <w:tc>
                <w:tcPr>
                  <w:tcW w:w="1000" w:type="pct"/>
                  <w:vAlign w:val="center"/>
                </w:tcPr>
                <w:p w14:paraId="3BE1E6F9">
                  <w:pPr>
                    <w:jc w:val="center"/>
                    <w:rPr>
                      <w:rFonts w:hint="default" w:eastAsia="宋体"/>
                      <w:color w:val="auto"/>
                      <w:szCs w:val="21"/>
                      <w:lang w:val="en-US" w:eastAsia="zh-CN"/>
                    </w:rPr>
                  </w:pPr>
                  <w:r>
                    <w:rPr>
                      <w:rFonts w:hint="eastAsia"/>
                      <w:color w:val="auto"/>
                      <w:szCs w:val="21"/>
                      <w:lang w:val="en-US" w:eastAsia="zh-CN"/>
                    </w:rPr>
                    <w:t>0.02</w:t>
                  </w:r>
                </w:p>
              </w:tc>
              <w:tc>
                <w:tcPr>
                  <w:tcW w:w="1000" w:type="pct"/>
                  <w:vAlign w:val="center"/>
                </w:tcPr>
                <w:p w14:paraId="711F52FB">
                  <w:pPr>
                    <w:adjustRightInd w:val="0"/>
                    <w:snapToGrid w:val="0"/>
                    <w:jc w:val="center"/>
                    <w:outlineLvl w:val="2"/>
                    <w:rPr>
                      <w:color w:val="auto"/>
                      <w:szCs w:val="21"/>
                    </w:rPr>
                  </w:pPr>
                  <w:r>
                    <w:rPr>
                      <w:color w:val="auto"/>
                      <w:szCs w:val="21"/>
                    </w:rPr>
                    <w:t>25</w:t>
                  </w:r>
                </w:p>
              </w:tc>
              <w:tc>
                <w:tcPr>
                  <w:tcW w:w="1000" w:type="pct"/>
                  <w:vAlign w:val="center"/>
                </w:tcPr>
                <w:p w14:paraId="5E0DA8AB">
                  <w:pPr>
                    <w:jc w:val="center"/>
                    <w:rPr>
                      <w:rFonts w:hint="default" w:eastAsia="宋体"/>
                      <w:color w:val="auto"/>
                      <w:szCs w:val="21"/>
                      <w:lang w:val="en-US" w:eastAsia="zh-CN"/>
                    </w:rPr>
                  </w:pPr>
                  <w:r>
                    <w:rPr>
                      <w:rFonts w:hint="eastAsia"/>
                      <w:color w:val="auto"/>
                      <w:szCs w:val="21"/>
                      <w:lang w:val="en-US" w:eastAsia="zh-CN"/>
                    </w:rPr>
                    <w:t>0.02</w:t>
                  </w:r>
                </w:p>
              </w:tc>
            </w:tr>
          </w:tbl>
          <w:p w14:paraId="55643F57">
            <w:pPr>
              <w:rPr>
                <w:rFonts w:hint="eastAsia"/>
                <w:sz w:val="24"/>
                <w:szCs w:val="24"/>
              </w:rPr>
            </w:pPr>
          </w:p>
          <w:p w14:paraId="7DA509A8">
            <w:pPr>
              <w:keepNext w:val="0"/>
              <w:keepLines w:val="0"/>
              <w:suppressLineNumbers w:val="0"/>
              <w:topLinePunct/>
              <w:spacing w:before="0" w:beforeAutospacing="0" w:after="0" w:afterAutospacing="0" w:line="360" w:lineRule="auto"/>
              <w:ind w:left="0" w:right="0" w:firstLine="482" w:firstLineChars="200"/>
              <w:rPr>
                <w:rFonts w:hint="eastAsia"/>
                <w:b/>
                <w:bCs/>
                <w:sz w:val="24"/>
                <w:szCs w:val="24"/>
                <w:lang w:val="en-US" w:eastAsia="zh-CN"/>
              </w:rPr>
            </w:pPr>
            <w:r>
              <w:rPr>
                <w:rFonts w:hint="eastAsia"/>
                <w:b/>
                <w:bCs/>
                <w:sz w:val="24"/>
                <w:szCs w:val="24"/>
                <w:lang w:val="en-US" w:eastAsia="zh-CN"/>
              </w:rPr>
              <w:t>2.2生产废水</w:t>
            </w:r>
          </w:p>
          <w:p w14:paraId="52A62CE8">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b w:val="0"/>
                <w:bCs w:val="0"/>
                <w:sz w:val="24"/>
                <w:szCs w:val="24"/>
                <w:lang w:val="en-US" w:eastAsia="zh-CN"/>
              </w:rPr>
            </w:pPr>
            <w:r>
              <w:rPr>
                <w:rFonts w:hint="eastAsia"/>
                <w:b w:val="0"/>
                <w:bCs w:val="0"/>
                <w:sz w:val="24"/>
                <w:szCs w:val="24"/>
                <w:lang w:val="en-US" w:eastAsia="zh-CN"/>
              </w:rPr>
              <w:t>本项目新鲜蔬菜</w:t>
            </w:r>
            <w:r>
              <w:rPr>
                <w:rFonts w:hint="eastAsia"/>
                <w:b w:val="0"/>
                <w:bCs w:val="0"/>
                <w:sz w:val="24"/>
                <w:szCs w:val="24"/>
              </w:rPr>
              <w:t>原料清洗</w:t>
            </w:r>
            <w:r>
              <w:rPr>
                <w:rFonts w:hint="eastAsia"/>
                <w:b w:val="0"/>
                <w:bCs w:val="0"/>
                <w:color w:val="auto"/>
                <w:sz w:val="24"/>
                <w:szCs w:val="24"/>
              </w:rPr>
              <w:t>废水产生量按用水量的80%计，废水产生量为14600t/a，这部分排污水含有少量的悬浮物和油类，</w:t>
            </w:r>
            <w:r>
              <w:rPr>
                <w:rFonts w:hint="eastAsia"/>
                <w:b w:val="0"/>
                <w:bCs w:val="0"/>
                <w:color w:val="auto"/>
                <w:sz w:val="24"/>
                <w:szCs w:val="24"/>
                <w:lang w:val="en-US" w:eastAsia="zh-CN"/>
              </w:rPr>
              <w:t>经油水分离器分离后</w:t>
            </w:r>
            <w:r>
              <w:rPr>
                <w:rFonts w:hint="eastAsia"/>
                <w:b w:val="0"/>
                <w:bCs w:val="0"/>
                <w:color w:val="auto"/>
                <w:sz w:val="24"/>
                <w:szCs w:val="24"/>
              </w:rPr>
              <w:t>进入</w:t>
            </w:r>
            <w:r>
              <w:rPr>
                <w:rFonts w:hint="eastAsia"/>
                <w:b w:val="0"/>
                <w:bCs w:val="0"/>
                <w:color w:val="auto"/>
                <w:sz w:val="24"/>
                <w:szCs w:val="24"/>
                <w:lang w:val="en-US" w:eastAsia="zh-CN"/>
              </w:rPr>
              <w:t>项目区配套</w:t>
            </w:r>
            <w:r>
              <w:rPr>
                <w:rFonts w:hint="eastAsia"/>
                <w:b w:val="0"/>
                <w:bCs w:val="0"/>
                <w:color w:val="auto"/>
                <w:sz w:val="24"/>
                <w:szCs w:val="24"/>
              </w:rPr>
              <w:t>污水处理设施</w:t>
            </w:r>
            <w:r>
              <w:rPr>
                <w:rFonts w:hint="eastAsia"/>
                <w:b w:val="0"/>
                <w:bCs w:val="0"/>
                <w:color w:val="auto"/>
                <w:sz w:val="24"/>
                <w:szCs w:val="24"/>
                <w:lang w:val="en-US" w:eastAsia="zh-CN"/>
              </w:rPr>
              <w:t>处理；浸泡废水量为</w:t>
            </w:r>
            <w:r>
              <w:rPr>
                <w:rFonts w:hint="eastAsia" w:cs="Times New Roman"/>
                <w:b w:val="0"/>
                <w:bCs w:val="0"/>
                <w:sz w:val="24"/>
                <w:szCs w:val="24"/>
                <w:lang w:val="en-US" w:eastAsia="zh-CN"/>
              </w:rPr>
              <w:t>1.6</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/d（</w:t>
            </w:r>
            <w:r>
              <w:rPr>
                <w:rFonts w:hint="eastAsia" w:cs="Times New Roman"/>
                <w:b w:val="0"/>
                <w:bCs w:val="0"/>
                <w:sz w:val="24"/>
                <w:szCs w:val="24"/>
                <w:lang w:val="en-US" w:eastAsia="zh-CN"/>
              </w:rPr>
              <w:t>480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）进入配套污水处理设施处理，</w:t>
            </w:r>
            <w:r>
              <w:rPr>
                <w:rFonts w:hint="eastAsia"/>
                <w:b w:val="0"/>
                <w:bCs w:val="0"/>
                <w:color w:val="auto"/>
                <w:sz w:val="24"/>
                <w:szCs w:val="24"/>
                <w:lang w:val="en-US" w:eastAsia="zh-CN"/>
              </w:rPr>
              <w:t>蒸煮废水</w:t>
            </w:r>
            <w:r>
              <w:rPr>
                <w:rFonts w:hint="eastAsia" w:ascii="Times New Roman" w:hAnsi="Times New Roman" w:eastAsia="宋体" w:cs="Times New Roman"/>
                <w:b w:val="0"/>
                <w:bCs w:val="0"/>
                <w:sz w:val="24"/>
                <w:szCs w:val="24"/>
                <w:lang w:val="en-US" w:eastAsia="zh-CN"/>
              </w:rPr>
              <w:t>产生量为0.</w:t>
            </w:r>
            <w:r>
              <w:rPr>
                <w:rFonts w:hint="eastAsia" w:cs="Times New Roman"/>
                <w:b w:val="0"/>
                <w:bCs w:val="0"/>
                <w:sz w:val="24"/>
                <w:szCs w:val="24"/>
                <w:lang w:val="en-US" w:eastAsia="zh-CN"/>
              </w:rPr>
              <w:t>3</w:t>
            </w:r>
            <w:r>
              <w:rPr>
                <w:rFonts w:hint="eastAsia" w:ascii="Times New Roman" w:hAnsi="Times New Roman" w:eastAsia="宋体" w:cs="Times New Roman"/>
                <w:b w:val="0"/>
                <w:bCs w:val="0"/>
                <w:sz w:val="24"/>
                <w:szCs w:val="24"/>
                <w:lang w:val="en-US" w:eastAsia="zh-CN"/>
              </w:rPr>
              <w:t>5</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w:t>
            </w:r>
            <w:r>
              <w:rPr>
                <w:rFonts w:hint="eastAsia" w:cs="Times New Roman"/>
                <w:b w:val="0"/>
                <w:bCs w:val="0"/>
                <w:sz w:val="24"/>
                <w:szCs w:val="24"/>
                <w:lang w:val="en-US" w:eastAsia="zh-CN"/>
              </w:rPr>
              <w:t>105</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经自带的冷凝器（冷凝效率90%</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冷凝后作为废水排入配套污水处理站；</w:t>
            </w:r>
            <w:r>
              <w:rPr>
                <w:rFonts w:hint="eastAsia"/>
                <w:b w:val="0"/>
                <w:bCs w:val="0"/>
                <w:color w:val="auto"/>
                <w:sz w:val="24"/>
                <w:szCs w:val="24"/>
                <w:lang w:val="en-US" w:eastAsia="zh-CN"/>
              </w:rPr>
              <w:t>豆制品磨浆废水</w:t>
            </w:r>
            <w:r>
              <w:rPr>
                <w:rFonts w:hint="eastAsia" w:ascii="Times New Roman" w:hAnsi="Times New Roman" w:eastAsia="宋体" w:cs="Times New Roman"/>
                <w:b w:val="0"/>
                <w:bCs w:val="0"/>
                <w:sz w:val="24"/>
                <w:szCs w:val="24"/>
                <w:lang w:val="en-US" w:eastAsia="zh-CN"/>
              </w:rPr>
              <w:t>量为</w:t>
            </w:r>
            <w:r>
              <w:rPr>
                <w:rFonts w:hint="eastAsia" w:cs="Times New Roman"/>
                <w:b w:val="0"/>
                <w:bCs w:val="0"/>
                <w:sz w:val="24"/>
                <w:szCs w:val="24"/>
                <w:lang w:val="en-US" w:eastAsia="zh-CN"/>
              </w:rPr>
              <w:t>3.5</w:t>
            </w:r>
            <w:r>
              <w:rPr>
                <w:rFonts w:hint="eastAsia" w:ascii="Times New Roman" w:hAnsi="Times New Roman" w:eastAsia="宋体" w:cs="Times New Roman"/>
                <w:b w:val="0"/>
                <w:bCs w:val="0"/>
                <w:sz w:val="24"/>
                <w:szCs w:val="24"/>
                <w:lang w:val="en-US" w:eastAsia="zh-CN"/>
              </w:rPr>
              <w:t>t/a（</w:t>
            </w:r>
            <w:r>
              <w:rPr>
                <w:rFonts w:hint="eastAsia" w:cs="Times New Roman"/>
                <w:b w:val="0"/>
                <w:bCs w:val="0"/>
                <w:sz w:val="24"/>
                <w:szCs w:val="24"/>
                <w:lang w:val="en-US" w:eastAsia="zh-CN"/>
              </w:rPr>
              <w:t>1050</w:t>
            </w:r>
            <w:r>
              <w:rPr>
                <w:rFonts w:hint="eastAsia" w:ascii="Times New Roman" w:hAnsi="Times New Roman" w:eastAsia="宋体" w:cs="Times New Roman"/>
                <w:b w:val="0"/>
                <w:bCs w:val="0"/>
                <w:sz w:val="24"/>
                <w:szCs w:val="24"/>
                <w:lang w:val="en-US" w:eastAsia="zh-CN"/>
              </w:rPr>
              <w:t>t/a</w:t>
            </w:r>
            <w:r>
              <w:rPr>
                <w:rFonts w:hint="eastAsia" w:cs="Times New Roman"/>
                <w:b w:val="0"/>
                <w:bCs w:val="0"/>
                <w:sz w:val="24"/>
                <w:szCs w:val="24"/>
                <w:lang w:val="en-US" w:eastAsia="zh-CN"/>
              </w:rPr>
              <w:t>）进入配套污水处理站；和面用水全部进入产品不外排；锅炉排污水3.2</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/d（</w:t>
            </w:r>
            <w:r>
              <w:rPr>
                <w:rFonts w:hint="eastAsia" w:cs="Times New Roman"/>
                <w:b w:val="0"/>
                <w:bCs w:val="0"/>
                <w:sz w:val="24"/>
                <w:szCs w:val="24"/>
                <w:lang w:val="en-US" w:eastAsia="zh-CN"/>
              </w:rPr>
              <w:t>960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软水制备过程废水</w:t>
            </w:r>
            <w:r>
              <w:rPr>
                <w:rFonts w:hint="eastAsia" w:cs="Times New Roman"/>
                <w:b w:val="0"/>
                <w:bCs w:val="0"/>
                <w:sz w:val="24"/>
                <w:szCs w:val="24"/>
                <w:lang w:val="en-US" w:eastAsia="zh-CN"/>
              </w:rPr>
              <w:t>10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w:t>
            </w:r>
            <w:r>
              <w:rPr>
                <w:rFonts w:hint="eastAsia"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3000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）排入配套污水处理站；酸奶、乳制品制造过程中</w:t>
            </w:r>
            <w:r>
              <w:rPr>
                <w:rFonts w:hint="default" w:ascii="Times New Roman" w:hAnsi="Times New Roman" w:eastAsia="宋体" w:cs="Times New Roman"/>
                <w:b w:val="0"/>
                <w:bCs w:val="0"/>
                <w:sz w:val="24"/>
                <w:szCs w:val="24"/>
                <w:lang w:val="en-US" w:eastAsia="zh-CN"/>
              </w:rPr>
              <w:t>CIP清洗（定位清洗</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用水全部为纯水，</w:t>
            </w:r>
            <w:r>
              <w:rPr>
                <w:rFonts w:hint="eastAsia" w:cs="Times New Roman"/>
                <w:b w:val="0"/>
                <w:bCs w:val="0"/>
                <w:sz w:val="24"/>
                <w:szCs w:val="24"/>
                <w:lang w:val="en-US" w:eastAsia="zh-CN"/>
              </w:rPr>
              <w:t>纯水制备废水为</w:t>
            </w:r>
            <w:r>
              <w:rPr>
                <w:rFonts w:hint="eastAsia" w:ascii="Times New Roman" w:hAnsi="Times New Roman" w:eastAsia="宋体" w:cs="Times New Roman"/>
                <w:b w:val="0"/>
                <w:bCs w:val="0"/>
                <w:sz w:val="24"/>
                <w:szCs w:val="24"/>
                <w:lang w:val="en-US" w:eastAsia="zh-CN"/>
              </w:rPr>
              <w:t>0.6</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w:t>
            </w:r>
            <w:r>
              <w:rPr>
                <w:rFonts w:hint="eastAsia" w:ascii="Times New Roman" w:hAnsi="Times New Roman" w:eastAsia="宋体" w:cs="Times New Roman"/>
                <w:b w:val="0"/>
                <w:bCs w:val="0"/>
                <w:sz w:val="24"/>
                <w:szCs w:val="24"/>
                <w:lang w:val="en-US" w:eastAsia="zh-CN"/>
              </w:rPr>
              <w:t>（180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），CIP清洗（定位清洗）</w:t>
            </w:r>
            <w:r>
              <w:rPr>
                <w:rFonts w:hint="eastAsia" w:ascii="Times New Roman" w:hAnsi="Times New Roman" w:eastAsia="宋体" w:cs="Times New Roman"/>
                <w:b w:val="0"/>
                <w:bCs w:val="0"/>
                <w:sz w:val="24"/>
                <w:szCs w:val="24"/>
                <w:lang w:val="en-US" w:eastAsia="zh-CN"/>
              </w:rPr>
              <w:t>废水量为2.16</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w:t>
            </w:r>
            <w:r>
              <w:rPr>
                <w:rFonts w:hint="eastAsia" w:ascii="Times New Roman" w:hAnsi="Times New Roman" w:eastAsia="宋体" w:cs="Times New Roman"/>
                <w:b w:val="0"/>
                <w:bCs w:val="0"/>
                <w:sz w:val="24"/>
                <w:szCs w:val="24"/>
                <w:lang w:val="en-US" w:eastAsia="zh-CN"/>
              </w:rPr>
              <w:t>648</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）全部进入配套污水处理站；地面擦洗废水</w:t>
            </w:r>
            <w:r>
              <w:rPr>
                <w:rFonts w:hint="default" w:ascii="Times New Roman" w:hAnsi="Times New Roman" w:eastAsia="宋体" w:cs="Times New Roman"/>
                <w:b w:val="0"/>
                <w:bCs w:val="0"/>
                <w:sz w:val="24"/>
                <w:szCs w:val="24"/>
                <w:lang w:val="en-US" w:eastAsia="zh-CN"/>
              </w:rPr>
              <w:t>排放量约为1.916m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/d，574.8m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/a</w:t>
            </w:r>
            <w:r>
              <w:rPr>
                <w:rFonts w:hint="eastAsia" w:cs="Times New Roman"/>
                <w:b w:val="0"/>
                <w:bCs w:val="0"/>
                <w:sz w:val="24"/>
                <w:szCs w:val="24"/>
                <w:lang w:val="en-US" w:eastAsia="zh-CN"/>
              </w:rPr>
              <w:t>，全部排入配套污水处理站处理</w:t>
            </w:r>
            <w:r>
              <w:rPr>
                <w:rFonts w:hint="eastAsia" w:ascii="Times New Roman" w:hAnsi="Times New Roman" w:eastAsia="宋体" w:cs="Times New Roman"/>
                <w:b w:val="0"/>
                <w:bCs w:val="0"/>
                <w:sz w:val="24"/>
                <w:szCs w:val="24"/>
                <w:lang w:val="en-US" w:eastAsia="zh-CN"/>
              </w:rPr>
              <w:t>。</w:t>
            </w:r>
          </w:p>
          <w:p w14:paraId="04C636A5">
            <w:pPr>
              <w:pStyle w:val="38"/>
              <w:keepNext w:val="0"/>
              <w:keepLines w:val="0"/>
              <w:suppressLineNumbers w:val="0"/>
              <w:spacing w:before="0" w:beforeAutospacing="0" w:after="0" w:afterAutospacing="0" w:line="360" w:lineRule="auto"/>
              <w:ind w:left="0" w:right="0" w:firstLine="480"/>
              <w:jc w:val="both"/>
              <w:rPr>
                <w:rFonts w:hint="default" w:ascii="Times New Roman" w:hAnsi="Times New Roman" w:cs="Times New Roman" w:eastAsiaTheme="minorEastAsia"/>
                <w:b w:val="0"/>
                <w:bCs/>
                <w:sz w:val="24"/>
                <w:szCs w:val="24"/>
              </w:rPr>
            </w:pPr>
            <w:r>
              <w:rPr>
                <w:rFonts w:hint="default" w:ascii="Times New Roman" w:hAnsi="Times New Roman" w:cs="Times New Roman"/>
                <w:b w:val="0"/>
                <w:bCs/>
                <w:color w:val="auto"/>
                <w:sz w:val="24"/>
              </w:rPr>
              <w:t>综上所述</w:t>
            </w:r>
            <w:r>
              <w:rPr>
                <w:rFonts w:hint="default" w:ascii="Times New Roman" w:hAnsi="Times New Roman" w:cs="Times New Roman"/>
                <w:b w:val="0"/>
                <w:bCs/>
                <w:color w:val="auto"/>
                <w:sz w:val="24"/>
                <w:highlight w:val="none"/>
              </w:rPr>
              <w:t>，本项目</w:t>
            </w:r>
            <w:r>
              <w:rPr>
                <w:rFonts w:hint="default" w:ascii="Times New Roman" w:hAnsi="Times New Roman" w:cs="Times New Roman"/>
                <w:b w:val="0"/>
                <w:bCs/>
                <w:color w:val="auto"/>
                <w:sz w:val="24"/>
                <w:highlight w:val="none"/>
                <w:lang w:val="en-US" w:eastAsia="zh-CN"/>
              </w:rPr>
              <w:t>生产废水进入该项目配套污水处理站处理</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szCs w:val="32"/>
                <w:highlight w:val="none"/>
              </w:rPr>
              <w:t>水质达到</w:t>
            </w:r>
            <w:r>
              <w:rPr>
                <w:rFonts w:hint="eastAsia" w:ascii="Times New Roman" w:cs="Times New Roman"/>
                <w:b w:val="0"/>
                <w:bCs/>
                <w:color w:val="auto"/>
                <w:sz w:val="24"/>
                <w:szCs w:val="32"/>
                <w:highlight w:val="none"/>
                <w:lang w:eastAsia="zh-CN"/>
              </w:rPr>
              <w:t>《肉类加工工业水污染物排放标准》（GB13457-92）中表3三级排放限值标准</w:t>
            </w:r>
            <w:r>
              <w:rPr>
                <w:rFonts w:hint="default" w:ascii="Times New Roman" w:hAnsi="Times New Roman" w:cs="Times New Roman"/>
                <w:b w:val="0"/>
                <w:bCs/>
                <w:color w:val="auto"/>
                <w:sz w:val="24"/>
                <w:szCs w:val="32"/>
                <w:highlight w:val="none"/>
              </w:rPr>
              <w:t>排入</w:t>
            </w:r>
            <w:r>
              <w:rPr>
                <w:rFonts w:hint="default" w:ascii="Times New Roman" w:hAnsi="Times New Roman" w:cs="Times New Roman"/>
                <w:b w:val="0"/>
                <w:bCs/>
                <w:color w:val="auto"/>
                <w:sz w:val="24"/>
                <w:szCs w:val="32"/>
                <w:highlight w:val="none"/>
                <w:lang w:val="en-US" w:eastAsia="zh-CN"/>
              </w:rPr>
              <w:t>市政</w:t>
            </w:r>
            <w:r>
              <w:rPr>
                <w:rFonts w:hint="default" w:ascii="Times New Roman" w:hAnsi="Times New Roman" w:cs="Times New Roman"/>
                <w:b w:val="0"/>
                <w:bCs/>
                <w:color w:val="auto"/>
                <w:sz w:val="24"/>
                <w:szCs w:val="32"/>
                <w:highlight w:val="none"/>
              </w:rPr>
              <w:t>污水管网，最终进入库尔勒金城洁净排水有限责任公司库尔勒市老城区污水处理厂处理。</w:t>
            </w:r>
          </w:p>
          <w:p w14:paraId="0C593910">
            <w:pPr>
              <w:pStyle w:val="124"/>
              <w:ind w:firstLine="482"/>
              <w:rPr>
                <w:rFonts w:hint="eastAsia"/>
                <w:sz w:val="24"/>
                <w:szCs w:val="24"/>
              </w:rPr>
            </w:pPr>
            <w:r>
              <w:rPr>
                <w:rFonts w:hint="default" w:ascii="Times New Roman" w:hAnsi="Times New Roman" w:eastAsia="宋体" w:cs="Times New Roman"/>
                <w:b/>
                <w:bCs/>
                <w:color w:val="auto"/>
                <w:lang w:val="en-US" w:eastAsia="zh-CN"/>
              </w:rPr>
              <w:t>废水处理措施可行性分析</w:t>
            </w:r>
          </w:p>
          <w:p w14:paraId="30C155B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eastAsia"/>
                <w:sz w:val="24"/>
                <w:szCs w:val="24"/>
              </w:rPr>
            </w:pPr>
            <w:r>
              <w:rPr>
                <w:rFonts w:hint="eastAsia"/>
                <w:sz w:val="24"/>
                <w:szCs w:val="24"/>
              </w:rPr>
              <w:t>本项目综合废水浓度类比同类型企业，</w:t>
            </w:r>
            <w:r>
              <w:rPr>
                <w:rFonts w:hint="eastAsia"/>
                <w:sz w:val="24"/>
                <w:szCs w:val="24"/>
                <w:lang w:val="en-US" w:eastAsia="zh-CN"/>
              </w:rPr>
              <w:t>污水处理站总排放口</w:t>
            </w:r>
            <w:r>
              <w:rPr>
                <w:rFonts w:hint="eastAsia"/>
                <w:sz w:val="24"/>
                <w:szCs w:val="24"/>
              </w:rPr>
              <w:t>主要污染物产生及排放情况见下表</w:t>
            </w:r>
            <w:r>
              <w:rPr>
                <w:rFonts w:hint="eastAsia"/>
                <w:sz w:val="24"/>
                <w:szCs w:val="24"/>
                <w:lang w:val="en-US" w:eastAsia="zh-CN"/>
              </w:rPr>
              <w:t>4-7</w:t>
            </w:r>
            <w:r>
              <w:rPr>
                <w:rFonts w:hint="eastAsia"/>
                <w:sz w:val="24"/>
                <w:szCs w:val="24"/>
              </w:rPr>
              <w:t>：</w:t>
            </w:r>
          </w:p>
          <w:p w14:paraId="5C3FC312">
            <w:pPr>
              <w:keepNext w:val="0"/>
              <w:keepLines w:val="0"/>
              <w:suppressLineNumbers w:val="0"/>
              <w:spacing w:before="0" w:beforeAutospacing="0" w:after="0" w:afterAutospacing="0"/>
              <w:ind w:left="0" w:right="0" w:firstLine="480"/>
              <w:jc w:val="center"/>
              <w:rPr>
                <w:rFonts w:hint="eastAsia"/>
                <w:b/>
              </w:rPr>
            </w:pPr>
            <w:r>
              <w:rPr>
                <w:rFonts w:hint="eastAsia"/>
                <w:b/>
              </w:rPr>
              <w:t>表</w:t>
            </w:r>
            <w:r>
              <w:rPr>
                <w:rFonts w:hint="eastAsia"/>
                <w:b/>
                <w:lang w:val="en-US" w:eastAsia="zh-CN"/>
              </w:rPr>
              <w:t>4-7     总排放口主要污染物产生量及排放量</w:t>
            </w:r>
            <w:r>
              <w:rPr>
                <w:rFonts w:hint="eastAsia"/>
                <w:b/>
              </w:rPr>
              <w:t>一览表</w:t>
            </w:r>
          </w:p>
          <w:tbl>
            <w:tblPr>
              <w:tblStyle w:val="29"/>
              <w:tblW w:w="82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821"/>
              <w:gridCol w:w="892"/>
              <w:gridCol w:w="832"/>
              <w:gridCol w:w="733"/>
              <w:gridCol w:w="1094"/>
              <w:gridCol w:w="912"/>
            </w:tblGrid>
            <w:tr w14:paraId="3D73AC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tcBorders>
                    <w:tl2br w:val="nil"/>
                    <w:tr2bl w:val="nil"/>
                  </w:tcBorders>
                  <w:noWrap w:val="0"/>
                  <w:vAlign w:val="center"/>
                </w:tcPr>
                <w:p w14:paraId="452A8BF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污水量</w:t>
                  </w:r>
                </w:p>
              </w:tc>
              <w:tc>
                <w:tcPr>
                  <w:tcW w:w="2821" w:type="dxa"/>
                  <w:tcBorders>
                    <w:tl2br w:val="nil"/>
                    <w:tr2bl w:val="nil"/>
                  </w:tcBorders>
                  <w:noWrap w:val="0"/>
                  <w:vAlign w:val="center"/>
                </w:tcPr>
                <w:p w14:paraId="25DA46E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污染物指标</w:t>
                  </w:r>
                </w:p>
              </w:tc>
              <w:tc>
                <w:tcPr>
                  <w:tcW w:w="892" w:type="dxa"/>
                  <w:tcBorders>
                    <w:tl2br w:val="nil"/>
                    <w:tr2bl w:val="nil"/>
                  </w:tcBorders>
                  <w:noWrap w:val="0"/>
                  <w:vAlign w:val="center"/>
                </w:tcPr>
                <w:p w14:paraId="42CC444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COD</w:t>
                  </w:r>
                  <w:r>
                    <w:rPr>
                      <w:rFonts w:hint="eastAsia" w:ascii="宋体" w:hAnsi="宋体" w:eastAsia="宋体" w:cs="宋体"/>
                      <w:sz w:val="21"/>
                      <w:szCs w:val="21"/>
                      <w:vertAlign w:val="subscript"/>
                    </w:rPr>
                    <w:t>Cr</w:t>
                  </w:r>
                </w:p>
              </w:tc>
              <w:tc>
                <w:tcPr>
                  <w:tcW w:w="832" w:type="dxa"/>
                  <w:tcBorders>
                    <w:tl2br w:val="nil"/>
                    <w:tr2bl w:val="nil"/>
                  </w:tcBorders>
                  <w:noWrap w:val="0"/>
                  <w:vAlign w:val="center"/>
                </w:tcPr>
                <w:p w14:paraId="71C15EE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BOD</w:t>
                  </w:r>
                  <w:r>
                    <w:rPr>
                      <w:rFonts w:hint="eastAsia" w:ascii="宋体" w:hAnsi="宋体" w:eastAsia="宋体" w:cs="宋体"/>
                      <w:sz w:val="21"/>
                      <w:szCs w:val="21"/>
                      <w:vertAlign w:val="subscript"/>
                    </w:rPr>
                    <w:t>5</w:t>
                  </w:r>
                </w:p>
              </w:tc>
              <w:tc>
                <w:tcPr>
                  <w:tcW w:w="733" w:type="dxa"/>
                  <w:tcBorders>
                    <w:tl2br w:val="nil"/>
                    <w:tr2bl w:val="nil"/>
                  </w:tcBorders>
                  <w:noWrap w:val="0"/>
                  <w:vAlign w:val="center"/>
                </w:tcPr>
                <w:p w14:paraId="4B4E41D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SS</w:t>
                  </w:r>
                </w:p>
              </w:tc>
              <w:tc>
                <w:tcPr>
                  <w:tcW w:w="1094" w:type="dxa"/>
                  <w:tcBorders>
                    <w:tl2br w:val="nil"/>
                    <w:tr2bl w:val="nil"/>
                  </w:tcBorders>
                  <w:noWrap w:val="0"/>
                  <w:vAlign w:val="center"/>
                </w:tcPr>
                <w:p w14:paraId="1D36A36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动植物油</w:t>
                  </w:r>
                </w:p>
              </w:tc>
              <w:tc>
                <w:tcPr>
                  <w:tcW w:w="912" w:type="dxa"/>
                  <w:tcBorders>
                    <w:tl2br w:val="nil"/>
                    <w:tr2bl w:val="nil"/>
                  </w:tcBorders>
                  <w:noWrap w:val="0"/>
                  <w:vAlign w:val="center"/>
                </w:tcPr>
                <w:p w14:paraId="1BEC759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r>
            <w:tr w14:paraId="22F9E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vMerge w:val="restart"/>
                  <w:tcBorders>
                    <w:tl2br w:val="nil"/>
                    <w:tr2bl w:val="nil"/>
                  </w:tcBorders>
                  <w:noWrap w:val="0"/>
                  <w:vAlign w:val="center"/>
                </w:tcPr>
                <w:p w14:paraId="0C531CB1">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45000</w:t>
                  </w:r>
                  <w:r>
                    <w:rPr>
                      <w:rFonts w:hint="eastAsia" w:ascii="宋体" w:hAnsi="宋体" w:eastAsia="宋体" w:cs="宋体"/>
                      <w:sz w:val="21"/>
                      <w:szCs w:val="21"/>
                    </w:rPr>
                    <w:t>t</w:t>
                  </w:r>
                </w:p>
              </w:tc>
              <w:tc>
                <w:tcPr>
                  <w:tcW w:w="2821" w:type="dxa"/>
                  <w:tcBorders>
                    <w:tl2br w:val="nil"/>
                    <w:tr2bl w:val="nil"/>
                  </w:tcBorders>
                  <w:noWrap w:val="0"/>
                  <w:vAlign w:val="center"/>
                </w:tcPr>
                <w:p w14:paraId="385CC222">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进水浓度mg/L</w:t>
                  </w:r>
                </w:p>
              </w:tc>
              <w:tc>
                <w:tcPr>
                  <w:tcW w:w="892" w:type="dxa"/>
                  <w:tcBorders>
                    <w:tl2br w:val="nil"/>
                    <w:tr2bl w:val="nil"/>
                  </w:tcBorders>
                  <w:noWrap w:val="0"/>
                  <w:vAlign w:val="center"/>
                </w:tcPr>
                <w:p w14:paraId="02ABD9A8">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600</w:t>
                  </w:r>
                </w:p>
              </w:tc>
              <w:tc>
                <w:tcPr>
                  <w:tcW w:w="832" w:type="dxa"/>
                  <w:tcBorders>
                    <w:tl2br w:val="nil"/>
                    <w:tr2bl w:val="nil"/>
                  </w:tcBorders>
                  <w:noWrap w:val="0"/>
                  <w:vAlign w:val="center"/>
                </w:tcPr>
                <w:p w14:paraId="205C1821">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400</w:t>
                  </w:r>
                </w:p>
              </w:tc>
              <w:tc>
                <w:tcPr>
                  <w:tcW w:w="733" w:type="dxa"/>
                  <w:tcBorders>
                    <w:tl2br w:val="nil"/>
                    <w:tr2bl w:val="nil"/>
                  </w:tcBorders>
                  <w:noWrap w:val="0"/>
                  <w:vAlign w:val="center"/>
                </w:tcPr>
                <w:p w14:paraId="0AB0222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350</w:t>
                  </w:r>
                </w:p>
              </w:tc>
              <w:tc>
                <w:tcPr>
                  <w:tcW w:w="1094" w:type="dxa"/>
                  <w:tcBorders>
                    <w:tl2br w:val="nil"/>
                    <w:tr2bl w:val="nil"/>
                  </w:tcBorders>
                  <w:noWrap w:val="0"/>
                  <w:vAlign w:val="center"/>
                </w:tcPr>
                <w:p w14:paraId="19A386B6">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200</w:t>
                  </w:r>
                </w:p>
              </w:tc>
              <w:tc>
                <w:tcPr>
                  <w:tcW w:w="912" w:type="dxa"/>
                  <w:tcBorders>
                    <w:tl2br w:val="nil"/>
                    <w:tr2bl w:val="nil"/>
                  </w:tcBorders>
                  <w:noWrap w:val="0"/>
                  <w:vAlign w:val="center"/>
                </w:tcPr>
                <w:p w14:paraId="617EBEDA">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40</w:t>
                  </w:r>
                </w:p>
              </w:tc>
            </w:tr>
            <w:tr w14:paraId="76171D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tcBorders>
                    <w:tl2br w:val="nil"/>
                    <w:tr2bl w:val="nil"/>
                  </w:tcBorders>
                  <w:noWrap w:val="0"/>
                  <w:vAlign w:val="center"/>
                </w:tcPr>
                <w:p w14:paraId="11999B86">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2821" w:type="dxa"/>
                  <w:tcBorders>
                    <w:tl2br w:val="nil"/>
                    <w:tr2bl w:val="nil"/>
                  </w:tcBorders>
                  <w:noWrap w:val="0"/>
                  <w:vAlign w:val="center"/>
                </w:tcPr>
                <w:p w14:paraId="01C1361A">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污染物产生量t/a</w:t>
                  </w:r>
                </w:p>
              </w:tc>
              <w:tc>
                <w:tcPr>
                  <w:tcW w:w="892" w:type="dxa"/>
                  <w:tcBorders>
                    <w:tl2br w:val="nil"/>
                    <w:tr2bl w:val="nil"/>
                  </w:tcBorders>
                  <w:noWrap w:val="0"/>
                  <w:vAlign w:val="center"/>
                </w:tcPr>
                <w:p w14:paraId="3C319D26">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832" w:type="dxa"/>
                  <w:tcBorders>
                    <w:tl2br w:val="nil"/>
                    <w:tr2bl w:val="nil"/>
                  </w:tcBorders>
                  <w:noWrap w:val="0"/>
                  <w:vAlign w:val="center"/>
                </w:tcPr>
                <w:p w14:paraId="7CDEF6C0">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733" w:type="dxa"/>
                  <w:tcBorders>
                    <w:tl2br w:val="nil"/>
                    <w:tr2bl w:val="nil"/>
                  </w:tcBorders>
                  <w:noWrap w:val="0"/>
                  <w:vAlign w:val="center"/>
                </w:tcPr>
                <w:p w14:paraId="019BE926">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15.75</w:t>
                  </w:r>
                </w:p>
              </w:tc>
              <w:tc>
                <w:tcPr>
                  <w:tcW w:w="1094" w:type="dxa"/>
                  <w:tcBorders>
                    <w:tl2br w:val="nil"/>
                    <w:tr2bl w:val="nil"/>
                  </w:tcBorders>
                  <w:noWrap w:val="0"/>
                  <w:vAlign w:val="center"/>
                </w:tcPr>
                <w:p w14:paraId="13D1EF3D">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912" w:type="dxa"/>
                  <w:tcBorders>
                    <w:tl2br w:val="nil"/>
                    <w:tr2bl w:val="nil"/>
                  </w:tcBorders>
                  <w:noWrap w:val="0"/>
                  <w:vAlign w:val="center"/>
                </w:tcPr>
                <w:p w14:paraId="6BA3E3CB">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r>
            <w:tr w14:paraId="3CDAFA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vMerge w:val="continue"/>
                  <w:tcBorders>
                    <w:tl2br w:val="nil"/>
                    <w:tr2bl w:val="nil"/>
                  </w:tcBorders>
                  <w:noWrap w:val="0"/>
                  <w:vAlign w:val="center"/>
                </w:tcPr>
                <w:p w14:paraId="3B63D20A">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c>
                <w:tcPr>
                  <w:tcW w:w="2821" w:type="dxa"/>
                  <w:tcBorders>
                    <w:tl2br w:val="nil"/>
                    <w:tr2bl w:val="nil"/>
                  </w:tcBorders>
                  <w:noWrap w:val="0"/>
                  <w:vAlign w:val="center"/>
                </w:tcPr>
                <w:p w14:paraId="7B2B802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排放浓度mg/L</w:t>
                  </w:r>
                </w:p>
              </w:tc>
              <w:tc>
                <w:tcPr>
                  <w:tcW w:w="892" w:type="dxa"/>
                  <w:tcBorders>
                    <w:tl2br w:val="nil"/>
                    <w:tr2bl w:val="nil"/>
                  </w:tcBorders>
                  <w:noWrap w:val="0"/>
                  <w:vAlign w:val="center"/>
                </w:tcPr>
                <w:p w14:paraId="1C0943BC">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120</w:t>
                  </w:r>
                </w:p>
              </w:tc>
              <w:tc>
                <w:tcPr>
                  <w:tcW w:w="832" w:type="dxa"/>
                  <w:tcBorders>
                    <w:tl2br w:val="nil"/>
                    <w:tr2bl w:val="nil"/>
                  </w:tcBorders>
                  <w:noWrap w:val="0"/>
                  <w:vAlign w:val="center"/>
                </w:tcPr>
                <w:p w14:paraId="7F7B3B39">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60</w:t>
                  </w:r>
                </w:p>
              </w:tc>
              <w:tc>
                <w:tcPr>
                  <w:tcW w:w="733" w:type="dxa"/>
                  <w:tcBorders>
                    <w:tl2br w:val="nil"/>
                    <w:tr2bl w:val="nil"/>
                  </w:tcBorders>
                  <w:noWrap w:val="0"/>
                  <w:vAlign w:val="center"/>
                </w:tcPr>
                <w:p w14:paraId="0C826A4F">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120</w:t>
                  </w:r>
                </w:p>
              </w:tc>
              <w:tc>
                <w:tcPr>
                  <w:tcW w:w="1094" w:type="dxa"/>
                  <w:tcBorders>
                    <w:tl2br w:val="nil"/>
                    <w:tr2bl w:val="nil"/>
                  </w:tcBorders>
                  <w:noWrap w:val="0"/>
                  <w:vAlign w:val="center"/>
                </w:tcPr>
                <w:p w14:paraId="7789682D">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20</w:t>
                  </w:r>
                </w:p>
              </w:tc>
              <w:tc>
                <w:tcPr>
                  <w:tcW w:w="912" w:type="dxa"/>
                  <w:tcBorders>
                    <w:tl2br w:val="nil"/>
                    <w:tr2bl w:val="nil"/>
                  </w:tcBorders>
                  <w:noWrap w:val="0"/>
                  <w:vAlign w:val="center"/>
                </w:tcPr>
                <w:p w14:paraId="2AE6472E">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25</w:t>
                  </w:r>
                </w:p>
              </w:tc>
            </w:tr>
            <w:tr w14:paraId="1C95C6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vMerge w:val="continue"/>
                  <w:tcBorders>
                    <w:tl2br w:val="nil"/>
                    <w:tr2bl w:val="nil"/>
                  </w:tcBorders>
                  <w:noWrap w:val="0"/>
                  <w:vAlign w:val="center"/>
                </w:tcPr>
                <w:p w14:paraId="67F0406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p>
              </w:tc>
              <w:tc>
                <w:tcPr>
                  <w:tcW w:w="2821" w:type="dxa"/>
                  <w:tcBorders>
                    <w:tl2br w:val="nil"/>
                    <w:tr2bl w:val="nil"/>
                  </w:tcBorders>
                  <w:noWrap w:val="0"/>
                  <w:vAlign w:val="center"/>
                </w:tcPr>
                <w:p w14:paraId="532C182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污染物排放量t/a</w:t>
                  </w:r>
                </w:p>
              </w:tc>
              <w:tc>
                <w:tcPr>
                  <w:tcW w:w="892" w:type="dxa"/>
                  <w:tcBorders>
                    <w:tl2br w:val="nil"/>
                    <w:tr2bl w:val="nil"/>
                  </w:tcBorders>
                  <w:noWrap w:val="0"/>
                  <w:vAlign w:val="center"/>
                </w:tcPr>
                <w:p w14:paraId="628AE4AF">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w:t>
                  </w:r>
                </w:p>
              </w:tc>
              <w:tc>
                <w:tcPr>
                  <w:tcW w:w="832" w:type="dxa"/>
                  <w:tcBorders>
                    <w:tl2br w:val="nil"/>
                    <w:tr2bl w:val="nil"/>
                  </w:tcBorders>
                  <w:noWrap w:val="0"/>
                  <w:vAlign w:val="center"/>
                </w:tcPr>
                <w:p w14:paraId="3D2C1C8B">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2.7</w:t>
                  </w:r>
                </w:p>
              </w:tc>
              <w:tc>
                <w:tcPr>
                  <w:tcW w:w="733" w:type="dxa"/>
                  <w:tcBorders>
                    <w:tl2br w:val="nil"/>
                    <w:tr2bl w:val="nil"/>
                  </w:tcBorders>
                  <w:noWrap w:val="0"/>
                  <w:vAlign w:val="center"/>
                </w:tcPr>
                <w:p w14:paraId="19ABB5F2">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w:t>
                  </w:r>
                </w:p>
              </w:tc>
              <w:tc>
                <w:tcPr>
                  <w:tcW w:w="1094" w:type="dxa"/>
                  <w:tcBorders>
                    <w:tl2br w:val="nil"/>
                    <w:tr2bl w:val="nil"/>
                  </w:tcBorders>
                  <w:noWrap w:val="0"/>
                  <w:vAlign w:val="center"/>
                </w:tcPr>
                <w:p w14:paraId="446C80FD">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0.9</w:t>
                  </w:r>
                </w:p>
              </w:tc>
              <w:tc>
                <w:tcPr>
                  <w:tcW w:w="912" w:type="dxa"/>
                  <w:tcBorders>
                    <w:tl2br w:val="nil"/>
                    <w:tr2bl w:val="nil"/>
                  </w:tcBorders>
                  <w:noWrap w:val="0"/>
                  <w:vAlign w:val="center"/>
                </w:tcPr>
                <w:p w14:paraId="095A270C">
                  <w:pPr>
                    <w:keepNext w:val="0"/>
                    <w:keepLines w:val="0"/>
                    <w:suppressLineNumbers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1.13</w:t>
                  </w:r>
                </w:p>
              </w:tc>
            </w:tr>
            <w:tr w14:paraId="67225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vMerge w:val="continue"/>
                  <w:tcBorders>
                    <w:tl2br w:val="nil"/>
                    <w:tr2bl w:val="nil"/>
                  </w:tcBorders>
                  <w:noWrap w:val="0"/>
                  <w:vAlign w:val="center"/>
                </w:tcPr>
                <w:p w14:paraId="51A5255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p>
              </w:tc>
              <w:tc>
                <w:tcPr>
                  <w:tcW w:w="2821" w:type="dxa"/>
                  <w:tcBorders>
                    <w:tl2br w:val="nil"/>
                    <w:tr2bl w:val="nil"/>
                  </w:tcBorders>
                  <w:noWrap w:val="0"/>
                  <w:vAlign w:val="center"/>
                </w:tcPr>
                <w:p w14:paraId="5DB8FF7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污染物削减量t/a</w:t>
                  </w:r>
                </w:p>
              </w:tc>
              <w:tc>
                <w:tcPr>
                  <w:tcW w:w="892" w:type="dxa"/>
                  <w:tcBorders>
                    <w:tl2br w:val="nil"/>
                    <w:tr2bl w:val="nil"/>
                  </w:tcBorders>
                  <w:noWrap w:val="0"/>
                  <w:vAlign w:val="center"/>
                </w:tcPr>
                <w:p w14:paraId="6169574F">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21.6</w:t>
                  </w:r>
                </w:p>
              </w:tc>
              <w:tc>
                <w:tcPr>
                  <w:tcW w:w="832" w:type="dxa"/>
                  <w:tcBorders>
                    <w:tl2br w:val="nil"/>
                    <w:tr2bl w:val="nil"/>
                  </w:tcBorders>
                  <w:noWrap w:val="0"/>
                  <w:vAlign w:val="center"/>
                </w:tcPr>
                <w:p w14:paraId="2FC1FAB6">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15.3</w:t>
                  </w:r>
                </w:p>
              </w:tc>
              <w:tc>
                <w:tcPr>
                  <w:tcW w:w="733" w:type="dxa"/>
                  <w:tcBorders>
                    <w:tl2br w:val="nil"/>
                    <w:tr2bl w:val="nil"/>
                  </w:tcBorders>
                  <w:noWrap w:val="0"/>
                  <w:vAlign w:val="center"/>
                </w:tcPr>
                <w:p w14:paraId="4A2EC98C">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10.4</w:t>
                  </w:r>
                </w:p>
              </w:tc>
              <w:tc>
                <w:tcPr>
                  <w:tcW w:w="1094" w:type="dxa"/>
                  <w:tcBorders>
                    <w:tl2br w:val="nil"/>
                    <w:tr2bl w:val="nil"/>
                  </w:tcBorders>
                  <w:noWrap w:val="0"/>
                  <w:vAlign w:val="center"/>
                </w:tcPr>
                <w:p w14:paraId="3F5FD30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8.1</w:t>
                  </w:r>
                </w:p>
              </w:tc>
              <w:tc>
                <w:tcPr>
                  <w:tcW w:w="912" w:type="dxa"/>
                  <w:tcBorders>
                    <w:tl2br w:val="nil"/>
                    <w:tr2bl w:val="nil"/>
                  </w:tcBorders>
                  <w:noWrap w:val="0"/>
                  <w:vAlign w:val="center"/>
                </w:tcPr>
                <w:p w14:paraId="19D2D41C">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0.7</w:t>
                  </w:r>
                </w:p>
              </w:tc>
            </w:tr>
            <w:tr w14:paraId="6F78D0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3" w:type="dxa"/>
                  <w:vMerge w:val="continue"/>
                  <w:tcBorders>
                    <w:tl2br w:val="nil"/>
                    <w:tr2bl w:val="nil"/>
                  </w:tcBorders>
                  <w:noWrap w:val="0"/>
                  <w:vAlign w:val="center"/>
                </w:tcPr>
                <w:p w14:paraId="7199A46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p>
              </w:tc>
              <w:tc>
                <w:tcPr>
                  <w:tcW w:w="2821" w:type="dxa"/>
                  <w:tcBorders>
                    <w:tl2br w:val="nil"/>
                    <w:tr2bl w:val="nil"/>
                  </w:tcBorders>
                  <w:noWrap w:val="0"/>
                  <w:vAlign w:val="center"/>
                </w:tcPr>
                <w:p w14:paraId="7F6150C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处理效率%</w:t>
                  </w:r>
                </w:p>
              </w:tc>
              <w:tc>
                <w:tcPr>
                  <w:tcW w:w="892" w:type="dxa"/>
                  <w:tcBorders>
                    <w:tl2br w:val="nil"/>
                    <w:tr2bl w:val="nil"/>
                  </w:tcBorders>
                  <w:noWrap w:val="0"/>
                  <w:vAlign w:val="center"/>
                </w:tcPr>
                <w:p w14:paraId="29F067B7">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832" w:type="dxa"/>
                  <w:tcBorders>
                    <w:tl2br w:val="nil"/>
                    <w:tr2bl w:val="nil"/>
                  </w:tcBorders>
                  <w:noWrap w:val="0"/>
                  <w:vAlign w:val="center"/>
                </w:tcPr>
                <w:p w14:paraId="3C16489C">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85</w:t>
                  </w:r>
                </w:p>
              </w:tc>
              <w:tc>
                <w:tcPr>
                  <w:tcW w:w="733" w:type="dxa"/>
                  <w:tcBorders>
                    <w:tl2br w:val="nil"/>
                    <w:tr2bl w:val="nil"/>
                  </w:tcBorders>
                  <w:noWrap w:val="0"/>
                  <w:vAlign w:val="center"/>
                </w:tcPr>
                <w:p w14:paraId="7A2BA4D5">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66</w:t>
                  </w:r>
                </w:p>
              </w:tc>
              <w:tc>
                <w:tcPr>
                  <w:tcW w:w="1094" w:type="dxa"/>
                  <w:tcBorders>
                    <w:tl2br w:val="nil"/>
                    <w:tr2bl w:val="nil"/>
                  </w:tcBorders>
                  <w:noWrap w:val="0"/>
                  <w:vAlign w:val="center"/>
                </w:tcPr>
                <w:p w14:paraId="1613DEF3">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912" w:type="dxa"/>
                  <w:tcBorders>
                    <w:tl2br w:val="nil"/>
                    <w:tr2bl w:val="nil"/>
                  </w:tcBorders>
                  <w:noWrap w:val="0"/>
                  <w:vAlign w:val="center"/>
                </w:tcPr>
                <w:p w14:paraId="394E053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38</w:t>
                  </w:r>
                </w:p>
              </w:tc>
            </w:tr>
            <w:tr w14:paraId="116D71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794" w:type="dxa"/>
                  <w:gridSpan w:val="2"/>
                  <w:tcBorders>
                    <w:tl2br w:val="nil"/>
                    <w:tr2bl w:val="nil"/>
                  </w:tcBorders>
                  <w:noWrap w:val="0"/>
                  <w:vAlign w:val="center"/>
                </w:tcPr>
                <w:p w14:paraId="0F225D9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b w:val="0"/>
                      <w:bCs/>
                      <w:sz w:val="21"/>
                      <w:szCs w:val="21"/>
                      <w:lang w:val="en-US" w:eastAsia="zh-CN"/>
                    </w:rPr>
                    <w:t>《肉类加工工业水污染物排放标准》</w:t>
                  </w:r>
                  <w:r>
                    <w:rPr>
                      <w:rFonts w:hint="eastAsia" w:ascii="宋体" w:hAnsi="宋体" w:cs="宋体"/>
                      <w:b w:val="0"/>
                      <w:bCs/>
                      <w:sz w:val="21"/>
                      <w:szCs w:val="21"/>
                      <w:lang w:val="en-US" w:eastAsia="zh-CN"/>
                    </w:rPr>
                    <w:t>（</w:t>
                  </w:r>
                  <w:r>
                    <w:rPr>
                      <w:rFonts w:hint="eastAsia" w:ascii="宋体" w:hAnsi="宋体" w:eastAsia="宋体" w:cs="宋体"/>
                      <w:b w:val="0"/>
                      <w:bCs/>
                      <w:sz w:val="21"/>
                      <w:szCs w:val="21"/>
                      <w:lang w:val="en-US" w:eastAsia="zh-CN"/>
                    </w:rPr>
                    <w:t>GB13457-92</w:t>
                  </w:r>
                  <w:r>
                    <w:rPr>
                      <w:rFonts w:hint="eastAsia" w:ascii="宋体" w:hAnsi="宋体" w:cs="宋体"/>
                      <w:b w:val="0"/>
                      <w:bCs/>
                      <w:sz w:val="21"/>
                      <w:szCs w:val="21"/>
                      <w:lang w:val="en-US" w:eastAsia="zh-CN"/>
                    </w:rPr>
                    <w:t>）</w:t>
                  </w:r>
                  <w:r>
                    <w:rPr>
                      <w:rFonts w:hint="eastAsia" w:ascii="宋体" w:hAnsi="宋体" w:eastAsia="宋体" w:cs="宋体"/>
                      <w:b w:val="0"/>
                      <w:bCs/>
                      <w:sz w:val="21"/>
                      <w:szCs w:val="21"/>
                      <w:lang w:val="en-US" w:eastAsia="zh-CN"/>
                    </w:rPr>
                    <w:t>中表3三级排放限值标准</w:t>
                  </w:r>
                </w:p>
              </w:tc>
              <w:tc>
                <w:tcPr>
                  <w:tcW w:w="892" w:type="dxa"/>
                  <w:tcBorders>
                    <w:tl2br w:val="nil"/>
                    <w:tr2bl w:val="nil"/>
                  </w:tcBorders>
                  <w:noWrap w:val="0"/>
                  <w:vAlign w:val="center"/>
                </w:tcPr>
                <w:p w14:paraId="20CC2ED0">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500</w:t>
                  </w:r>
                </w:p>
              </w:tc>
              <w:tc>
                <w:tcPr>
                  <w:tcW w:w="832" w:type="dxa"/>
                  <w:tcBorders>
                    <w:tl2br w:val="nil"/>
                    <w:tr2bl w:val="nil"/>
                  </w:tcBorders>
                  <w:noWrap w:val="0"/>
                  <w:vAlign w:val="center"/>
                </w:tcPr>
                <w:p w14:paraId="11BD069F">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w:t>
                  </w:r>
                </w:p>
              </w:tc>
              <w:tc>
                <w:tcPr>
                  <w:tcW w:w="733" w:type="dxa"/>
                  <w:tcBorders>
                    <w:tl2br w:val="nil"/>
                    <w:tr2bl w:val="nil"/>
                  </w:tcBorders>
                  <w:noWrap w:val="0"/>
                  <w:vAlign w:val="center"/>
                </w:tcPr>
                <w:p w14:paraId="304C2998">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350</w:t>
                  </w:r>
                </w:p>
              </w:tc>
              <w:tc>
                <w:tcPr>
                  <w:tcW w:w="1094" w:type="dxa"/>
                  <w:tcBorders>
                    <w:tl2br w:val="nil"/>
                    <w:tr2bl w:val="nil"/>
                  </w:tcBorders>
                  <w:noWrap w:val="0"/>
                  <w:vAlign w:val="center"/>
                </w:tcPr>
                <w:p w14:paraId="2BB65E41">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912" w:type="dxa"/>
                  <w:tcBorders>
                    <w:tl2br w:val="nil"/>
                    <w:tr2bl w:val="nil"/>
                  </w:tcBorders>
                  <w:noWrap w:val="0"/>
                  <w:vAlign w:val="center"/>
                </w:tcPr>
                <w:p w14:paraId="541BD174">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5BF8B7D0">
            <w:pPr>
              <w:adjustRightInd w:val="0"/>
              <w:snapToGrid w:val="0"/>
              <w:ind w:firstLine="422" w:firstLineChars="200"/>
              <w:rPr>
                <w:b/>
                <w:bCs/>
                <w:color w:val="auto"/>
                <w:szCs w:val="21"/>
              </w:rPr>
            </w:pPr>
          </w:p>
          <w:p w14:paraId="71E62FD4">
            <w:pPr>
              <w:pStyle w:val="9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rPr>
            </w:pPr>
            <w:r>
              <w:rPr>
                <w:color w:val="auto"/>
              </w:rPr>
              <w:t>表4-</w:t>
            </w:r>
            <w:r>
              <w:rPr>
                <w:rFonts w:hint="eastAsia"/>
                <w:color w:val="auto"/>
                <w:lang w:val="en-US" w:eastAsia="zh-CN"/>
              </w:rPr>
              <w:t>8</w:t>
            </w:r>
            <w:r>
              <w:rPr>
                <w:color w:val="auto"/>
              </w:rPr>
              <w:t>污水处理站废水排放口基本情况表</w:t>
            </w:r>
          </w:p>
          <w:tbl>
            <w:tblPr>
              <w:tblStyle w:val="30"/>
              <w:tblW w:w="82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734"/>
              <w:gridCol w:w="1973"/>
              <w:gridCol w:w="1831"/>
              <w:gridCol w:w="1762"/>
            </w:tblGrid>
            <w:tr w14:paraId="409FD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01" w:type="pct"/>
                  <w:vMerge w:val="restart"/>
                  <w:vAlign w:val="center"/>
                </w:tcPr>
                <w:p w14:paraId="6F94E73C">
                  <w:pPr>
                    <w:pStyle w:val="23"/>
                    <w:rPr>
                      <w:color w:val="auto"/>
                      <w:sz w:val="21"/>
                      <w:szCs w:val="21"/>
                    </w:rPr>
                  </w:pPr>
                  <w:r>
                    <w:rPr>
                      <w:color w:val="auto"/>
                      <w:sz w:val="21"/>
                      <w:szCs w:val="21"/>
                    </w:rPr>
                    <w:t>排放口编号</w:t>
                  </w:r>
                </w:p>
              </w:tc>
              <w:tc>
                <w:tcPr>
                  <w:tcW w:w="1044" w:type="pct"/>
                  <w:vMerge w:val="restart"/>
                  <w:vAlign w:val="center"/>
                </w:tcPr>
                <w:p w14:paraId="53B763B7">
                  <w:pPr>
                    <w:pStyle w:val="23"/>
                    <w:rPr>
                      <w:color w:val="auto"/>
                      <w:sz w:val="21"/>
                      <w:szCs w:val="21"/>
                    </w:rPr>
                  </w:pPr>
                  <w:r>
                    <w:rPr>
                      <w:color w:val="auto"/>
                      <w:sz w:val="21"/>
                      <w:szCs w:val="21"/>
                    </w:rPr>
                    <w:t>排放口名称</w:t>
                  </w:r>
                </w:p>
              </w:tc>
              <w:tc>
                <w:tcPr>
                  <w:tcW w:w="1188" w:type="pct"/>
                  <w:vMerge w:val="restart"/>
                  <w:vAlign w:val="center"/>
                </w:tcPr>
                <w:p w14:paraId="6D8CE691">
                  <w:pPr>
                    <w:pStyle w:val="23"/>
                    <w:rPr>
                      <w:color w:val="auto"/>
                      <w:sz w:val="21"/>
                      <w:szCs w:val="21"/>
                    </w:rPr>
                  </w:pPr>
                  <w:r>
                    <w:rPr>
                      <w:color w:val="auto"/>
                      <w:sz w:val="21"/>
                      <w:szCs w:val="21"/>
                    </w:rPr>
                    <w:t>排放口类型</w:t>
                  </w:r>
                </w:p>
              </w:tc>
              <w:tc>
                <w:tcPr>
                  <w:tcW w:w="2164" w:type="pct"/>
                  <w:gridSpan w:val="2"/>
                  <w:vAlign w:val="center"/>
                </w:tcPr>
                <w:p w14:paraId="302EA889">
                  <w:pPr>
                    <w:pStyle w:val="23"/>
                    <w:rPr>
                      <w:color w:val="auto"/>
                      <w:sz w:val="21"/>
                      <w:szCs w:val="21"/>
                    </w:rPr>
                  </w:pPr>
                  <w:r>
                    <w:rPr>
                      <w:color w:val="auto"/>
                      <w:sz w:val="21"/>
                      <w:szCs w:val="21"/>
                    </w:rPr>
                    <w:t>坐标</w:t>
                  </w:r>
                </w:p>
              </w:tc>
            </w:tr>
            <w:tr w14:paraId="60783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01" w:type="pct"/>
                  <w:vMerge w:val="continue"/>
                  <w:vAlign w:val="center"/>
                </w:tcPr>
                <w:p w14:paraId="56110AD8">
                  <w:pPr>
                    <w:pStyle w:val="23"/>
                    <w:rPr>
                      <w:color w:val="auto"/>
                      <w:sz w:val="21"/>
                      <w:szCs w:val="21"/>
                    </w:rPr>
                  </w:pPr>
                </w:p>
              </w:tc>
              <w:tc>
                <w:tcPr>
                  <w:tcW w:w="1044" w:type="pct"/>
                  <w:vMerge w:val="continue"/>
                  <w:vAlign w:val="center"/>
                </w:tcPr>
                <w:p w14:paraId="6A127D21">
                  <w:pPr>
                    <w:pStyle w:val="23"/>
                    <w:rPr>
                      <w:color w:val="auto"/>
                      <w:sz w:val="21"/>
                      <w:szCs w:val="21"/>
                    </w:rPr>
                  </w:pPr>
                </w:p>
              </w:tc>
              <w:tc>
                <w:tcPr>
                  <w:tcW w:w="1188" w:type="pct"/>
                  <w:vMerge w:val="continue"/>
                  <w:vAlign w:val="center"/>
                </w:tcPr>
                <w:p w14:paraId="66AC2D8E">
                  <w:pPr>
                    <w:pStyle w:val="23"/>
                    <w:rPr>
                      <w:color w:val="auto"/>
                      <w:sz w:val="21"/>
                      <w:szCs w:val="21"/>
                    </w:rPr>
                  </w:pPr>
                </w:p>
              </w:tc>
              <w:tc>
                <w:tcPr>
                  <w:tcW w:w="1103" w:type="pct"/>
                  <w:vAlign w:val="center"/>
                </w:tcPr>
                <w:p w14:paraId="519A3ED0">
                  <w:pPr>
                    <w:pStyle w:val="23"/>
                    <w:rPr>
                      <w:color w:val="auto"/>
                      <w:sz w:val="21"/>
                      <w:szCs w:val="21"/>
                    </w:rPr>
                  </w:pPr>
                  <w:r>
                    <w:rPr>
                      <w:color w:val="auto"/>
                      <w:sz w:val="21"/>
                      <w:szCs w:val="21"/>
                    </w:rPr>
                    <w:t>经度</w:t>
                  </w:r>
                </w:p>
              </w:tc>
              <w:tc>
                <w:tcPr>
                  <w:tcW w:w="1061" w:type="pct"/>
                  <w:vAlign w:val="center"/>
                </w:tcPr>
                <w:p w14:paraId="4AA350F5">
                  <w:pPr>
                    <w:pStyle w:val="23"/>
                    <w:rPr>
                      <w:color w:val="auto"/>
                      <w:sz w:val="21"/>
                      <w:szCs w:val="21"/>
                    </w:rPr>
                  </w:pPr>
                  <w:r>
                    <w:rPr>
                      <w:color w:val="auto"/>
                      <w:sz w:val="21"/>
                      <w:szCs w:val="21"/>
                    </w:rPr>
                    <w:t>纬度</w:t>
                  </w:r>
                </w:p>
              </w:tc>
            </w:tr>
            <w:tr w14:paraId="2381D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01" w:type="pct"/>
                  <w:vAlign w:val="center"/>
                </w:tcPr>
                <w:p w14:paraId="326EACA3">
                  <w:pPr>
                    <w:pStyle w:val="23"/>
                    <w:rPr>
                      <w:color w:val="auto"/>
                      <w:sz w:val="21"/>
                      <w:szCs w:val="21"/>
                    </w:rPr>
                  </w:pPr>
                  <w:r>
                    <w:rPr>
                      <w:color w:val="auto"/>
                      <w:sz w:val="21"/>
                      <w:szCs w:val="21"/>
                    </w:rPr>
                    <w:t>DW001</w:t>
                  </w:r>
                </w:p>
              </w:tc>
              <w:tc>
                <w:tcPr>
                  <w:tcW w:w="1044" w:type="pct"/>
                  <w:vAlign w:val="center"/>
                </w:tcPr>
                <w:p w14:paraId="210E636E">
                  <w:pPr>
                    <w:pStyle w:val="23"/>
                    <w:rPr>
                      <w:color w:val="auto"/>
                      <w:sz w:val="21"/>
                      <w:szCs w:val="21"/>
                    </w:rPr>
                  </w:pPr>
                  <w:r>
                    <w:rPr>
                      <w:color w:val="auto"/>
                      <w:sz w:val="21"/>
                      <w:szCs w:val="21"/>
                    </w:rPr>
                    <w:t>废水总排口</w:t>
                  </w:r>
                </w:p>
              </w:tc>
              <w:tc>
                <w:tcPr>
                  <w:tcW w:w="1188" w:type="pct"/>
                  <w:vAlign w:val="center"/>
                </w:tcPr>
                <w:p w14:paraId="6869BCFB">
                  <w:pPr>
                    <w:pStyle w:val="2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主要排放口</w:t>
                  </w:r>
                </w:p>
              </w:tc>
              <w:tc>
                <w:tcPr>
                  <w:tcW w:w="1103" w:type="pct"/>
                  <w:vAlign w:val="center"/>
                </w:tcPr>
                <w:p w14:paraId="78B583E8">
                  <w:pPr>
                    <w:pStyle w:val="2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86°02'52.823"</w:t>
                  </w:r>
                </w:p>
              </w:tc>
              <w:tc>
                <w:tcPr>
                  <w:tcW w:w="1061" w:type="pct"/>
                  <w:vAlign w:val="center"/>
                </w:tcPr>
                <w:p w14:paraId="71267840">
                  <w:pPr>
                    <w:pStyle w:val="23"/>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41°45'37.052"</w:t>
                  </w:r>
                </w:p>
              </w:tc>
            </w:tr>
          </w:tbl>
          <w:p w14:paraId="4A887A38">
            <w:pPr>
              <w:rPr>
                <w:rFonts w:hint="default"/>
              </w:rPr>
            </w:pPr>
          </w:p>
          <w:p w14:paraId="53B39B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rPr>
            </w:pPr>
            <w:r>
              <w:rPr>
                <w:rFonts w:hint="default" w:ascii="Times New Roman" w:hAnsi="Times New Roman" w:cs="Times New Roman"/>
                <w:color w:val="auto"/>
                <w:sz w:val="24"/>
              </w:rPr>
              <w:t>本项目设置</w:t>
            </w:r>
            <w:r>
              <w:rPr>
                <w:rFonts w:hint="eastAsia" w:cs="Times New Roman"/>
                <w:color w:val="auto"/>
                <w:sz w:val="24"/>
                <w:lang w:val="en-US" w:eastAsia="zh-CN"/>
              </w:rPr>
              <w:t>150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污水处理</w:t>
            </w:r>
            <w:r>
              <w:rPr>
                <w:rFonts w:hint="default" w:ascii="Times New Roman" w:hAnsi="Times New Roman" w:cs="Times New Roman"/>
                <w:sz w:val="24"/>
              </w:rPr>
              <w:t>设施，处理设施处理工艺</w:t>
            </w:r>
            <w:r>
              <w:rPr>
                <w:rFonts w:hint="eastAsia" w:cs="Times New Roman"/>
                <w:sz w:val="24"/>
                <w:lang w:eastAsia="zh-CN"/>
              </w:rPr>
              <w:t>如图</w:t>
            </w:r>
            <w:r>
              <w:rPr>
                <w:rFonts w:hint="eastAsia" w:cs="Times New Roman"/>
                <w:sz w:val="24"/>
                <w:lang w:val="en-US" w:eastAsia="zh-CN"/>
              </w:rPr>
              <w:t>4-1所示</w:t>
            </w:r>
            <w:r>
              <w:rPr>
                <w:rFonts w:hint="default" w:ascii="Times New Roman" w:hAnsi="Times New Roman" w:cs="Times New Roman"/>
                <w:sz w:val="24"/>
              </w:rPr>
              <w:t>：</w:t>
            </w:r>
          </w:p>
          <w:p w14:paraId="2FCCC451">
            <w:pPr>
              <w:pStyle w:val="105"/>
              <w:bidi w:val="0"/>
              <w:rPr>
                <w:rFonts w:hint="eastAsia"/>
              </w:rPr>
            </w:pPr>
            <w:r>
              <w:rPr>
                <w:rFonts w:hint="eastAsia"/>
              </w:rPr>
              <w:t>经</w:t>
            </w:r>
            <w:r>
              <w:rPr>
                <w:rFonts w:hint="eastAsia"/>
                <w:lang w:val="en-US" w:eastAsia="zh-CN"/>
              </w:rPr>
              <w:t>配套</w:t>
            </w:r>
            <w:r>
              <w:rPr>
                <w:rFonts w:hint="eastAsia"/>
              </w:rPr>
              <w:t>污水处理设施处理后的污水，能够达到</w:t>
            </w:r>
            <w:r>
              <w:rPr>
                <w:rFonts w:hint="eastAsia"/>
                <w:b w:val="0"/>
                <w:bCs/>
                <w:sz w:val="24"/>
                <w:szCs w:val="24"/>
                <w:lang w:val="en-US" w:eastAsia="zh-CN"/>
              </w:rPr>
              <w:t>《肉类加工工业水污染物排放标准》（GB13457-92）中表3三级排放限值标准</w:t>
            </w:r>
            <w:r>
              <w:rPr>
                <w:rFonts w:hint="eastAsia"/>
              </w:rPr>
              <w:t>，进入</w:t>
            </w:r>
            <w:r>
              <w:rPr>
                <w:rFonts w:hint="eastAsia"/>
                <w:lang w:val="en-US" w:eastAsia="zh-CN"/>
              </w:rPr>
              <w:t>兰干乡市政</w:t>
            </w:r>
            <w:r>
              <w:rPr>
                <w:rFonts w:hint="eastAsia"/>
              </w:rPr>
              <w:t>下水管网</w:t>
            </w:r>
            <w:r>
              <w:rPr>
                <w:rFonts w:hint="eastAsia"/>
                <w:lang w:eastAsia="zh-CN"/>
              </w:rPr>
              <w:t>，</w:t>
            </w:r>
            <w:r>
              <w:rPr>
                <w:b w:val="0"/>
                <w:bCs/>
                <w:color w:val="auto"/>
                <w:sz w:val="24"/>
                <w:szCs w:val="32"/>
              </w:rPr>
              <w:t>最终进入</w:t>
            </w:r>
            <w:r>
              <w:rPr>
                <w:rFonts w:hint="eastAsia"/>
                <w:b w:val="0"/>
                <w:bCs/>
                <w:color w:val="auto"/>
                <w:sz w:val="24"/>
                <w:szCs w:val="32"/>
              </w:rPr>
              <w:t>库尔勒金城洁净排水有限责任公司库尔勒市老城区污水处理厂</w:t>
            </w:r>
            <w:r>
              <w:rPr>
                <w:b w:val="0"/>
                <w:bCs/>
                <w:color w:val="auto"/>
                <w:sz w:val="24"/>
                <w:szCs w:val="32"/>
              </w:rPr>
              <w:t>处理</w:t>
            </w:r>
            <w:r>
              <w:rPr>
                <w:rFonts w:hint="eastAsia"/>
              </w:rPr>
              <w:t>。</w:t>
            </w:r>
          </w:p>
          <w:p w14:paraId="532F6831">
            <w:pPr>
              <w:pStyle w:val="38"/>
              <w:keepNext w:val="0"/>
              <w:keepLines w:val="0"/>
              <w:suppressLineNumbers w:val="0"/>
              <w:spacing w:before="0" w:beforeAutospacing="0" w:after="0" w:afterAutospacing="0"/>
              <w:ind w:left="0" w:right="0"/>
              <w:jc w:val="center"/>
              <w:rPr>
                <w:rFonts w:hint="eastAsia"/>
                <w:b/>
                <w:bCs/>
                <w:sz w:val="21"/>
                <w:szCs w:val="21"/>
                <w:lang w:eastAsia="zh-CN"/>
              </w:rPr>
            </w:pPr>
            <w:r>
              <w:drawing>
                <wp:inline distT="0" distB="0" distL="114300" distR="114300">
                  <wp:extent cx="5061585" cy="481965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061585" cy="4819650"/>
                          </a:xfrm>
                          <a:prstGeom prst="rect">
                            <a:avLst/>
                          </a:prstGeom>
                          <a:noFill/>
                          <a:ln>
                            <a:noFill/>
                          </a:ln>
                        </pic:spPr>
                      </pic:pic>
                    </a:graphicData>
                  </a:graphic>
                </wp:inline>
              </w:drawing>
            </w:r>
          </w:p>
          <w:p w14:paraId="7B5ED301">
            <w:pPr>
              <w:pStyle w:val="38"/>
              <w:keepNext w:val="0"/>
              <w:keepLines w:val="0"/>
              <w:suppressLineNumbers w:val="0"/>
              <w:spacing w:before="0" w:beforeAutospacing="0" w:after="0" w:afterAutospacing="0"/>
              <w:ind w:left="0" w:right="0"/>
              <w:jc w:val="center"/>
              <w:rPr>
                <w:rFonts w:hint="eastAsia"/>
                <w:b/>
                <w:bCs/>
                <w:sz w:val="21"/>
                <w:szCs w:val="21"/>
                <w:lang w:val="en-US" w:eastAsia="zh-CN"/>
              </w:rPr>
            </w:pPr>
            <w:r>
              <w:rPr>
                <w:rFonts w:hint="eastAsia"/>
                <w:b/>
                <w:bCs/>
                <w:sz w:val="21"/>
                <w:szCs w:val="21"/>
                <w:lang w:eastAsia="zh-CN"/>
              </w:rPr>
              <w:t>图</w:t>
            </w:r>
            <w:r>
              <w:rPr>
                <w:rFonts w:hint="eastAsia"/>
                <w:b/>
                <w:bCs/>
                <w:sz w:val="21"/>
                <w:szCs w:val="21"/>
                <w:lang w:val="en-US" w:eastAsia="zh-CN"/>
              </w:rPr>
              <w:t>4-1    污水站处理工艺流程图</w:t>
            </w:r>
          </w:p>
          <w:p w14:paraId="25852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工艺流程说明：</w:t>
            </w:r>
          </w:p>
          <w:p w14:paraId="795CEE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1）调节池：</w:t>
            </w:r>
          </w:p>
          <w:p w14:paraId="5F25B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原水先经过格栅除去较大的污染物颗粒及其他杂物，以避免后续的水泵被堵塞、缠绕；然后进入调节池，进行水质水量的调节。 </w:t>
            </w:r>
          </w:p>
          <w:p w14:paraId="1D335B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调节池建议有效容积：100m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 xml:space="preserve">。 </w:t>
            </w:r>
          </w:p>
          <w:p w14:paraId="69FE4E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配套潜污泵2台，Q=1m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/h，配套液位系统1套。</w:t>
            </w:r>
          </w:p>
          <w:p w14:paraId="177EBE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2）隔油池</w:t>
            </w:r>
          </w:p>
          <w:p w14:paraId="18881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由于废水中含有较多的油类物质，因此在调节池之后设置隔油池，通过重力作用对废水进行油水分离，去除一部分含油物质。</w:t>
            </w:r>
          </w:p>
          <w:p w14:paraId="506233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3）混凝沉淀单元</w:t>
            </w:r>
          </w:p>
          <w:p w14:paraId="6646B2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通过投加 PAC、PAM 等化学絮凝药剂来破坏胶体和悬浮微粒在水中形成的稳定分散体系，使其聚集为具有明显沉降性能的絮体，同时通过投加化学混凝药剂来使水中悬浮微粒絮体相互吸附、卷带和桥连而成更大絮体，更加有利便于沉降。沉淀下来的污泥通过污泥泵排入污泥池，上清液自流进入气浮机。</w:t>
            </w:r>
          </w:p>
          <w:p w14:paraId="5592BA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4）气浮单元</w:t>
            </w:r>
          </w:p>
          <w:p w14:paraId="7C33D1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气浮机是将空气以微小气泡形式通入水中，使微小气泡与在水中悬浮的颗粒粘附，形成水-气-颗粒三相混合体系，颗粒粘附上气泡后，密度小于水即上浮水面，形成浮渣层，从水中分离出去。主要由两部分组成：⑴加压溶气及释放系统，包括加压泵、水射器、溶气罐（当用空压机供气时，还需配置稳压罐）、溶气干管、溶气支管及高效气浮喷头等；⑵气浮池：包括吸附、分离、刮渣、排水等部分。在气浮机内可投加药剂使大部分的油脂及悬浮物质被去除。</w:t>
            </w:r>
          </w:p>
          <w:p w14:paraId="235984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气浮机产生的浮渣进入污泥池进行重力浓缩，气浮机出水达标排放至市政管网。</w:t>
            </w:r>
          </w:p>
          <w:p w14:paraId="3BA8F1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5）污泥浓缩单元</w:t>
            </w:r>
          </w:p>
          <w:p w14:paraId="6BA61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隔油池、混凝沉淀池、气浮机排放的污泥、浮渣、浮油等在这里进行存储和重力浓缩，通过污泥泵进入叠罗压滤机（含油污泥易造成滤布堵塞，故本方案不考虑板框、箱式、带式等压滤机）进行泥水分离，压滤的污泥委托外运处理，压滤机出水回流至调节池。</w:t>
            </w:r>
          </w:p>
          <w:p w14:paraId="10C85E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宋体" w:hAnsi="宋体" w:eastAsia="宋体" w:cs="宋体"/>
                <w:color w:val="auto"/>
                <w:sz w:val="24"/>
                <w:szCs w:val="24"/>
                <w:lang w:val="en-US" w:eastAsia="zh-CN"/>
              </w:rPr>
              <w:t>本项目废水主要来自于</w:t>
            </w:r>
            <w:r>
              <w:rPr>
                <w:rFonts w:hint="default" w:ascii="Times New Roman" w:hAnsi="Times New Roman" w:eastAsia="宋体" w:cs="Times New Roman"/>
                <w:color w:val="auto"/>
                <w:sz w:val="24"/>
                <w:szCs w:val="24"/>
              </w:rPr>
              <w:t>职工</w:t>
            </w:r>
            <w:r>
              <w:rPr>
                <w:rFonts w:hint="default" w:ascii="Times New Roman" w:hAnsi="Times New Roman" w:eastAsia="宋体" w:cs="Times New Roman"/>
                <w:color w:val="auto"/>
                <w:sz w:val="24"/>
                <w:szCs w:val="24"/>
                <w:lang w:val="en-US" w:eastAsia="zh-CN"/>
              </w:rPr>
              <w:t>生活污水和原料</w:t>
            </w:r>
            <w:r>
              <w:rPr>
                <w:rFonts w:hint="default" w:ascii="Times New Roman" w:hAnsi="Times New Roman" w:eastAsia="宋体" w:cs="Times New Roman"/>
                <w:color w:val="auto"/>
                <w:sz w:val="24"/>
                <w:szCs w:val="24"/>
              </w:rPr>
              <w:t>清洗</w:t>
            </w:r>
            <w:r>
              <w:rPr>
                <w:rFonts w:hint="default"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食品浸泡废水、蒸煮废水、豆制品压榨废水、软水制备废、纯水制备废水</w:t>
            </w:r>
            <w:r>
              <w:rPr>
                <w:rFonts w:hint="eastAsia" w:ascii="Times New Roman" w:hAnsi="Times New Roman" w:eastAsia="宋体" w:cs="Times New Roman"/>
                <w:color w:val="auto"/>
                <w:sz w:val="24"/>
                <w:szCs w:val="24"/>
                <w:lang w:val="en-US" w:eastAsia="zh-CN"/>
              </w:rPr>
              <w:t>、设备擦洗废水</w:t>
            </w:r>
            <w:r>
              <w:rPr>
                <w:rFonts w:hint="default" w:ascii="Times New Roman" w:hAnsi="Times New Roman" w:eastAsia="宋体" w:cs="Times New Roman"/>
                <w:color w:val="auto"/>
                <w:sz w:val="24"/>
                <w:szCs w:val="24"/>
                <w:lang w:val="en-US" w:eastAsia="zh-CN"/>
              </w:rPr>
              <w:t>和地面</w:t>
            </w:r>
            <w:r>
              <w:rPr>
                <w:rFonts w:hint="eastAsia" w:ascii="Times New Roman" w:hAnsi="Times New Roman" w:eastAsia="宋体" w:cs="Times New Roman"/>
                <w:color w:val="auto"/>
                <w:sz w:val="24"/>
                <w:szCs w:val="24"/>
                <w:lang w:val="en-US" w:eastAsia="zh-CN"/>
              </w:rPr>
              <w:t>擦洗</w:t>
            </w:r>
            <w:r>
              <w:rPr>
                <w:rFonts w:hint="default" w:ascii="Times New Roman" w:hAnsi="Times New Roman" w:eastAsia="宋体" w:cs="Times New Roman"/>
                <w:color w:val="auto"/>
                <w:sz w:val="24"/>
                <w:szCs w:val="24"/>
                <w:lang w:val="en-US" w:eastAsia="zh-CN"/>
              </w:rPr>
              <w:t>废水等</w:t>
            </w:r>
            <w:r>
              <w:rPr>
                <w:rFonts w:hint="eastAsia" w:ascii="宋体" w:hAnsi="宋体" w:eastAsia="宋体" w:cs="宋体"/>
                <w:color w:val="auto"/>
                <w:sz w:val="24"/>
                <w:szCs w:val="24"/>
                <w:lang w:val="en-US" w:eastAsia="zh-CN"/>
              </w:rPr>
              <w:t>，废水水质满足污水站设计进水指标，经“混凝沉淀+气浮”工艺的污水处理站处理，水质可以满足《肉类加工工业水污染物排放标准》（GB13457-92）中表3三级排放限值标准，项目废水处理工艺可行。</w:t>
            </w:r>
          </w:p>
          <w:p w14:paraId="33B89B5A">
            <w:pPr>
              <w:pStyle w:val="17"/>
              <w:adjustRightInd w:val="0"/>
              <w:snapToGrid w:val="0"/>
              <w:spacing w:line="360" w:lineRule="auto"/>
              <w:ind w:left="0" w:leftChars="0" w:firstLine="482" w:firstLineChars="200"/>
              <w:rPr>
                <w:b/>
                <w:bCs/>
                <w:color w:val="auto"/>
                <w:szCs w:val="24"/>
              </w:rPr>
            </w:pPr>
            <w:r>
              <w:rPr>
                <w:b/>
                <w:bCs/>
                <w:color w:val="auto"/>
                <w:szCs w:val="24"/>
              </w:rPr>
              <w:t>2.3废水间接排放可依托性分析</w:t>
            </w:r>
          </w:p>
          <w:p w14:paraId="565CEF13">
            <w:pPr>
              <w:pStyle w:val="105"/>
              <w:ind w:firstLine="480"/>
              <w:rPr>
                <w:color w:val="auto"/>
                <w:lang w:bidi="ar"/>
              </w:rPr>
            </w:pPr>
            <w:r>
              <w:rPr>
                <w:color w:val="auto"/>
                <w:lang w:bidi="ar"/>
              </w:rPr>
              <w:t>（1</w:t>
            </w:r>
            <w:r>
              <w:rPr>
                <w:rFonts w:hint="eastAsia"/>
                <w:color w:val="auto"/>
                <w:lang w:eastAsia="zh-CN" w:bidi="ar"/>
              </w:rPr>
              <w:t>）</w:t>
            </w:r>
            <w:r>
              <w:rPr>
                <w:rFonts w:hint="eastAsia"/>
                <w:color w:val="auto"/>
                <w:sz w:val="24"/>
                <w:szCs w:val="32"/>
              </w:rPr>
              <w:t>库尔勒金城洁净排水有限责任公司库尔勒市老城区污水处理厂</w:t>
            </w:r>
            <w:r>
              <w:rPr>
                <w:color w:val="auto"/>
                <w:lang w:bidi="ar"/>
              </w:rPr>
              <w:t>环保情况：</w:t>
            </w:r>
          </w:p>
          <w:p w14:paraId="7D4B80EF">
            <w:pPr>
              <w:pStyle w:val="105"/>
              <w:ind w:firstLine="480"/>
              <w:rPr>
                <w:color w:val="auto"/>
                <w:lang w:bidi="ar"/>
              </w:rPr>
            </w:pPr>
            <w:r>
              <w:rPr>
                <w:rFonts w:hint="eastAsia"/>
                <w:snapToGrid w:val="0"/>
                <w:color w:val="auto"/>
                <w:lang w:eastAsia="zh-CN"/>
              </w:rPr>
              <w:t>库尔勒金城洁净排水有限责任公司库尔勒市老城区污水处理厂</w:t>
            </w:r>
            <w:r>
              <w:rPr>
                <w:snapToGrid w:val="0"/>
                <w:color w:val="auto"/>
              </w:rPr>
              <w:t>位于</w:t>
            </w:r>
            <w:r>
              <w:rPr>
                <w:rFonts w:hint="eastAsia"/>
                <w:snapToGrid w:val="0"/>
                <w:color w:val="auto"/>
              </w:rPr>
              <w:t>孔雀河兰干路北端12公里处</w:t>
            </w:r>
            <w:r>
              <w:rPr>
                <w:rFonts w:hint="eastAsia"/>
                <w:snapToGrid w:val="0"/>
                <w:color w:val="auto"/>
                <w:lang w:eastAsia="zh-CN"/>
              </w:rPr>
              <w:t>（</w:t>
            </w:r>
            <w:r>
              <w:rPr>
                <w:rFonts w:hint="eastAsia"/>
                <w:snapToGrid w:val="0"/>
                <w:color w:val="auto"/>
              </w:rPr>
              <w:t>兰干乡结帕尔村以西约2公里处</w:t>
            </w:r>
            <w:r>
              <w:rPr>
                <w:rFonts w:hint="eastAsia"/>
                <w:snapToGrid w:val="0"/>
                <w:color w:val="auto"/>
                <w:lang w:eastAsia="zh-CN"/>
              </w:rPr>
              <w:t>）</w:t>
            </w:r>
            <w:r>
              <w:rPr>
                <w:snapToGrid w:val="0"/>
                <w:color w:val="auto"/>
              </w:rPr>
              <w:t>，中心坐标为</w:t>
            </w:r>
            <w:r>
              <w:rPr>
                <w:color w:val="auto"/>
                <w:lang w:bidi="ar"/>
              </w:rPr>
              <w:t>E：86°5</w:t>
            </w:r>
            <w:r>
              <w:rPr>
                <w:rFonts w:hint="eastAsia"/>
                <w:color w:val="auto"/>
                <w:lang w:val="en-US" w:eastAsia="zh-CN" w:bidi="ar"/>
              </w:rPr>
              <w:t>9</w:t>
            </w:r>
            <w:r>
              <w:rPr>
                <w:color w:val="auto"/>
                <w:lang w:bidi="ar"/>
              </w:rPr>
              <w:t>'</w:t>
            </w:r>
            <w:r>
              <w:rPr>
                <w:rFonts w:hint="eastAsia"/>
                <w:color w:val="auto"/>
                <w:lang w:val="en-US" w:eastAsia="zh-CN" w:bidi="ar"/>
              </w:rPr>
              <w:t>47.11</w:t>
            </w:r>
            <w:r>
              <w:rPr>
                <w:color w:val="auto"/>
                <w:lang w:bidi="ar"/>
              </w:rPr>
              <w:t>"，N：4</w:t>
            </w:r>
            <w:r>
              <w:rPr>
                <w:rFonts w:hint="eastAsia"/>
                <w:color w:val="auto"/>
                <w:lang w:val="en-US" w:eastAsia="zh-CN" w:bidi="ar"/>
              </w:rPr>
              <w:t>2</w:t>
            </w:r>
            <w:r>
              <w:rPr>
                <w:color w:val="auto"/>
                <w:lang w:bidi="ar"/>
              </w:rPr>
              <w:t>°</w:t>
            </w:r>
            <w:r>
              <w:rPr>
                <w:rFonts w:hint="eastAsia"/>
                <w:color w:val="auto"/>
                <w:lang w:val="en-US" w:eastAsia="zh-CN" w:bidi="ar"/>
              </w:rPr>
              <w:t>46</w:t>
            </w:r>
            <w:r>
              <w:rPr>
                <w:color w:val="auto"/>
                <w:lang w:bidi="ar"/>
              </w:rPr>
              <w:t>'</w:t>
            </w:r>
            <w:r>
              <w:rPr>
                <w:rFonts w:hint="eastAsia"/>
                <w:color w:val="auto"/>
                <w:lang w:val="en-US" w:eastAsia="zh-CN" w:bidi="ar"/>
              </w:rPr>
              <w:t>53.18</w:t>
            </w:r>
            <w:r>
              <w:rPr>
                <w:color w:val="auto"/>
                <w:lang w:bidi="ar"/>
              </w:rPr>
              <w:t>"。</w:t>
            </w:r>
          </w:p>
          <w:p w14:paraId="212D3795">
            <w:pPr>
              <w:pStyle w:val="105"/>
              <w:ind w:firstLine="480"/>
              <w:rPr>
                <w:color w:val="auto"/>
                <w:kern w:val="0"/>
                <w:lang w:bidi="ar"/>
              </w:rPr>
            </w:pPr>
            <w:r>
              <w:rPr>
                <w:color w:val="auto"/>
                <w:kern w:val="0"/>
                <w:lang w:bidi="ar"/>
              </w:rPr>
              <w:t>20</w:t>
            </w:r>
            <w:r>
              <w:rPr>
                <w:rFonts w:hint="eastAsia"/>
                <w:color w:val="auto"/>
                <w:kern w:val="0"/>
                <w:lang w:val="en-US" w:eastAsia="zh-CN" w:bidi="ar"/>
              </w:rPr>
              <w:t>09</w:t>
            </w:r>
            <w:r>
              <w:rPr>
                <w:color w:val="auto"/>
                <w:kern w:val="0"/>
                <w:lang w:bidi="ar"/>
              </w:rPr>
              <w:t>年</w:t>
            </w:r>
            <w:r>
              <w:rPr>
                <w:rFonts w:hint="eastAsia"/>
                <w:color w:val="auto"/>
                <w:kern w:val="0"/>
                <w:lang w:val="en-US" w:eastAsia="zh-CN" w:bidi="ar"/>
              </w:rPr>
              <w:t>12</w:t>
            </w:r>
            <w:r>
              <w:rPr>
                <w:color w:val="auto"/>
                <w:kern w:val="0"/>
                <w:lang w:bidi="ar"/>
              </w:rPr>
              <w:t>月</w:t>
            </w:r>
            <w:r>
              <w:rPr>
                <w:rFonts w:hint="eastAsia"/>
                <w:color w:val="auto"/>
                <w:kern w:val="0"/>
                <w:lang w:val="en-US" w:eastAsia="zh-CN" w:bidi="ar"/>
              </w:rPr>
              <w:t>10</w:t>
            </w:r>
            <w:r>
              <w:rPr>
                <w:color w:val="auto"/>
                <w:kern w:val="0"/>
                <w:lang w:bidi="ar"/>
              </w:rPr>
              <w:t>日取得</w:t>
            </w:r>
            <w:r>
              <w:rPr>
                <w:rFonts w:hint="eastAsia"/>
                <w:color w:val="auto"/>
                <w:kern w:val="0"/>
                <w:lang w:val="en-US" w:eastAsia="zh-CN" w:bidi="ar"/>
              </w:rPr>
              <w:t>原</w:t>
            </w:r>
            <w:r>
              <w:rPr>
                <w:color w:val="auto"/>
                <w:lang w:bidi="ar"/>
              </w:rPr>
              <w:t>新疆维吾尔自治区</w:t>
            </w:r>
            <w:r>
              <w:rPr>
                <w:rFonts w:hint="eastAsia"/>
                <w:color w:val="auto"/>
                <w:lang w:val="en-US" w:eastAsia="zh-CN" w:bidi="ar"/>
              </w:rPr>
              <w:t>环境保护</w:t>
            </w:r>
            <w:r>
              <w:rPr>
                <w:color w:val="auto"/>
                <w:lang w:bidi="ar"/>
              </w:rPr>
              <w:t>厅</w:t>
            </w:r>
            <w:r>
              <w:rPr>
                <w:color w:val="auto"/>
                <w:kern w:val="0"/>
                <w:lang w:bidi="ar"/>
              </w:rPr>
              <w:t>《关于</w:t>
            </w:r>
            <w:r>
              <w:rPr>
                <w:rFonts w:hint="eastAsia"/>
                <w:color w:val="auto"/>
                <w:kern w:val="0"/>
                <w:lang w:val="en-US" w:eastAsia="zh-CN" w:bidi="ar"/>
              </w:rPr>
              <w:t>金城洁净排水有限责任公司库尔勒市老城区氧化塘</w:t>
            </w:r>
            <w:r>
              <w:rPr>
                <w:color w:val="auto"/>
                <w:kern w:val="0"/>
                <w:lang w:bidi="ar"/>
              </w:rPr>
              <w:t>环境影响报告</w:t>
            </w:r>
            <w:r>
              <w:rPr>
                <w:rFonts w:hint="eastAsia"/>
                <w:color w:val="auto"/>
                <w:kern w:val="0"/>
                <w:lang w:val="en-US" w:eastAsia="zh-CN" w:bidi="ar"/>
              </w:rPr>
              <w:t>书</w:t>
            </w:r>
            <w:r>
              <w:rPr>
                <w:color w:val="auto"/>
                <w:kern w:val="0"/>
                <w:lang w:bidi="ar"/>
              </w:rPr>
              <w:t>的批复》（</w:t>
            </w:r>
            <w:r>
              <w:rPr>
                <w:color w:val="auto"/>
                <w:lang w:bidi="ar"/>
              </w:rPr>
              <w:t>新环</w:t>
            </w:r>
            <w:r>
              <w:rPr>
                <w:rFonts w:hint="eastAsia"/>
                <w:color w:val="auto"/>
                <w:lang w:val="en-US" w:eastAsia="zh-CN" w:bidi="ar"/>
              </w:rPr>
              <w:t>评</w:t>
            </w:r>
            <w:r>
              <w:rPr>
                <w:color w:val="auto"/>
                <w:lang w:bidi="ar"/>
              </w:rPr>
              <w:t>函〔20</w:t>
            </w:r>
            <w:r>
              <w:rPr>
                <w:rFonts w:hint="eastAsia"/>
                <w:color w:val="auto"/>
                <w:lang w:val="en-US" w:eastAsia="zh-CN" w:bidi="ar"/>
              </w:rPr>
              <w:t>09</w:t>
            </w:r>
            <w:r>
              <w:rPr>
                <w:color w:val="auto"/>
                <w:lang w:bidi="ar"/>
              </w:rPr>
              <w:t>〕</w:t>
            </w:r>
            <w:r>
              <w:rPr>
                <w:rFonts w:hint="eastAsia"/>
                <w:color w:val="auto"/>
                <w:lang w:val="en-US" w:eastAsia="zh-CN" w:bidi="ar"/>
              </w:rPr>
              <w:t>77</w:t>
            </w:r>
            <w:r>
              <w:rPr>
                <w:color w:val="auto"/>
                <w:lang w:bidi="ar"/>
              </w:rPr>
              <w:t>号</w:t>
            </w:r>
            <w:r>
              <w:rPr>
                <w:rFonts w:hint="eastAsia"/>
                <w:color w:val="auto"/>
                <w:kern w:val="0"/>
                <w:lang w:eastAsia="zh-CN" w:bidi="ar"/>
              </w:rPr>
              <w:t>）</w:t>
            </w:r>
            <w:r>
              <w:rPr>
                <w:color w:val="auto"/>
                <w:kern w:val="0"/>
                <w:lang w:bidi="ar"/>
              </w:rPr>
              <w:t>；</w:t>
            </w:r>
          </w:p>
          <w:p w14:paraId="03488F9E">
            <w:pPr>
              <w:pStyle w:val="105"/>
              <w:ind w:firstLine="480"/>
              <w:rPr>
                <w:color w:val="FF0000"/>
                <w:kern w:val="0"/>
                <w:lang w:bidi="ar"/>
              </w:rPr>
            </w:pPr>
            <w:r>
              <w:rPr>
                <w:color w:val="auto"/>
                <w:kern w:val="0"/>
                <w:lang w:bidi="ar"/>
              </w:rPr>
              <w:t>201</w:t>
            </w:r>
            <w:r>
              <w:rPr>
                <w:rFonts w:hint="eastAsia"/>
                <w:color w:val="auto"/>
                <w:kern w:val="0"/>
                <w:lang w:val="en-US" w:eastAsia="zh-CN" w:bidi="ar"/>
              </w:rPr>
              <w:t>6</w:t>
            </w:r>
            <w:r>
              <w:rPr>
                <w:color w:val="auto"/>
                <w:kern w:val="0"/>
                <w:lang w:bidi="ar"/>
              </w:rPr>
              <w:t>年</w:t>
            </w:r>
            <w:r>
              <w:rPr>
                <w:rFonts w:hint="eastAsia"/>
                <w:color w:val="auto"/>
                <w:kern w:val="0"/>
                <w:lang w:val="en-US" w:eastAsia="zh-CN" w:bidi="ar"/>
              </w:rPr>
              <w:t>1</w:t>
            </w:r>
            <w:r>
              <w:rPr>
                <w:color w:val="auto"/>
                <w:kern w:val="0"/>
                <w:lang w:bidi="ar"/>
              </w:rPr>
              <w:t>月</w:t>
            </w:r>
            <w:r>
              <w:rPr>
                <w:rFonts w:hint="eastAsia"/>
                <w:color w:val="auto"/>
                <w:kern w:val="0"/>
                <w:lang w:val="en-US" w:eastAsia="zh-CN" w:bidi="ar"/>
              </w:rPr>
              <w:t>3</w:t>
            </w:r>
            <w:r>
              <w:rPr>
                <w:color w:val="auto"/>
                <w:kern w:val="0"/>
                <w:lang w:bidi="ar"/>
              </w:rPr>
              <w:t>日取得《关于</w:t>
            </w:r>
            <w:r>
              <w:rPr>
                <w:rFonts w:hint="eastAsia"/>
                <w:color w:val="auto"/>
                <w:kern w:val="0"/>
                <w:lang w:eastAsia="zh-CN" w:bidi="ar"/>
              </w:rPr>
              <w:t>库尔勒金城洁净排水有限公司库尔勒老城区氧化塘改造工程项目竣工环境保护验收批复</w:t>
            </w:r>
            <w:r>
              <w:rPr>
                <w:color w:val="auto"/>
                <w:kern w:val="0"/>
                <w:lang w:bidi="ar"/>
              </w:rPr>
              <w:t>》（巴环</w:t>
            </w:r>
            <w:r>
              <w:rPr>
                <w:rFonts w:hint="eastAsia"/>
                <w:color w:val="auto"/>
                <w:kern w:val="0"/>
                <w:lang w:val="en-US" w:eastAsia="zh-CN" w:bidi="ar"/>
              </w:rPr>
              <w:t>评价</w:t>
            </w:r>
            <w:r>
              <w:rPr>
                <w:color w:val="auto"/>
                <w:kern w:val="0"/>
                <w:lang w:bidi="ar"/>
              </w:rPr>
              <w:t>验〔201</w:t>
            </w:r>
            <w:r>
              <w:rPr>
                <w:rFonts w:hint="eastAsia"/>
                <w:color w:val="auto"/>
                <w:kern w:val="0"/>
                <w:lang w:val="en-US" w:eastAsia="zh-CN" w:bidi="ar"/>
              </w:rPr>
              <w:t>6</w:t>
            </w:r>
            <w:r>
              <w:rPr>
                <w:color w:val="auto"/>
                <w:kern w:val="0"/>
                <w:lang w:bidi="ar"/>
              </w:rPr>
              <w:t>〕</w:t>
            </w:r>
            <w:r>
              <w:rPr>
                <w:rFonts w:hint="eastAsia"/>
                <w:color w:val="auto"/>
                <w:kern w:val="0"/>
                <w:lang w:val="en-US" w:eastAsia="zh-CN" w:bidi="ar"/>
              </w:rPr>
              <w:t>3</w:t>
            </w:r>
            <w:r>
              <w:rPr>
                <w:color w:val="auto"/>
                <w:kern w:val="0"/>
                <w:lang w:bidi="ar"/>
              </w:rPr>
              <w:t>号</w:t>
            </w:r>
            <w:r>
              <w:rPr>
                <w:rFonts w:hint="eastAsia"/>
                <w:color w:val="auto"/>
                <w:kern w:val="0"/>
                <w:lang w:eastAsia="zh-CN" w:bidi="ar"/>
              </w:rPr>
              <w:t>）</w:t>
            </w:r>
            <w:r>
              <w:rPr>
                <w:color w:val="auto"/>
                <w:kern w:val="0"/>
                <w:lang w:bidi="ar"/>
              </w:rPr>
              <w:t>；</w:t>
            </w:r>
          </w:p>
          <w:p w14:paraId="345B7198">
            <w:pPr>
              <w:pStyle w:val="105"/>
              <w:ind w:firstLine="480"/>
              <w:rPr>
                <w:rFonts w:hint="eastAsia"/>
                <w:color w:val="auto"/>
                <w:lang w:val="en-US" w:eastAsia="zh-CN" w:bidi="ar"/>
              </w:rPr>
            </w:pPr>
            <w:r>
              <w:rPr>
                <w:color w:val="auto"/>
                <w:lang w:bidi="ar"/>
              </w:rPr>
              <w:t>201</w:t>
            </w:r>
            <w:r>
              <w:rPr>
                <w:rFonts w:hint="eastAsia"/>
                <w:color w:val="auto"/>
                <w:lang w:val="en-US" w:eastAsia="zh-CN" w:bidi="ar"/>
              </w:rPr>
              <w:t>9</w:t>
            </w:r>
            <w:r>
              <w:rPr>
                <w:color w:val="auto"/>
                <w:lang w:bidi="ar"/>
              </w:rPr>
              <w:t>年</w:t>
            </w:r>
            <w:r>
              <w:rPr>
                <w:rFonts w:hint="eastAsia"/>
                <w:color w:val="auto"/>
                <w:lang w:val="en-US" w:eastAsia="zh-CN" w:bidi="ar"/>
              </w:rPr>
              <w:t>5</w:t>
            </w:r>
            <w:r>
              <w:rPr>
                <w:color w:val="auto"/>
                <w:lang w:bidi="ar"/>
              </w:rPr>
              <w:t>月1</w:t>
            </w:r>
            <w:r>
              <w:rPr>
                <w:rFonts w:hint="eastAsia"/>
                <w:color w:val="auto"/>
                <w:lang w:val="en-US" w:eastAsia="zh-CN" w:bidi="ar"/>
              </w:rPr>
              <w:t>4</w:t>
            </w:r>
            <w:r>
              <w:rPr>
                <w:color w:val="auto"/>
                <w:lang w:bidi="ar"/>
              </w:rPr>
              <w:t>日取得</w:t>
            </w:r>
            <w:r>
              <w:rPr>
                <w:rFonts w:hint="eastAsia"/>
                <w:color w:val="auto"/>
                <w:lang w:val="en-US" w:eastAsia="zh-CN" w:bidi="ar"/>
              </w:rPr>
              <w:t>原</w:t>
            </w:r>
            <w:r>
              <w:rPr>
                <w:color w:val="auto"/>
                <w:kern w:val="0"/>
                <w:lang w:bidi="ar"/>
              </w:rPr>
              <w:t>巴州生态环境局出具的</w:t>
            </w:r>
            <w:r>
              <w:rPr>
                <w:color w:val="auto"/>
                <w:lang w:bidi="ar"/>
              </w:rPr>
              <w:t>《关于</w:t>
            </w:r>
            <w:r>
              <w:rPr>
                <w:rFonts w:hint="eastAsia"/>
                <w:color w:val="auto"/>
                <w:lang w:val="en-US" w:eastAsia="zh-CN" w:bidi="ar"/>
              </w:rPr>
              <w:t>库尔勒市老城区污水处理厂提标改造工程</w:t>
            </w:r>
            <w:r>
              <w:rPr>
                <w:color w:val="auto"/>
                <w:lang w:bidi="ar"/>
              </w:rPr>
              <w:t>环境影响</w:t>
            </w:r>
            <w:r>
              <w:rPr>
                <w:rFonts w:hint="eastAsia"/>
                <w:color w:val="auto"/>
                <w:lang w:val="en-US" w:eastAsia="zh-CN" w:bidi="ar"/>
              </w:rPr>
              <w:t>评价报告表</w:t>
            </w:r>
            <w:r>
              <w:rPr>
                <w:color w:val="auto"/>
                <w:lang w:bidi="ar"/>
              </w:rPr>
              <w:t>的批复》（</w:t>
            </w:r>
            <w:r>
              <w:rPr>
                <w:color w:val="auto"/>
                <w:kern w:val="0"/>
                <w:lang w:bidi="ar"/>
              </w:rPr>
              <w:t>巴环</w:t>
            </w:r>
            <w:r>
              <w:rPr>
                <w:rFonts w:hint="eastAsia"/>
                <w:color w:val="auto"/>
                <w:kern w:val="0"/>
                <w:lang w:val="en-US" w:eastAsia="zh-CN" w:bidi="ar"/>
              </w:rPr>
              <w:t>评价</w:t>
            </w:r>
            <w:r>
              <w:rPr>
                <w:color w:val="auto"/>
                <w:kern w:val="0"/>
                <w:lang w:bidi="ar"/>
              </w:rPr>
              <w:t>函〔201</w:t>
            </w:r>
            <w:r>
              <w:rPr>
                <w:rFonts w:hint="eastAsia"/>
                <w:color w:val="auto"/>
                <w:kern w:val="0"/>
                <w:lang w:val="en-US" w:eastAsia="zh-CN" w:bidi="ar"/>
              </w:rPr>
              <w:t>9</w:t>
            </w:r>
            <w:r>
              <w:rPr>
                <w:color w:val="auto"/>
                <w:kern w:val="0"/>
                <w:lang w:bidi="ar"/>
              </w:rPr>
              <w:t>〕</w:t>
            </w:r>
            <w:r>
              <w:rPr>
                <w:rFonts w:hint="eastAsia"/>
                <w:color w:val="auto"/>
                <w:kern w:val="0"/>
                <w:lang w:val="en-US" w:eastAsia="zh-CN" w:bidi="ar"/>
              </w:rPr>
              <w:t>215</w:t>
            </w:r>
            <w:r>
              <w:rPr>
                <w:color w:val="auto"/>
                <w:kern w:val="0"/>
                <w:lang w:bidi="ar"/>
              </w:rPr>
              <w:t>号</w:t>
            </w:r>
            <w:r>
              <w:rPr>
                <w:rFonts w:hint="eastAsia"/>
                <w:color w:val="auto"/>
                <w:lang w:eastAsia="zh-CN" w:bidi="ar"/>
              </w:rPr>
              <w:t>）</w:t>
            </w:r>
            <w:r>
              <w:rPr>
                <w:color w:val="auto"/>
                <w:lang w:bidi="ar"/>
              </w:rPr>
              <w:t>；</w:t>
            </w:r>
          </w:p>
          <w:p w14:paraId="2016A9B1">
            <w:pPr>
              <w:pStyle w:val="105"/>
              <w:ind w:firstLine="480"/>
              <w:jc w:val="left"/>
              <w:rPr>
                <w:rFonts w:hint="default"/>
                <w:color w:val="auto"/>
                <w:kern w:val="0"/>
                <w:lang w:val="en-US" w:eastAsia="zh-CN" w:bidi="ar"/>
              </w:rPr>
            </w:pPr>
            <w:r>
              <w:rPr>
                <w:rFonts w:hint="eastAsia"/>
                <w:color w:val="auto"/>
                <w:kern w:val="0"/>
                <w:lang w:val="en-US" w:eastAsia="zh-CN" w:bidi="ar"/>
              </w:rPr>
              <w:t>2020年7月13日取得《库尔勒市老城区污水处理厂提标改造工程竣工验收备案登记卡》（第2020100号）。</w:t>
            </w:r>
          </w:p>
          <w:p w14:paraId="37C720AD">
            <w:pPr>
              <w:pStyle w:val="105"/>
              <w:ind w:firstLine="480"/>
              <w:jc w:val="left"/>
              <w:rPr>
                <w:rFonts w:hint="eastAsia" w:eastAsia="宋体"/>
                <w:color w:val="auto"/>
                <w:lang w:eastAsia="zh-CN"/>
              </w:rPr>
            </w:pPr>
            <w:r>
              <w:rPr>
                <w:color w:val="auto"/>
                <w:lang w:bidi="ar"/>
              </w:rPr>
              <w:t>20</w:t>
            </w:r>
            <w:r>
              <w:rPr>
                <w:rFonts w:hint="eastAsia"/>
                <w:color w:val="auto"/>
                <w:lang w:val="en-US" w:eastAsia="zh-CN" w:bidi="ar"/>
              </w:rPr>
              <w:t>22</w:t>
            </w:r>
            <w:r>
              <w:rPr>
                <w:color w:val="auto"/>
                <w:lang w:bidi="ar"/>
              </w:rPr>
              <w:t>年</w:t>
            </w:r>
            <w:r>
              <w:rPr>
                <w:rFonts w:hint="eastAsia"/>
                <w:color w:val="auto"/>
                <w:lang w:val="en-US" w:eastAsia="zh-CN" w:bidi="ar"/>
              </w:rPr>
              <w:t>3</w:t>
            </w:r>
            <w:r>
              <w:rPr>
                <w:color w:val="auto"/>
                <w:lang w:bidi="ar"/>
              </w:rPr>
              <w:t>月</w:t>
            </w:r>
            <w:r>
              <w:rPr>
                <w:rFonts w:hint="eastAsia"/>
                <w:color w:val="auto"/>
                <w:lang w:val="en-US" w:eastAsia="zh-CN" w:bidi="ar"/>
              </w:rPr>
              <w:t>19</w:t>
            </w:r>
            <w:r>
              <w:rPr>
                <w:color w:val="auto"/>
                <w:lang w:bidi="ar"/>
              </w:rPr>
              <w:t>日取得</w:t>
            </w:r>
            <w:r>
              <w:rPr>
                <w:color w:val="auto"/>
              </w:rPr>
              <w:t>排污许可证（证书编号：</w:t>
            </w:r>
            <w:r>
              <w:rPr>
                <w:rFonts w:hint="eastAsia"/>
                <w:color w:val="auto"/>
              </w:rPr>
              <w:t>91652801710810665N001Y</w:t>
            </w:r>
            <w:r>
              <w:rPr>
                <w:rFonts w:hint="eastAsia"/>
                <w:color w:val="auto"/>
                <w:lang w:eastAsia="zh-CN"/>
              </w:rPr>
              <w:t>）</w:t>
            </w:r>
          </w:p>
          <w:p w14:paraId="2337ACB3">
            <w:pPr>
              <w:pStyle w:val="105"/>
              <w:ind w:firstLine="480"/>
              <w:rPr>
                <w:color w:val="auto"/>
                <w:lang w:bidi="ar"/>
              </w:rPr>
            </w:pPr>
            <w:r>
              <w:rPr>
                <w:color w:val="auto"/>
                <w:lang w:bidi="ar"/>
              </w:rPr>
              <w:t>（</w:t>
            </w:r>
            <w:r>
              <w:rPr>
                <w:rFonts w:hint="eastAsia"/>
                <w:color w:val="auto"/>
                <w:lang w:bidi="ar"/>
              </w:rPr>
              <w:t>2</w:t>
            </w:r>
            <w:r>
              <w:rPr>
                <w:rFonts w:hint="eastAsia"/>
                <w:color w:val="auto"/>
                <w:lang w:eastAsia="zh-CN" w:bidi="ar"/>
              </w:rPr>
              <w:t>）库尔勒金城洁净排水有限责任公司库尔勒市老城区污水处理厂</w:t>
            </w:r>
            <w:r>
              <w:rPr>
                <w:color w:val="auto"/>
                <w:lang w:bidi="ar"/>
              </w:rPr>
              <w:t>进水水质要求及处理工艺：</w:t>
            </w:r>
          </w:p>
          <w:p w14:paraId="526B7F65">
            <w:pPr>
              <w:pStyle w:val="105"/>
              <w:ind w:firstLine="480"/>
              <w:rPr>
                <w:rFonts w:hint="eastAsia" w:eastAsia="宋体"/>
                <w:color w:val="auto"/>
                <w:highlight w:val="none"/>
                <w:lang w:eastAsia="zh-CN" w:bidi="ar"/>
              </w:rPr>
            </w:pPr>
            <w:r>
              <w:rPr>
                <w:color w:val="auto"/>
                <w:lang w:bidi="ar"/>
              </w:rPr>
              <w:t>进水水质：</w:t>
            </w:r>
            <w:r>
              <w:rPr>
                <w:color w:val="auto"/>
                <w:highlight w:val="none"/>
                <w:lang w:bidi="ar"/>
              </w:rPr>
              <w:t>根据《</w:t>
            </w:r>
            <w:r>
              <w:rPr>
                <w:rFonts w:hint="eastAsia"/>
                <w:color w:val="auto"/>
                <w:kern w:val="0"/>
                <w:highlight w:val="none"/>
                <w:lang w:val="en-US" w:eastAsia="zh-CN" w:bidi="ar"/>
              </w:rPr>
              <w:t>金城洁净排水有限责任公司库尔勒市老城区氧化塘</w:t>
            </w:r>
            <w:r>
              <w:rPr>
                <w:color w:val="auto"/>
                <w:kern w:val="0"/>
                <w:highlight w:val="none"/>
                <w:lang w:bidi="ar"/>
              </w:rPr>
              <w:t>环境影响报告</w:t>
            </w:r>
            <w:r>
              <w:rPr>
                <w:rFonts w:hint="eastAsia"/>
                <w:color w:val="auto"/>
                <w:kern w:val="0"/>
                <w:highlight w:val="none"/>
                <w:lang w:val="en-US" w:eastAsia="zh-CN" w:bidi="ar"/>
              </w:rPr>
              <w:t>书</w:t>
            </w:r>
            <w:r>
              <w:rPr>
                <w:color w:val="auto"/>
                <w:highlight w:val="none"/>
                <w:lang w:bidi="ar"/>
              </w:rPr>
              <w:t>》</w:t>
            </w:r>
            <w:r>
              <w:rPr>
                <w:rFonts w:hint="eastAsia"/>
                <w:color w:val="auto"/>
                <w:highlight w:val="none"/>
                <w:lang w:bidi="ar"/>
              </w:rPr>
              <w:t>中</w:t>
            </w:r>
            <w:r>
              <w:rPr>
                <w:color w:val="auto"/>
                <w:highlight w:val="none"/>
                <w:lang w:bidi="ar"/>
              </w:rPr>
              <w:t>进水水质要求</w:t>
            </w:r>
            <w:r>
              <w:rPr>
                <w:rFonts w:hint="eastAsia"/>
                <w:color w:val="auto"/>
                <w:highlight w:val="none"/>
                <w:lang w:eastAsia="zh-CN" w:bidi="ar"/>
              </w:rPr>
              <w:t>“</w:t>
            </w:r>
            <w:r>
              <w:rPr>
                <w:color w:val="auto"/>
                <w:highlight w:val="none"/>
                <w:lang w:bidi="ar"/>
              </w:rPr>
              <w:t>参照</w:t>
            </w:r>
            <w:r>
              <w:rPr>
                <w:rFonts w:hint="eastAsia"/>
                <w:color w:val="auto"/>
                <w:highlight w:val="none"/>
                <w:lang w:bidi="ar"/>
              </w:rPr>
              <w:t>《污水排入城镇下水道水质标准》（CJ343-2010</w:t>
            </w:r>
            <w:r>
              <w:rPr>
                <w:rFonts w:hint="eastAsia"/>
                <w:color w:val="auto"/>
                <w:highlight w:val="none"/>
                <w:lang w:eastAsia="zh-CN" w:bidi="ar"/>
              </w:rPr>
              <w:t>）</w:t>
            </w:r>
            <w:r>
              <w:rPr>
                <w:color w:val="auto"/>
                <w:highlight w:val="none"/>
                <w:lang w:bidi="ar"/>
              </w:rPr>
              <w:t>要求</w:t>
            </w:r>
            <w:r>
              <w:rPr>
                <w:rFonts w:hint="eastAsia"/>
                <w:color w:val="auto"/>
                <w:highlight w:val="none"/>
                <w:lang w:bidi="ar"/>
              </w:rPr>
              <w:t>最终</w:t>
            </w:r>
            <w:r>
              <w:rPr>
                <w:color w:val="auto"/>
                <w:highlight w:val="none"/>
                <w:lang w:bidi="ar"/>
              </w:rPr>
              <w:t>确定污水处理厂</w:t>
            </w:r>
            <w:r>
              <w:rPr>
                <w:rFonts w:hint="eastAsia"/>
                <w:color w:val="auto"/>
                <w:highlight w:val="none"/>
                <w:lang w:bidi="ar"/>
              </w:rPr>
              <w:t>进水指标浓度为：</w:t>
            </w:r>
            <w:r>
              <w:rPr>
                <w:color w:val="auto"/>
                <w:highlight w:val="none"/>
                <w:lang w:bidi="ar"/>
              </w:rPr>
              <w:t>化学需氧量500mg/L，氨氮</w:t>
            </w:r>
            <w:r>
              <w:rPr>
                <w:rFonts w:hint="eastAsia"/>
                <w:color w:val="auto"/>
                <w:highlight w:val="none"/>
                <w:lang w:bidi="ar"/>
              </w:rPr>
              <w:t>45</w:t>
            </w:r>
            <w:r>
              <w:rPr>
                <w:color w:val="auto"/>
                <w:highlight w:val="none"/>
                <w:lang w:bidi="ar"/>
              </w:rPr>
              <w:t>mg/L</w:t>
            </w:r>
            <w:r>
              <w:rPr>
                <w:rFonts w:hint="eastAsia"/>
                <w:color w:val="auto"/>
                <w:highlight w:val="none"/>
                <w:lang w:bidi="ar"/>
              </w:rPr>
              <w:t>，五日生化需氧量250</w:t>
            </w:r>
            <w:r>
              <w:rPr>
                <w:color w:val="auto"/>
                <w:highlight w:val="none"/>
                <w:lang w:bidi="ar"/>
              </w:rPr>
              <w:t>mg/L</w:t>
            </w:r>
            <w:r>
              <w:rPr>
                <w:rFonts w:hint="eastAsia"/>
                <w:color w:val="auto"/>
                <w:highlight w:val="none"/>
                <w:lang w:bidi="ar"/>
              </w:rPr>
              <w:t>，悬浮物250</w:t>
            </w:r>
            <w:r>
              <w:rPr>
                <w:color w:val="auto"/>
                <w:highlight w:val="none"/>
                <w:lang w:bidi="ar"/>
              </w:rPr>
              <w:t>mg/L。</w:t>
            </w:r>
            <w:r>
              <w:rPr>
                <w:rFonts w:hint="eastAsia"/>
                <w:color w:val="auto"/>
                <w:highlight w:val="none"/>
                <w:lang w:eastAsia="zh-CN" w:bidi="ar"/>
              </w:rPr>
              <w:t>”</w:t>
            </w:r>
          </w:p>
          <w:p w14:paraId="35ECC290">
            <w:pPr>
              <w:pStyle w:val="105"/>
              <w:ind w:firstLine="480"/>
              <w:rPr>
                <w:color w:val="auto"/>
                <w:highlight w:val="none"/>
                <w:lang w:bidi="ar"/>
              </w:rPr>
            </w:pPr>
            <w:r>
              <w:rPr>
                <w:color w:val="auto"/>
                <w:highlight w:val="none"/>
                <w:lang w:bidi="ar"/>
              </w:rPr>
              <w:t>处理规模：</w:t>
            </w:r>
            <w:r>
              <w:rPr>
                <w:color w:val="auto"/>
                <w:highlight w:val="none"/>
              </w:rPr>
              <w:t>处理规模为</w:t>
            </w:r>
            <w:r>
              <w:rPr>
                <w:rFonts w:hint="eastAsia"/>
                <w:color w:val="auto"/>
                <w:highlight w:val="none"/>
                <w:lang w:val="en-US" w:eastAsia="zh-CN"/>
              </w:rPr>
              <w:t>4.0</w:t>
            </w:r>
            <w:r>
              <w:rPr>
                <w:color w:val="auto"/>
                <w:highlight w:val="none"/>
              </w:rPr>
              <w:t>万立方米/天</w:t>
            </w:r>
            <w:r>
              <w:rPr>
                <w:rFonts w:hint="eastAsia"/>
                <w:color w:val="auto"/>
                <w:highlight w:val="none"/>
                <w:lang w:eastAsia="zh-CN"/>
              </w:rPr>
              <w:t>，</w:t>
            </w:r>
            <w:r>
              <w:rPr>
                <w:rFonts w:hint="eastAsia"/>
                <w:color w:val="auto"/>
                <w:highlight w:val="none"/>
                <w:lang w:val="en-US" w:eastAsia="zh-CN"/>
              </w:rPr>
              <w:t>现阶段约为23588.112</w:t>
            </w:r>
            <w:r>
              <w:rPr>
                <w:color w:val="auto"/>
                <w:highlight w:val="none"/>
              </w:rPr>
              <w:t>立方米/天。</w:t>
            </w:r>
          </w:p>
          <w:p w14:paraId="0F610EFB">
            <w:pPr>
              <w:pStyle w:val="105"/>
              <w:ind w:firstLine="480"/>
              <w:rPr>
                <w:color w:val="auto"/>
              </w:rPr>
            </w:pPr>
            <w:r>
              <w:rPr>
                <w:color w:val="auto"/>
                <w:lang w:bidi="ar"/>
              </w:rPr>
              <w:t>处理工艺：</w:t>
            </w:r>
            <w:r>
              <w:rPr>
                <w:color w:val="auto"/>
              </w:rPr>
              <w:t>污水处理工艺采用</w:t>
            </w:r>
            <w:r>
              <w:rPr>
                <w:rFonts w:hint="eastAsia"/>
                <w:color w:val="auto"/>
                <w:lang w:val="en-US" w:eastAsia="zh-CN"/>
              </w:rPr>
              <w:t>生物接触氧化处理工艺（</w:t>
            </w:r>
            <w:r>
              <w:rPr>
                <w:color w:val="auto"/>
              </w:rPr>
              <w:t>A</w:t>
            </w:r>
            <w:r>
              <w:rPr>
                <w:color w:val="auto"/>
                <w:vertAlign w:val="superscript"/>
              </w:rPr>
              <w:t>2</w:t>
            </w:r>
            <w:r>
              <w:rPr>
                <w:color w:val="auto"/>
              </w:rPr>
              <w:t>O</w:t>
            </w:r>
            <w:r>
              <w:rPr>
                <w:rFonts w:hint="eastAsia"/>
                <w:color w:val="auto"/>
                <w:lang w:val="en-US" w:eastAsia="zh-CN"/>
              </w:rPr>
              <w:t>法）</w:t>
            </w:r>
            <w:r>
              <w:rPr>
                <w:color w:val="auto"/>
              </w:rPr>
              <w:t>，</w:t>
            </w:r>
            <w:r>
              <w:rPr>
                <w:rFonts w:hint="eastAsia"/>
                <w:color w:val="auto"/>
                <w:lang w:val="en-US" w:eastAsia="zh-CN"/>
              </w:rPr>
              <w:t>既前期建设的预处理、三级氧化塘处理后进入建设的缺氧池、厌氧池、好氧池、二沉池处理；</w:t>
            </w:r>
            <w:r>
              <w:rPr>
                <w:color w:val="auto"/>
              </w:rPr>
              <w:t>污泥处理工艺采用浓缩后离心脱水，出水水质稳定达到《城镇污水处理厂污染物排放标准》（GB18918-2002</w:t>
            </w:r>
            <w:r>
              <w:rPr>
                <w:rFonts w:hint="eastAsia"/>
                <w:color w:val="auto"/>
                <w:lang w:eastAsia="zh-CN"/>
              </w:rPr>
              <w:t>）</w:t>
            </w:r>
            <w:r>
              <w:rPr>
                <w:color w:val="auto"/>
              </w:rPr>
              <w:t>一级A排放标准</w:t>
            </w:r>
            <w:r>
              <w:rPr>
                <w:rFonts w:hint="eastAsia"/>
                <w:color w:val="auto"/>
                <w:lang w:eastAsia="zh-CN"/>
              </w:rPr>
              <w:t>，</w:t>
            </w:r>
            <w:r>
              <w:rPr>
                <w:rFonts w:hint="eastAsia"/>
                <w:color w:val="auto"/>
                <w:lang w:val="en-US" w:eastAsia="zh-CN"/>
              </w:rPr>
              <w:t>同时满足《城市污水再生利用工业用水水质》（GB19923-2005）标准限值后回用于库尔勒石油石化产业园工业园企业，剩余部分经管网排至污水处理厂西侧的原有污水库（库容230万m</w:t>
            </w:r>
            <w:r>
              <w:rPr>
                <w:rFonts w:hint="eastAsia"/>
                <w:color w:val="auto"/>
                <w:vertAlign w:val="superscript"/>
                <w:lang w:val="en-US" w:eastAsia="zh-CN"/>
              </w:rPr>
              <w:t>3</w:t>
            </w:r>
            <w:r>
              <w:rPr>
                <w:rFonts w:hint="eastAsia"/>
                <w:color w:val="auto"/>
                <w:lang w:val="en-US" w:eastAsia="zh-CN"/>
              </w:rPr>
              <w:t>），冬储夏灌，作为下游生态林建设或上库园区绿化用水。</w:t>
            </w:r>
          </w:p>
          <w:p w14:paraId="14BD0D19">
            <w:pPr>
              <w:pStyle w:val="105"/>
              <w:ind w:firstLine="480"/>
              <w:rPr>
                <w:color w:val="auto"/>
                <w:lang w:bidi="ar"/>
              </w:rPr>
            </w:pPr>
            <w:r>
              <w:rPr>
                <w:color w:val="auto"/>
                <w:lang w:bidi="ar"/>
              </w:rPr>
              <w:t>（3</w:t>
            </w:r>
            <w:r>
              <w:rPr>
                <w:rFonts w:hint="eastAsia"/>
                <w:color w:val="auto"/>
                <w:lang w:eastAsia="zh-CN" w:bidi="ar"/>
              </w:rPr>
              <w:t>）</w:t>
            </w:r>
            <w:r>
              <w:rPr>
                <w:color w:val="auto"/>
                <w:lang w:bidi="ar"/>
              </w:rPr>
              <w:t>依托符合性分析：</w:t>
            </w:r>
          </w:p>
          <w:p w14:paraId="45F29D0A">
            <w:pPr>
              <w:pStyle w:val="17"/>
              <w:adjustRightInd w:val="0"/>
              <w:snapToGrid w:val="0"/>
              <w:spacing w:line="360" w:lineRule="auto"/>
              <w:ind w:left="0" w:leftChars="0" w:firstLine="480" w:firstLineChars="200"/>
              <w:rPr>
                <w:color w:val="auto"/>
                <w:szCs w:val="24"/>
                <w:highlight w:val="none"/>
              </w:rPr>
            </w:pPr>
            <w:r>
              <w:rPr>
                <w:color w:val="auto"/>
                <w:szCs w:val="24"/>
              </w:rPr>
              <w:t>本项目</w:t>
            </w:r>
            <w:r>
              <w:rPr>
                <w:rFonts w:hint="eastAsia"/>
                <w:color w:val="auto"/>
                <w:szCs w:val="24"/>
                <w:lang w:val="en-US" w:eastAsia="zh-CN"/>
              </w:rPr>
              <w:t>生产废水经配套污水处理站处理后</w:t>
            </w:r>
            <w:r>
              <w:rPr>
                <w:color w:val="auto"/>
                <w:szCs w:val="24"/>
              </w:rPr>
              <w:t>排入污水管网最终进入</w:t>
            </w:r>
            <w:r>
              <w:rPr>
                <w:rFonts w:hint="eastAsia"/>
                <w:snapToGrid w:val="0"/>
                <w:color w:val="auto"/>
                <w:lang w:eastAsia="zh-CN"/>
              </w:rPr>
              <w:t>库尔勒金城洁净排水有限责任公司库尔勒市老城区污水处理厂</w:t>
            </w:r>
            <w:r>
              <w:rPr>
                <w:rFonts w:hint="eastAsia"/>
                <w:color w:val="auto"/>
                <w:szCs w:val="24"/>
                <w:lang w:val="en-US" w:eastAsia="zh-CN"/>
              </w:rPr>
              <w:t>处理</w:t>
            </w:r>
            <w:r>
              <w:rPr>
                <w:color w:val="auto"/>
                <w:szCs w:val="24"/>
              </w:rPr>
              <w:t>。本项目</w:t>
            </w:r>
            <w:r>
              <w:rPr>
                <w:rFonts w:hint="eastAsia"/>
                <w:color w:val="auto"/>
                <w:szCs w:val="24"/>
                <w:lang w:val="en-US" w:eastAsia="zh-CN"/>
              </w:rPr>
              <w:t>运营期生产、生活废水64.96</w:t>
            </w:r>
            <w:r>
              <w:rPr>
                <w:color w:val="auto"/>
                <w:szCs w:val="24"/>
                <w:highlight w:val="none"/>
              </w:rPr>
              <w:t>m</w:t>
            </w:r>
            <w:r>
              <w:rPr>
                <w:color w:val="auto"/>
                <w:szCs w:val="24"/>
                <w:highlight w:val="none"/>
                <w:vertAlign w:val="superscript"/>
              </w:rPr>
              <w:t>3</w:t>
            </w:r>
            <w:r>
              <w:rPr>
                <w:color w:val="auto"/>
                <w:szCs w:val="24"/>
                <w:highlight w:val="none"/>
              </w:rPr>
              <w:t>/</w:t>
            </w:r>
            <w:r>
              <w:rPr>
                <w:rFonts w:hint="eastAsia"/>
                <w:color w:val="auto"/>
                <w:szCs w:val="24"/>
                <w:highlight w:val="none"/>
                <w:lang w:val="en-US" w:eastAsia="zh-CN"/>
              </w:rPr>
              <w:t>d</w:t>
            </w:r>
            <w:r>
              <w:rPr>
                <w:color w:val="auto"/>
                <w:szCs w:val="24"/>
                <w:highlight w:val="none"/>
              </w:rPr>
              <w:t>。</w:t>
            </w:r>
          </w:p>
          <w:p w14:paraId="3BA8C764">
            <w:pPr>
              <w:pStyle w:val="105"/>
              <w:ind w:firstLine="480"/>
              <w:rPr>
                <w:color w:val="auto"/>
                <w:highlight w:val="none"/>
                <w:lang w:bidi="ar"/>
              </w:rPr>
            </w:pPr>
            <w:r>
              <w:rPr>
                <w:color w:val="auto"/>
                <w:highlight w:val="none"/>
                <w:lang w:bidi="ar"/>
              </w:rPr>
              <w:t>本</w:t>
            </w:r>
            <w:r>
              <w:rPr>
                <w:rFonts w:hint="eastAsia"/>
                <w:color w:val="auto"/>
                <w:highlight w:val="none"/>
                <w:lang w:val="en-US" w:eastAsia="zh-CN" w:bidi="ar"/>
              </w:rPr>
              <w:t>污水处理站</w:t>
            </w:r>
            <w:r>
              <w:rPr>
                <w:color w:val="auto"/>
                <w:highlight w:val="none"/>
                <w:lang w:bidi="ar"/>
              </w:rPr>
              <w:t>废水日最大</w:t>
            </w:r>
            <w:r>
              <w:rPr>
                <w:rFonts w:hint="eastAsia"/>
                <w:color w:val="auto"/>
                <w:highlight w:val="none"/>
                <w:lang w:val="en-US" w:eastAsia="zh-CN" w:bidi="ar"/>
              </w:rPr>
              <w:t>处理</w:t>
            </w:r>
            <w:r>
              <w:rPr>
                <w:color w:val="auto"/>
                <w:highlight w:val="none"/>
                <w:lang w:bidi="ar"/>
              </w:rPr>
              <w:t>量为</w:t>
            </w:r>
            <w:r>
              <w:rPr>
                <w:rFonts w:hint="eastAsia"/>
                <w:color w:val="auto"/>
                <w:highlight w:val="none"/>
                <w:lang w:val="en-US" w:eastAsia="zh-CN" w:bidi="ar"/>
              </w:rPr>
              <w:t>150</w:t>
            </w:r>
            <w:r>
              <w:rPr>
                <w:color w:val="auto"/>
                <w:highlight w:val="none"/>
                <w:lang w:bidi="ar"/>
              </w:rPr>
              <w:t>m</w:t>
            </w:r>
            <w:r>
              <w:rPr>
                <w:color w:val="auto"/>
                <w:highlight w:val="none"/>
                <w:vertAlign w:val="superscript"/>
                <w:lang w:bidi="ar"/>
              </w:rPr>
              <w:t>3</w:t>
            </w:r>
            <w:r>
              <w:rPr>
                <w:color w:val="auto"/>
                <w:highlight w:val="none"/>
                <w:lang w:bidi="ar"/>
              </w:rPr>
              <w:t>/d</w:t>
            </w:r>
            <w:r>
              <w:rPr>
                <w:rFonts w:hint="eastAsia"/>
                <w:color w:val="auto"/>
                <w:highlight w:val="none"/>
                <w:lang w:eastAsia="zh-CN" w:bidi="ar"/>
              </w:rPr>
              <w:t>（</w:t>
            </w:r>
            <w:r>
              <w:rPr>
                <w:rFonts w:hint="eastAsia"/>
                <w:color w:val="auto"/>
                <w:highlight w:val="none"/>
                <w:lang w:val="en-US" w:eastAsia="zh-CN" w:bidi="ar"/>
              </w:rPr>
              <w:t>其中包括本项目营运期生产、生活废水64.96</w:t>
            </w:r>
            <w:r>
              <w:rPr>
                <w:color w:val="auto"/>
                <w:highlight w:val="none"/>
                <w:lang w:bidi="ar"/>
              </w:rPr>
              <w:t>m</w:t>
            </w:r>
            <w:r>
              <w:rPr>
                <w:color w:val="auto"/>
                <w:highlight w:val="none"/>
                <w:vertAlign w:val="superscript"/>
                <w:lang w:bidi="ar"/>
              </w:rPr>
              <w:t>3</w:t>
            </w:r>
            <w:r>
              <w:rPr>
                <w:color w:val="auto"/>
                <w:highlight w:val="none"/>
                <w:lang w:bidi="ar"/>
              </w:rPr>
              <w:t>/d</w:t>
            </w:r>
            <w:r>
              <w:rPr>
                <w:rFonts w:hint="eastAsia"/>
                <w:color w:val="auto"/>
                <w:highlight w:val="none"/>
                <w:lang w:val="en-US" w:eastAsia="zh-CN" w:bidi="ar"/>
              </w:rPr>
              <w:t>和食品加工园内生产、生活废水85.04</w:t>
            </w:r>
            <w:r>
              <w:rPr>
                <w:color w:val="auto"/>
                <w:highlight w:val="none"/>
                <w:lang w:bidi="ar"/>
              </w:rPr>
              <w:t>m</w:t>
            </w:r>
            <w:r>
              <w:rPr>
                <w:color w:val="auto"/>
                <w:highlight w:val="none"/>
                <w:vertAlign w:val="superscript"/>
                <w:lang w:bidi="ar"/>
              </w:rPr>
              <w:t>3</w:t>
            </w:r>
            <w:r>
              <w:rPr>
                <w:color w:val="auto"/>
                <w:highlight w:val="none"/>
                <w:lang w:bidi="ar"/>
              </w:rPr>
              <w:t>/d</w:t>
            </w:r>
            <w:r>
              <w:rPr>
                <w:rFonts w:hint="eastAsia"/>
                <w:color w:val="auto"/>
                <w:highlight w:val="none"/>
                <w:lang w:eastAsia="zh-CN" w:bidi="ar"/>
              </w:rPr>
              <w:t>）。</w:t>
            </w:r>
            <w:r>
              <w:rPr>
                <w:color w:val="auto"/>
                <w:highlight w:val="none"/>
                <w:lang w:bidi="ar"/>
              </w:rPr>
              <w:t>项目最大日排水量占污水处理厂日处理能力</w:t>
            </w:r>
            <w:r>
              <w:rPr>
                <w:rFonts w:hint="eastAsia"/>
                <w:color w:val="auto"/>
                <w:highlight w:val="none"/>
                <w:lang w:eastAsia="zh-CN" w:bidi="ar"/>
              </w:rPr>
              <w:t>（</w:t>
            </w:r>
            <w:r>
              <w:rPr>
                <w:rFonts w:hint="eastAsia"/>
                <w:color w:val="auto"/>
                <w:highlight w:val="none"/>
                <w:lang w:val="en-US" w:eastAsia="zh-CN" w:bidi="ar"/>
              </w:rPr>
              <w:t>现阶段为23588.112m</w:t>
            </w:r>
            <w:r>
              <w:rPr>
                <w:rFonts w:hint="eastAsia"/>
                <w:color w:val="auto"/>
                <w:highlight w:val="none"/>
                <w:vertAlign w:val="superscript"/>
                <w:lang w:val="en-US" w:eastAsia="zh-CN" w:bidi="ar"/>
              </w:rPr>
              <w:t>3</w:t>
            </w:r>
            <w:r>
              <w:rPr>
                <w:rFonts w:hint="eastAsia"/>
                <w:color w:val="auto"/>
                <w:highlight w:val="none"/>
                <w:lang w:val="en-US" w:eastAsia="zh-CN" w:bidi="ar"/>
              </w:rPr>
              <w:t>/d</w:t>
            </w:r>
            <w:r>
              <w:rPr>
                <w:rFonts w:hint="eastAsia"/>
                <w:color w:val="auto"/>
                <w:highlight w:val="none"/>
                <w:lang w:eastAsia="zh-CN" w:bidi="ar"/>
              </w:rPr>
              <w:t>）</w:t>
            </w:r>
            <w:r>
              <w:rPr>
                <w:color w:val="auto"/>
                <w:highlight w:val="none"/>
                <w:lang w:bidi="ar"/>
              </w:rPr>
              <w:t>的</w:t>
            </w:r>
            <w:r>
              <w:rPr>
                <w:rFonts w:hint="eastAsia"/>
                <w:color w:val="auto"/>
                <w:highlight w:val="none"/>
                <w:lang w:val="en-US" w:eastAsia="zh-CN" w:bidi="ar"/>
              </w:rPr>
              <w:t>份额很小</w:t>
            </w:r>
            <w:r>
              <w:rPr>
                <w:color w:val="auto"/>
                <w:highlight w:val="none"/>
                <w:lang w:bidi="ar"/>
              </w:rPr>
              <w:t>，余量尚可消纳本项目的废水水量。</w:t>
            </w:r>
          </w:p>
          <w:p w14:paraId="462AFC90">
            <w:pPr>
              <w:pStyle w:val="105"/>
              <w:ind w:firstLine="480"/>
              <w:rPr>
                <w:color w:val="auto"/>
                <w:highlight w:val="none"/>
                <w:lang w:bidi="ar"/>
              </w:rPr>
            </w:pPr>
            <w:r>
              <w:rPr>
                <w:rFonts w:hint="eastAsia"/>
                <w:color w:val="auto"/>
                <w:highlight w:val="none"/>
                <w:lang w:bidi="ar"/>
              </w:rPr>
              <w:t>本项目预测废水经项目区内污水处理站处理后，出水浓度指标为：化学需氧量</w:t>
            </w:r>
            <w:r>
              <w:rPr>
                <w:rFonts w:hint="eastAsia"/>
                <w:color w:val="auto"/>
                <w:highlight w:val="none"/>
                <w:lang w:val="en-US" w:eastAsia="zh-CN" w:bidi="ar"/>
              </w:rPr>
              <w:t>120</w:t>
            </w:r>
            <w:r>
              <w:rPr>
                <w:color w:val="auto"/>
                <w:highlight w:val="none"/>
                <w:lang w:bidi="ar"/>
              </w:rPr>
              <w:t>mg/L</w:t>
            </w:r>
            <w:r>
              <w:rPr>
                <w:rFonts w:hint="eastAsia"/>
                <w:color w:val="auto"/>
                <w:highlight w:val="none"/>
                <w:lang w:bidi="ar"/>
              </w:rPr>
              <w:t>，</w:t>
            </w:r>
            <w:r>
              <w:rPr>
                <w:color w:val="auto"/>
                <w:highlight w:val="none"/>
                <w:lang w:bidi="ar"/>
              </w:rPr>
              <w:t>氨氮</w:t>
            </w:r>
            <w:r>
              <w:rPr>
                <w:rFonts w:hint="eastAsia"/>
                <w:color w:val="auto"/>
                <w:highlight w:val="none"/>
                <w:lang w:val="en-US" w:eastAsia="zh-CN" w:bidi="ar"/>
              </w:rPr>
              <w:t>25</w:t>
            </w:r>
            <w:r>
              <w:rPr>
                <w:color w:val="auto"/>
                <w:highlight w:val="none"/>
                <w:lang w:bidi="ar"/>
              </w:rPr>
              <w:t>mg/L</w:t>
            </w:r>
            <w:r>
              <w:rPr>
                <w:rFonts w:hint="eastAsia"/>
                <w:color w:val="auto"/>
                <w:highlight w:val="none"/>
                <w:lang w:bidi="ar"/>
              </w:rPr>
              <w:t>，五日生化需氧量</w:t>
            </w:r>
            <w:r>
              <w:rPr>
                <w:rFonts w:hint="eastAsia"/>
                <w:color w:val="auto"/>
                <w:highlight w:val="none"/>
                <w:lang w:val="en-US" w:eastAsia="zh-CN" w:bidi="ar"/>
              </w:rPr>
              <w:t>60</w:t>
            </w:r>
            <w:r>
              <w:rPr>
                <w:color w:val="auto"/>
                <w:highlight w:val="none"/>
                <w:lang w:bidi="ar"/>
              </w:rPr>
              <w:t>mg/L</w:t>
            </w:r>
            <w:r>
              <w:rPr>
                <w:rFonts w:hint="eastAsia"/>
                <w:color w:val="auto"/>
                <w:highlight w:val="none"/>
                <w:lang w:bidi="ar"/>
              </w:rPr>
              <w:t>，悬浮物</w:t>
            </w:r>
            <w:r>
              <w:rPr>
                <w:rFonts w:hint="eastAsia"/>
                <w:color w:val="auto"/>
                <w:highlight w:val="none"/>
                <w:lang w:val="en-US" w:eastAsia="zh-CN" w:bidi="ar"/>
              </w:rPr>
              <w:t>120</w:t>
            </w:r>
            <w:r>
              <w:rPr>
                <w:color w:val="auto"/>
                <w:highlight w:val="none"/>
                <w:lang w:bidi="ar"/>
              </w:rPr>
              <w:t>mg/L。</w:t>
            </w:r>
            <w:r>
              <w:rPr>
                <w:rFonts w:hint="eastAsia"/>
                <w:color w:val="auto"/>
                <w:highlight w:val="none"/>
                <w:lang w:bidi="ar"/>
              </w:rPr>
              <w:t>本项目</w:t>
            </w:r>
            <w:r>
              <w:rPr>
                <w:color w:val="auto"/>
                <w:highlight w:val="none"/>
                <w:lang w:bidi="ar"/>
              </w:rPr>
              <w:t>进水水质</w:t>
            </w:r>
            <w:r>
              <w:rPr>
                <w:rFonts w:hint="eastAsia"/>
                <w:color w:val="auto"/>
                <w:highlight w:val="none"/>
                <w:lang w:bidi="ar"/>
              </w:rPr>
              <w:t>符合</w:t>
            </w:r>
            <w:r>
              <w:rPr>
                <w:rFonts w:hint="eastAsia"/>
                <w:color w:val="auto"/>
                <w:szCs w:val="21"/>
                <w:highlight w:val="none"/>
                <w:lang w:eastAsia="zh-CN"/>
              </w:rPr>
              <w:t>库尔勒金城洁净排水有限责任公司库尔勒市老城区污水处理厂</w:t>
            </w:r>
            <w:r>
              <w:rPr>
                <w:rFonts w:hint="eastAsia"/>
                <w:color w:val="auto"/>
                <w:highlight w:val="none"/>
                <w:lang w:bidi="ar"/>
              </w:rPr>
              <w:t>进水指标要求。</w:t>
            </w:r>
          </w:p>
          <w:p w14:paraId="1A8BD31C">
            <w:pPr>
              <w:pStyle w:val="105"/>
              <w:ind w:firstLine="480"/>
              <w:rPr>
                <w:rFonts w:hint="default" w:eastAsia="宋体"/>
                <w:color w:val="auto"/>
                <w:lang w:val="en-US" w:eastAsia="zh-CN" w:bidi="ar"/>
              </w:rPr>
            </w:pPr>
            <w:r>
              <w:rPr>
                <w:color w:val="auto"/>
                <w:highlight w:val="none"/>
                <w:lang w:bidi="ar"/>
              </w:rPr>
              <w:t>综上所述本项目生产运营期间废水进入</w:t>
            </w:r>
            <w:r>
              <w:rPr>
                <w:rFonts w:hint="eastAsia"/>
                <w:color w:val="auto"/>
                <w:szCs w:val="21"/>
                <w:highlight w:val="none"/>
                <w:lang w:eastAsia="zh-CN"/>
              </w:rPr>
              <w:t>库尔勒金城洁净排水有限责任公司库尔勒市老城区污水处理厂</w:t>
            </w:r>
            <w:r>
              <w:rPr>
                <w:color w:val="auto"/>
                <w:highlight w:val="none"/>
                <w:lang w:bidi="ar"/>
              </w:rPr>
              <w:t>可行。</w:t>
            </w:r>
          </w:p>
          <w:p w14:paraId="5A05AE38">
            <w:pPr>
              <w:adjustRightInd w:val="0"/>
              <w:snapToGrid w:val="0"/>
              <w:spacing w:line="360" w:lineRule="auto"/>
              <w:ind w:firstLine="482" w:firstLineChars="200"/>
              <w:rPr>
                <w:b/>
                <w:bCs/>
                <w:color w:val="auto"/>
                <w:sz w:val="24"/>
              </w:rPr>
            </w:pPr>
            <w:r>
              <w:rPr>
                <w:b/>
                <w:bCs/>
                <w:color w:val="auto"/>
                <w:sz w:val="24"/>
              </w:rPr>
              <w:t>2.4废水自行监测</w:t>
            </w:r>
          </w:p>
          <w:p w14:paraId="64CB50E3">
            <w:pPr>
              <w:adjustRightInd w:val="0"/>
              <w:snapToGrid w:val="0"/>
              <w:spacing w:line="360" w:lineRule="auto"/>
              <w:ind w:firstLine="492" w:firstLineChars="200"/>
              <w:rPr>
                <w:rFonts w:hint="eastAsia" w:ascii="宋体" w:hAnsi="宋体" w:eastAsia="宋体" w:cs="宋体"/>
                <w:spacing w:val="3"/>
                <w:sz w:val="24"/>
                <w:szCs w:val="24"/>
              </w:rPr>
            </w:pPr>
            <w:r>
              <w:rPr>
                <w:rFonts w:hint="eastAsia" w:ascii="宋体" w:hAnsi="宋体" w:eastAsia="宋体" w:cs="宋体"/>
                <w:spacing w:val="3"/>
                <w:sz w:val="24"/>
                <w:szCs w:val="24"/>
                <w:lang w:val="en-US" w:eastAsia="zh-CN"/>
              </w:rPr>
              <w:t>根据本工程运营期产污特</w:t>
            </w:r>
            <w:r>
              <w:rPr>
                <w:rFonts w:hint="eastAsia" w:ascii="宋体" w:hAnsi="宋体" w:eastAsia="宋体" w:cs="宋体"/>
                <w:color w:val="auto"/>
                <w:spacing w:val="3"/>
                <w:sz w:val="24"/>
                <w:szCs w:val="24"/>
                <w:lang w:val="en-US" w:eastAsia="zh-CN"/>
              </w:rPr>
              <w:t>征，结合项目工程周围环境实际情况，参照《排污单位自行监测技术指南食品制造》（</w:t>
            </w:r>
            <w:r>
              <w:rPr>
                <w:rFonts w:hint="default" w:ascii="宋体" w:hAnsi="宋体" w:eastAsia="宋体" w:cs="宋体"/>
                <w:color w:val="auto"/>
                <w:spacing w:val="3"/>
                <w:sz w:val="24"/>
                <w:szCs w:val="24"/>
                <w:lang w:val="en-US" w:eastAsia="zh-CN"/>
              </w:rPr>
              <w:t>HJ1084-2020</w:t>
            </w:r>
            <w:r>
              <w:rPr>
                <w:rFonts w:hint="eastAsia" w:ascii="宋体" w:hAnsi="宋体" w:cs="宋体"/>
                <w:color w:val="auto"/>
                <w:spacing w:val="3"/>
                <w:sz w:val="24"/>
                <w:szCs w:val="24"/>
                <w:lang w:val="en-US" w:eastAsia="zh-CN"/>
              </w:rPr>
              <w:t>）和《排污单位自行监测技术指南农副食品加工业》（HJ986-2018）</w:t>
            </w:r>
            <w:r>
              <w:rPr>
                <w:rFonts w:hint="eastAsia" w:ascii="宋体" w:hAnsi="宋体" w:eastAsia="宋体" w:cs="宋体"/>
                <w:color w:val="auto"/>
                <w:spacing w:val="3"/>
                <w:sz w:val="24"/>
                <w:szCs w:val="24"/>
                <w:lang w:val="en-US" w:eastAsia="zh-CN"/>
              </w:rPr>
              <w:t>，</w:t>
            </w:r>
            <w:r>
              <w:rPr>
                <w:rFonts w:hint="eastAsia" w:ascii="宋体" w:hAnsi="宋体" w:eastAsia="宋体" w:cs="宋体"/>
                <w:color w:val="auto"/>
                <w:spacing w:val="3"/>
                <w:sz w:val="24"/>
                <w:szCs w:val="24"/>
              </w:rPr>
              <w:t>制定本工程</w:t>
            </w:r>
            <w:r>
              <w:rPr>
                <w:rFonts w:hint="eastAsia" w:ascii="宋体" w:hAnsi="宋体" w:eastAsia="宋体" w:cs="宋体"/>
                <w:spacing w:val="3"/>
                <w:sz w:val="24"/>
                <w:szCs w:val="24"/>
              </w:rPr>
              <w:t>废水污染源监测计划，详见表4-</w:t>
            </w:r>
            <w:r>
              <w:rPr>
                <w:rFonts w:hint="eastAsia" w:ascii="宋体" w:hAnsi="宋体" w:eastAsia="宋体" w:cs="宋体"/>
                <w:spacing w:val="3"/>
                <w:sz w:val="24"/>
                <w:szCs w:val="24"/>
                <w:lang w:val="en-US" w:eastAsia="zh-CN"/>
              </w:rPr>
              <w:t>9</w:t>
            </w:r>
            <w:r>
              <w:rPr>
                <w:rFonts w:hint="eastAsia" w:ascii="宋体" w:hAnsi="宋体" w:eastAsia="宋体" w:cs="宋体"/>
                <w:spacing w:val="3"/>
                <w:sz w:val="24"/>
                <w:szCs w:val="24"/>
              </w:rPr>
              <w:t>。</w:t>
            </w:r>
          </w:p>
          <w:p w14:paraId="696F88BB">
            <w:pPr>
              <w:pStyle w:val="91"/>
              <w:rPr>
                <w:color w:val="auto"/>
              </w:rPr>
            </w:pPr>
            <w:r>
              <w:rPr>
                <w:color w:val="auto"/>
              </w:rPr>
              <w:t>表4-</w:t>
            </w:r>
            <w:r>
              <w:rPr>
                <w:rFonts w:hint="eastAsia"/>
                <w:color w:val="auto"/>
                <w:lang w:val="en-US" w:eastAsia="zh-CN"/>
              </w:rPr>
              <w:t xml:space="preserve">9  </w:t>
            </w:r>
            <w:r>
              <w:rPr>
                <w:color w:val="auto"/>
              </w:rPr>
              <w:t>废水</w:t>
            </w:r>
            <w:r>
              <w:rPr>
                <w:rFonts w:hint="eastAsia"/>
                <w:color w:val="auto"/>
                <w:lang w:val="en-US" w:eastAsia="zh-CN"/>
              </w:rPr>
              <w:t>自行</w:t>
            </w:r>
            <w:r>
              <w:rPr>
                <w:color w:val="auto"/>
              </w:rPr>
              <w:t>监测方案</w:t>
            </w:r>
          </w:p>
          <w:tbl>
            <w:tblPr>
              <w:tblStyle w:val="30"/>
              <w:tblW w:w="45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017"/>
              <w:gridCol w:w="1095"/>
              <w:gridCol w:w="2780"/>
              <w:gridCol w:w="1483"/>
            </w:tblGrid>
            <w:tr w14:paraId="5DA59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9" w:type="pct"/>
                  <w:vAlign w:val="center"/>
                </w:tcPr>
                <w:p w14:paraId="028A3E26">
                  <w:pPr>
                    <w:pStyle w:val="18"/>
                    <w:adjustRightInd w:val="0"/>
                    <w:snapToGrid w:val="0"/>
                    <w:spacing w:line="240" w:lineRule="auto"/>
                    <w:ind w:firstLine="0"/>
                    <w:jc w:val="center"/>
                    <w:rPr>
                      <w:color w:val="auto"/>
                      <w:sz w:val="21"/>
                      <w:szCs w:val="21"/>
                    </w:rPr>
                  </w:pPr>
                  <w:r>
                    <w:rPr>
                      <w:color w:val="auto"/>
                      <w:sz w:val="21"/>
                      <w:szCs w:val="21"/>
                    </w:rPr>
                    <w:t>环境要素</w:t>
                  </w:r>
                </w:p>
              </w:tc>
              <w:tc>
                <w:tcPr>
                  <w:tcW w:w="681" w:type="pct"/>
                  <w:vAlign w:val="center"/>
                </w:tcPr>
                <w:p w14:paraId="3C0DD097">
                  <w:pPr>
                    <w:pStyle w:val="18"/>
                    <w:adjustRightInd w:val="0"/>
                    <w:snapToGrid w:val="0"/>
                    <w:spacing w:line="240" w:lineRule="auto"/>
                    <w:ind w:firstLine="0"/>
                    <w:jc w:val="center"/>
                    <w:rPr>
                      <w:color w:val="auto"/>
                      <w:sz w:val="21"/>
                      <w:szCs w:val="21"/>
                    </w:rPr>
                  </w:pPr>
                  <w:r>
                    <w:rPr>
                      <w:color w:val="auto"/>
                      <w:sz w:val="21"/>
                      <w:szCs w:val="21"/>
                    </w:rPr>
                    <w:t>污染源</w:t>
                  </w:r>
                </w:p>
              </w:tc>
              <w:tc>
                <w:tcPr>
                  <w:tcW w:w="733" w:type="pct"/>
                  <w:vAlign w:val="center"/>
                </w:tcPr>
                <w:p w14:paraId="782A1832">
                  <w:pPr>
                    <w:pStyle w:val="18"/>
                    <w:adjustRightInd w:val="0"/>
                    <w:snapToGrid w:val="0"/>
                    <w:spacing w:line="240" w:lineRule="auto"/>
                    <w:ind w:firstLine="0"/>
                    <w:jc w:val="center"/>
                    <w:rPr>
                      <w:color w:val="auto"/>
                      <w:sz w:val="21"/>
                      <w:szCs w:val="21"/>
                    </w:rPr>
                  </w:pPr>
                  <w:r>
                    <w:rPr>
                      <w:color w:val="auto"/>
                      <w:sz w:val="21"/>
                      <w:szCs w:val="21"/>
                    </w:rPr>
                    <w:t>监测点位</w:t>
                  </w:r>
                </w:p>
              </w:tc>
              <w:tc>
                <w:tcPr>
                  <w:tcW w:w="1862" w:type="pct"/>
                  <w:vAlign w:val="center"/>
                </w:tcPr>
                <w:p w14:paraId="69DFDA60">
                  <w:pPr>
                    <w:pStyle w:val="18"/>
                    <w:adjustRightInd w:val="0"/>
                    <w:snapToGrid w:val="0"/>
                    <w:spacing w:line="240" w:lineRule="auto"/>
                    <w:ind w:firstLine="0"/>
                    <w:jc w:val="center"/>
                    <w:rPr>
                      <w:color w:val="auto"/>
                      <w:sz w:val="21"/>
                      <w:szCs w:val="21"/>
                    </w:rPr>
                  </w:pPr>
                  <w:r>
                    <w:rPr>
                      <w:color w:val="auto"/>
                      <w:sz w:val="21"/>
                      <w:szCs w:val="21"/>
                    </w:rPr>
                    <w:t>监测指标</w:t>
                  </w:r>
                </w:p>
              </w:tc>
              <w:tc>
                <w:tcPr>
                  <w:tcW w:w="993" w:type="pct"/>
                  <w:vAlign w:val="center"/>
                </w:tcPr>
                <w:p w14:paraId="059BA080">
                  <w:pPr>
                    <w:pStyle w:val="18"/>
                    <w:adjustRightInd w:val="0"/>
                    <w:snapToGrid w:val="0"/>
                    <w:spacing w:line="240" w:lineRule="auto"/>
                    <w:ind w:firstLine="0"/>
                    <w:jc w:val="center"/>
                    <w:rPr>
                      <w:color w:val="auto"/>
                      <w:sz w:val="21"/>
                      <w:szCs w:val="21"/>
                    </w:rPr>
                  </w:pPr>
                  <w:r>
                    <w:rPr>
                      <w:color w:val="auto"/>
                      <w:sz w:val="21"/>
                      <w:szCs w:val="21"/>
                    </w:rPr>
                    <w:t>监测频次</w:t>
                  </w:r>
                </w:p>
              </w:tc>
            </w:tr>
            <w:tr w14:paraId="007C4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729" w:type="pct"/>
                  <w:shd w:val="clear" w:color="auto" w:fill="auto"/>
                  <w:vAlign w:val="center"/>
                </w:tcPr>
                <w:p w14:paraId="4490033E">
                  <w:pPr>
                    <w:pStyle w:val="18"/>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废水</w:t>
                  </w:r>
                </w:p>
              </w:tc>
              <w:tc>
                <w:tcPr>
                  <w:tcW w:w="681" w:type="pct"/>
                  <w:shd w:val="clear" w:color="auto" w:fill="auto"/>
                  <w:vAlign w:val="center"/>
                </w:tcPr>
                <w:p w14:paraId="1609BC20">
                  <w:pPr>
                    <w:pStyle w:val="18"/>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配套</w:t>
                  </w:r>
                  <w:r>
                    <w:rPr>
                      <w:color w:val="auto"/>
                      <w:sz w:val="21"/>
                      <w:szCs w:val="21"/>
                    </w:rPr>
                    <w:t>污水处理站</w:t>
                  </w:r>
                </w:p>
              </w:tc>
              <w:tc>
                <w:tcPr>
                  <w:tcW w:w="733" w:type="pct"/>
                  <w:shd w:val="clear" w:color="auto" w:fill="auto"/>
                  <w:vAlign w:val="center"/>
                </w:tcPr>
                <w:p w14:paraId="7CD1FCC6">
                  <w:pPr>
                    <w:pStyle w:val="18"/>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生产废水总排口</w:t>
                  </w:r>
                </w:p>
              </w:tc>
              <w:tc>
                <w:tcPr>
                  <w:tcW w:w="1862" w:type="pct"/>
                  <w:vAlign w:val="center"/>
                </w:tcPr>
                <w:p w14:paraId="0B37064E">
                  <w:pPr>
                    <w:pStyle w:val="18"/>
                    <w:adjustRightInd w:val="0"/>
                    <w:snapToGrid w:val="0"/>
                    <w:spacing w:line="240" w:lineRule="auto"/>
                    <w:ind w:firstLine="0"/>
                    <w:jc w:val="center"/>
                    <w:rPr>
                      <w:rFonts w:hint="default" w:eastAsia="宋体"/>
                      <w:color w:val="auto"/>
                      <w:sz w:val="21"/>
                      <w:szCs w:val="21"/>
                      <w:lang w:val="en-US" w:eastAsia="zh-CN"/>
                    </w:rPr>
                  </w:pPr>
                  <w:r>
                    <w:rPr>
                      <w:rFonts w:hint="eastAsia"/>
                      <w:color w:val="auto"/>
                      <w:sz w:val="21"/>
                      <w:szCs w:val="21"/>
                      <w:lang w:val="en-US" w:eastAsia="zh-CN"/>
                    </w:rPr>
                    <w:t>流量、</w:t>
                  </w:r>
                  <w:r>
                    <w:rPr>
                      <w:color w:val="auto"/>
                      <w:sz w:val="21"/>
                      <w:szCs w:val="21"/>
                    </w:rPr>
                    <w:t>pH值、化学需氧量、氨氮</w:t>
                  </w:r>
                  <w:r>
                    <w:rPr>
                      <w:rFonts w:hint="eastAsia"/>
                      <w:color w:val="auto"/>
                      <w:sz w:val="21"/>
                      <w:szCs w:val="21"/>
                      <w:lang w:eastAsia="zh-CN"/>
                    </w:rPr>
                    <w:t>、</w:t>
                  </w:r>
                  <w:r>
                    <w:rPr>
                      <w:color w:val="auto"/>
                      <w:sz w:val="21"/>
                      <w:szCs w:val="21"/>
                    </w:rPr>
                    <w:t>总磷</w:t>
                  </w:r>
                  <w:r>
                    <w:rPr>
                      <w:rFonts w:hint="eastAsia"/>
                      <w:color w:val="auto"/>
                      <w:sz w:val="21"/>
                      <w:szCs w:val="21"/>
                      <w:lang w:eastAsia="zh-CN"/>
                    </w:rPr>
                    <w:t>、</w:t>
                  </w:r>
                  <w:r>
                    <w:rPr>
                      <w:color w:val="auto"/>
                      <w:sz w:val="21"/>
                      <w:szCs w:val="21"/>
                    </w:rPr>
                    <w:t>总氮</w:t>
                  </w:r>
                  <w:r>
                    <w:rPr>
                      <w:rFonts w:hint="eastAsia"/>
                      <w:color w:val="auto"/>
                      <w:sz w:val="21"/>
                      <w:szCs w:val="21"/>
                      <w:lang w:eastAsia="zh-CN"/>
                    </w:rPr>
                    <w:t>、</w:t>
                  </w:r>
                  <w:r>
                    <w:rPr>
                      <w:color w:val="auto"/>
                      <w:sz w:val="21"/>
                      <w:szCs w:val="21"/>
                    </w:rPr>
                    <w:t>悬浮物、五日生化需氧量</w:t>
                  </w:r>
                </w:p>
              </w:tc>
              <w:tc>
                <w:tcPr>
                  <w:tcW w:w="993" w:type="pct"/>
                  <w:vAlign w:val="center"/>
                </w:tcPr>
                <w:p w14:paraId="6CA5DC53">
                  <w:pPr>
                    <w:adjustRightInd w:val="0"/>
                    <w:snapToGrid w:val="0"/>
                    <w:jc w:val="center"/>
                    <w:rPr>
                      <w:rFonts w:hint="default" w:eastAsia="宋体"/>
                      <w:color w:val="auto"/>
                      <w:szCs w:val="21"/>
                      <w:lang w:val="en-US" w:eastAsia="zh-CN"/>
                    </w:rPr>
                  </w:pPr>
                  <w:r>
                    <w:rPr>
                      <w:rFonts w:hint="eastAsia"/>
                      <w:color w:val="auto"/>
                      <w:szCs w:val="21"/>
                      <w:lang w:val="en-US" w:eastAsia="zh-CN"/>
                    </w:rPr>
                    <w:t>1次/半年</w:t>
                  </w:r>
                </w:p>
              </w:tc>
            </w:tr>
          </w:tbl>
          <w:p w14:paraId="1C859429">
            <w:pPr>
              <w:pStyle w:val="105"/>
              <w:bidi w:val="0"/>
              <w:rPr>
                <w:rFonts w:hint="eastAsia"/>
              </w:rPr>
            </w:pPr>
          </w:p>
          <w:p w14:paraId="69FDDB53">
            <w:pPr>
              <w:keepNext w:val="0"/>
              <w:keepLines w:val="0"/>
              <w:pageBreakBefore w:val="0"/>
              <w:widowControl w:val="0"/>
              <w:kinsoku/>
              <w:wordWrap/>
              <w:overflowPunct/>
              <w:topLinePunct w:val="0"/>
              <w:autoSpaceDE/>
              <w:autoSpaceDN/>
              <w:bidi w:val="0"/>
              <w:adjustRightInd/>
              <w:snapToGrid/>
              <w:spacing w:after="157" w:afterLines="50" w:line="360" w:lineRule="auto"/>
              <w:ind w:left="0" w:firstLine="47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pacing w:val="-3"/>
                <w:sz w:val="24"/>
                <w:szCs w:val="24"/>
                <w:lang w:val="en-US" w:eastAsia="zh-CN"/>
              </w:rPr>
              <w:t>3</w:t>
            </w:r>
            <w:r>
              <w:rPr>
                <w:rFonts w:hint="default" w:ascii="Times New Roman" w:hAnsi="Times New Roman" w:eastAsia="宋体" w:cs="Times New Roman"/>
                <w:b/>
                <w:bCs/>
                <w:spacing w:val="-3"/>
                <w:sz w:val="24"/>
                <w:szCs w:val="24"/>
              </w:rPr>
              <w:t>噪声</w:t>
            </w:r>
            <w:r>
              <w:rPr>
                <w:rFonts w:hint="default" w:ascii="Times New Roman" w:hAnsi="Times New Roman" w:eastAsia="宋体" w:cs="Times New Roman"/>
                <w:b/>
                <w:bCs/>
                <w:spacing w:val="-3"/>
                <w:sz w:val="24"/>
                <w:szCs w:val="24"/>
                <w:lang w:val="en-US" w:eastAsia="zh-CN"/>
              </w:rPr>
              <w:t>影响分析</w:t>
            </w:r>
          </w:p>
          <w:p w14:paraId="73724AC8">
            <w:pPr>
              <w:adjustRightInd w:val="0"/>
              <w:snapToGrid w:val="0"/>
              <w:spacing w:line="360" w:lineRule="auto"/>
              <w:ind w:firstLine="432" w:firstLineChars="200"/>
              <w:rPr>
                <w:rFonts w:hint="eastAsia" w:ascii="宋体" w:hAnsi="宋体" w:eastAsia="宋体" w:cs="宋体"/>
                <w:color w:val="auto"/>
                <w:sz w:val="24"/>
                <w:szCs w:val="24"/>
              </w:rPr>
            </w:pPr>
            <w:r>
              <w:rPr>
                <w:spacing w:val="3"/>
              </w:rPr>
              <w:t>项</w:t>
            </w:r>
            <w:r>
              <w:rPr>
                <w:rFonts w:hint="eastAsia" w:ascii="宋体" w:hAnsi="宋体" w:eastAsia="宋体" w:cs="宋体"/>
                <w:spacing w:val="3"/>
                <w:sz w:val="24"/>
                <w:szCs w:val="24"/>
              </w:rPr>
              <w:t>目运营过程中，各种设备及生产车间通风排气设施</w:t>
            </w:r>
            <w:r>
              <w:rPr>
                <w:rFonts w:hint="eastAsia" w:ascii="宋体" w:hAnsi="宋体" w:eastAsia="宋体" w:cs="宋体"/>
                <w:spacing w:val="2"/>
                <w:sz w:val="24"/>
                <w:szCs w:val="24"/>
              </w:rPr>
              <w:t>运作过程会产生噪声，各噪声</w:t>
            </w:r>
            <w:r>
              <w:rPr>
                <w:rFonts w:hint="eastAsia" w:ascii="宋体" w:hAnsi="宋体" w:eastAsia="宋体" w:cs="宋体"/>
                <w:spacing w:val="-2"/>
                <w:sz w:val="24"/>
                <w:szCs w:val="24"/>
              </w:rPr>
              <w:t>源强约为65～75dB（A</w:t>
            </w:r>
            <w:r>
              <w:rPr>
                <w:rFonts w:hint="eastAsia" w:ascii="宋体" w:hAnsi="宋体" w:cs="宋体"/>
                <w:spacing w:val="-2"/>
                <w:sz w:val="24"/>
                <w:szCs w:val="24"/>
                <w:lang w:eastAsia="zh-CN"/>
              </w:rPr>
              <w:t>）</w:t>
            </w:r>
            <w:r>
              <w:rPr>
                <w:rFonts w:hint="eastAsia" w:ascii="宋体" w:hAnsi="宋体" w:eastAsia="宋体" w:cs="宋体"/>
                <w:spacing w:val="-2"/>
                <w:sz w:val="24"/>
                <w:szCs w:val="24"/>
              </w:rPr>
              <w:t>统计见表</w:t>
            </w:r>
            <w:r>
              <w:rPr>
                <w:rFonts w:hint="eastAsia" w:ascii="宋体" w:hAnsi="宋体" w:eastAsia="宋体" w:cs="宋体"/>
                <w:spacing w:val="-2"/>
                <w:sz w:val="24"/>
                <w:szCs w:val="24"/>
                <w:lang w:val="en-US" w:eastAsia="zh-CN"/>
              </w:rPr>
              <w:t>4-</w:t>
            </w:r>
            <w:r>
              <w:rPr>
                <w:rFonts w:hint="eastAsia" w:ascii="宋体" w:hAnsi="宋体" w:cs="宋体"/>
                <w:spacing w:val="-2"/>
                <w:sz w:val="24"/>
                <w:szCs w:val="24"/>
                <w:lang w:val="en-US" w:eastAsia="zh-CN"/>
              </w:rPr>
              <w:t>10</w:t>
            </w:r>
            <w:r>
              <w:rPr>
                <w:rFonts w:hint="eastAsia" w:ascii="宋体" w:hAnsi="宋体" w:eastAsia="宋体" w:cs="宋体"/>
                <w:spacing w:val="-2"/>
                <w:sz w:val="24"/>
                <w:szCs w:val="24"/>
              </w:rPr>
              <w:t>。</w:t>
            </w:r>
          </w:p>
          <w:p w14:paraId="1B3FE386">
            <w:pPr>
              <w:keepNext w:val="0"/>
              <w:keepLines w:val="0"/>
              <w:pageBreakBefore w:val="0"/>
              <w:widowControl w:val="0"/>
              <w:kinsoku/>
              <w:wordWrap/>
              <w:overflowPunct/>
              <w:topLinePunct w:val="0"/>
              <w:autoSpaceDE/>
              <w:autoSpaceDN/>
              <w:bidi w:val="0"/>
              <w:adjustRightInd w:val="0"/>
              <w:snapToGrid w:val="0"/>
              <w:spacing w:line="240" w:lineRule="auto"/>
              <w:ind w:firstLine="434" w:firstLineChars="200"/>
              <w:jc w:val="center"/>
              <w:textAlignment w:val="auto"/>
              <w:rPr>
                <w:rFonts w:hint="eastAsia" w:ascii="宋体" w:hAnsi="宋体" w:eastAsia="宋体" w:cs="宋体"/>
                <w:b/>
                <w:bCs/>
                <w:spacing w:val="3"/>
                <w:sz w:val="21"/>
                <w:szCs w:val="21"/>
              </w:rPr>
            </w:pPr>
            <w:r>
              <w:rPr>
                <w:rFonts w:hint="eastAsia" w:ascii="宋体" w:hAnsi="宋体" w:eastAsia="宋体" w:cs="宋体"/>
                <w:b/>
                <w:bCs/>
                <w:spacing w:val="3"/>
                <w:sz w:val="21"/>
                <w:szCs w:val="21"/>
              </w:rPr>
              <w:t>表</w:t>
            </w:r>
            <w:r>
              <w:rPr>
                <w:rFonts w:hint="eastAsia" w:ascii="宋体" w:hAnsi="宋体" w:eastAsia="宋体" w:cs="宋体"/>
                <w:b/>
                <w:bCs/>
                <w:spacing w:val="3"/>
                <w:sz w:val="21"/>
                <w:szCs w:val="21"/>
                <w:lang w:val="en-US" w:eastAsia="zh-CN"/>
              </w:rPr>
              <w:t>4-</w:t>
            </w:r>
            <w:r>
              <w:rPr>
                <w:rFonts w:hint="eastAsia" w:ascii="宋体" w:hAnsi="宋体" w:cs="宋体"/>
                <w:b/>
                <w:bCs/>
                <w:spacing w:val="3"/>
                <w:sz w:val="21"/>
                <w:szCs w:val="21"/>
                <w:lang w:val="en-US" w:eastAsia="zh-CN"/>
              </w:rPr>
              <w:t>10</w:t>
            </w:r>
            <w:r>
              <w:rPr>
                <w:rFonts w:hint="eastAsia" w:ascii="宋体" w:hAnsi="宋体" w:eastAsia="宋体" w:cs="宋体"/>
                <w:b/>
                <w:bCs/>
                <w:spacing w:val="3"/>
                <w:sz w:val="21"/>
                <w:szCs w:val="21"/>
              </w:rPr>
              <w:t>厂界噪声预测结果表</w:t>
            </w:r>
          </w:p>
          <w:tbl>
            <w:tblPr>
              <w:tblStyle w:val="113"/>
              <w:tblW w:w="8039" w:type="dxa"/>
              <w:tblInd w:w="206"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745"/>
              <w:gridCol w:w="1822"/>
              <w:gridCol w:w="2738"/>
              <w:gridCol w:w="2734"/>
            </w:tblGrid>
            <w:tr w14:paraId="021F505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745" w:type="dxa"/>
                  <w:tcBorders>
                    <w:tl2br w:val="nil"/>
                    <w:tr2bl w:val="nil"/>
                  </w:tcBorders>
                  <w:vAlign w:val="center"/>
                </w:tcPr>
                <w:p w14:paraId="7A3B4663">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b/>
                      <w:bCs/>
                    </w:rPr>
                  </w:pPr>
                  <w:r>
                    <w:rPr>
                      <w:b/>
                      <w:bCs/>
                    </w:rPr>
                    <w:t>序号</w:t>
                  </w:r>
                </w:p>
              </w:tc>
              <w:tc>
                <w:tcPr>
                  <w:tcW w:w="1822" w:type="dxa"/>
                  <w:tcBorders>
                    <w:tl2br w:val="nil"/>
                    <w:tr2bl w:val="nil"/>
                  </w:tcBorders>
                  <w:vAlign w:val="center"/>
                </w:tcPr>
                <w:p w14:paraId="13996289">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b/>
                      <w:bCs/>
                    </w:rPr>
                  </w:pPr>
                  <w:r>
                    <w:rPr>
                      <w:b/>
                      <w:bCs/>
                    </w:rPr>
                    <w:t>噪声源名称</w:t>
                  </w:r>
                </w:p>
              </w:tc>
              <w:tc>
                <w:tcPr>
                  <w:tcW w:w="2738" w:type="dxa"/>
                  <w:tcBorders>
                    <w:tl2br w:val="nil"/>
                    <w:tr2bl w:val="nil"/>
                  </w:tcBorders>
                  <w:vAlign w:val="center"/>
                </w:tcPr>
                <w:p w14:paraId="55601631">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b/>
                      <w:bCs/>
                      <w:lang w:eastAsia="zh-CN"/>
                    </w:rPr>
                  </w:pPr>
                  <w:r>
                    <w:rPr>
                      <w:b/>
                      <w:bCs/>
                    </w:rPr>
                    <w:t>噪声源强dB（A</w:t>
                  </w:r>
                  <w:r>
                    <w:rPr>
                      <w:rFonts w:hint="eastAsia"/>
                      <w:b/>
                      <w:bCs/>
                      <w:lang w:eastAsia="zh-CN"/>
                    </w:rPr>
                    <w:t>）</w:t>
                  </w:r>
                </w:p>
              </w:tc>
              <w:tc>
                <w:tcPr>
                  <w:tcW w:w="2734" w:type="dxa"/>
                  <w:tcBorders>
                    <w:tl2br w:val="nil"/>
                    <w:tr2bl w:val="nil"/>
                  </w:tcBorders>
                  <w:vAlign w:val="center"/>
                </w:tcPr>
                <w:p w14:paraId="49718C53">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b/>
                      <w:bCs/>
                    </w:rPr>
                  </w:pPr>
                  <w:r>
                    <w:rPr>
                      <w:b/>
                      <w:bCs/>
                    </w:rPr>
                    <w:t>拟采取降噪措施</w:t>
                  </w:r>
                </w:p>
              </w:tc>
            </w:tr>
            <w:tr w14:paraId="2B5CB28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745" w:type="dxa"/>
                  <w:tcBorders>
                    <w:tl2br w:val="nil"/>
                    <w:tr2bl w:val="nil"/>
                  </w:tcBorders>
                  <w:vAlign w:val="center"/>
                </w:tcPr>
                <w:p w14:paraId="793EA9E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eastAsia="宋体"/>
                      <w:lang w:eastAsia="zh-CN"/>
                    </w:rPr>
                  </w:pPr>
                  <w:r>
                    <w:rPr>
                      <w:rFonts w:hint="eastAsia"/>
                      <w:lang w:val="en-US" w:eastAsia="zh-CN"/>
                    </w:rPr>
                    <w:t>1</w:t>
                  </w:r>
                </w:p>
              </w:tc>
              <w:tc>
                <w:tcPr>
                  <w:tcW w:w="1822" w:type="dxa"/>
                  <w:tcBorders>
                    <w:tl2br w:val="nil"/>
                    <w:tr2bl w:val="nil"/>
                  </w:tcBorders>
                  <w:vAlign w:val="center"/>
                </w:tcPr>
                <w:p w14:paraId="55455039">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和面机</w:t>
                  </w:r>
                </w:p>
              </w:tc>
              <w:tc>
                <w:tcPr>
                  <w:tcW w:w="2738" w:type="dxa"/>
                  <w:tcBorders>
                    <w:tl2br w:val="nil"/>
                    <w:tr2bl w:val="nil"/>
                  </w:tcBorders>
                  <w:vAlign w:val="center"/>
                </w:tcPr>
                <w:p w14:paraId="506E9B9A">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r>
                    <w:t>70</w:t>
                  </w:r>
                </w:p>
              </w:tc>
              <w:tc>
                <w:tcPr>
                  <w:tcW w:w="2734" w:type="dxa"/>
                  <w:vMerge w:val="restart"/>
                  <w:tcBorders>
                    <w:tl2br w:val="nil"/>
                    <w:tr2bl w:val="nil"/>
                  </w:tcBorders>
                  <w:vAlign w:val="center"/>
                </w:tcPr>
                <w:p w14:paraId="29040B6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r>
                    <w:t>定期检查，保证设备正常运转，选用低噪声设备、安装减振垫、距离衰减等</w:t>
                  </w:r>
                </w:p>
              </w:tc>
            </w:tr>
            <w:tr w14:paraId="22B4DBF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745" w:type="dxa"/>
                  <w:tcBorders>
                    <w:tl2br w:val="nil"/>
                    <w:tr2bl w:val="nil"/>
                  </w:tcBorders>
                  <w:vAlign w:val="center"/>
                </w:tcPr>
                <w:p w14:paraId="7FF3E6C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eastAsia="宋体"/>
                      <w:lang w:val="en-US" w:eastAsia="zh-CN"/>
                    </w:rPr>
                  </w:pPr>
                  <w:r>
                    <w:rPr>
                      <w:rFonts w:hint="eastAsia"/>
                      <w:lang w:val="en-US" w:eastAsia="zh-CN"/>
                    </w:rPr>
                    <w:t>2</w:t>
                  </w:r>
                </w:p>
              </w:tc>
              <w:tc>
                <w:tcPr>
                  <w:tcW w:w="1822" w:type="dxa"/>
                  <w:tcBorders>
                    <w:tl2br w:val="nil"/>
                    <w:tr2bl w:val="nil"/>
                  </w:tcBorders>
                  <w:vAlign w:val="center"/>
                </w:tcPr>
                <w:p w14:paraId="16020566">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蔬菜清洗机</w:t>
                  </w:r>
                </w:p>
              </w:tc>
              <w:tc>
                <w:tcPr>
                  <w:tcW w:w="2738" w:type="dxa"/>
                  <w:tcBorders>
                    <w:tl2br w:val="nil"/>
                    <w:tr2bl w:val="nil"/>
                  </w:tcBorders>
                  <w:vAlign w:val="center"/>
                </w:tcPr>
                <w:p w14:paraId="1CF0F2A3">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70</w:t>
                  </w:r>
                </w:p>
              </w:tc>
              <w:tc>
                <w:tcPr>
                  <w:tcW w:w="2734" w:type="dxa"/>
                  <w:vMerge w:val="continue"/>
                  <w:tcBorders>
                    <w:tl2br w:val="nil"/>
                    <w:tr2bl w:val="nil"/>
                  </w:tcBorders>
                  <w:vAlign w:val="center"/>
                </w:tcPr>
                <w:p w14:paraId="0387992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p>
              </w:tc>
            </w:tr>
            <w:tr w14:paraId="76ACAF6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745" w:type="dxa"/>
                  <w:tcBorders>
                    <w:tl2br w:val="nil"/>
                    <w:tr2bl w:val="nil"/>
                  </w:tcBorders>
                  <w:vAlign w:val="center"/>
                </w:tcPr>
                <w:p w14:paraId="3BB08C01">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eastAsia="宋体"/>
                      <w:lang w:val="en-US" w:eastAsia="zh-CN"/>
                    </w:rPr>
                  </w:pPr>
                  <w:r>
                    <w:rPr>
                      <w:rFonts w:hint="eastAsia"/>
                      <w:lang w:val="en-US" w:eastAsia="zh-CN"/>
                    </w:rPr>
                    <w:t>3</w:t>
                  </w:r>
                </w:p>
              </w:tc>
              <w:tc>
                <w:tcPr>
                  <w:tcW w:w="1822" w:type="dxa"/>
                  <w:tcBorders>
                    <w:tl2br w:val="nil"/>
                    <w:tr2bl w:val="nil"/>
                  </w:tcBorders>
                  <w:vAlign w:val="center"/>
                </w:tcPr>
                <w:p w14:paraId="2A80A96B">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多功能面皮机</w:t>
                  </w:r>
                </w:p>
              </w:tc>
              <w:tc>
                <w:tcPr>
                  <w:tcW w:w="2738" w:type="dxa"/>
                  <w:tcBorders>
                    <w:tl2br w:val="nil"/>
                    <w:tr2bl w:val="nil"/>
                  </w:tcBorders>
                  <w:vAlign w:val="center"/>
                </w:tcPr>
                <w:p w14:paraId="013C230C">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70</w:t>
                  </w:r>
                </w:p>
              </w:tc>
              <w:tc>
                <w:tcPr>
                  <w:tcW w:w="2734" w:type="dxa"/>
                  <w:vMerge w:val="continue"/>
                  <w:tcBorders>
                    <w:tl2br w:val="nil"/>
                    <w:tr2bl w:val="nil"/>
                  </w:tcBorders>
                  <w:vAlign w:val="center"/>
                </w:tcPr>
                <w:p w14:paraId="2B189C55">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p>
              </w:tc>
            </w:tr>
            <w:tr w14:paraId="656193C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745" w:type="dxa"/>
                  <w:tcBorders>
                    <w:tl2br w:val="nil"/>
                    <w:tr2bl w:val="nil"/>
                  </w:tcBorders>
                  <w:vAlign w:val="center"/>
                </w:tcPr>
                <w:p w14:paraId="32582B8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eastAsia="宋体"/>
                      <w:lang w:val="en-US" w:eastAsia="zh-CN"/>
                    </w:rPr>
                  </w:pPr>
                  <w:r>
                    <w:rPr>
                      <w:rFonts w:hint="eastAsia"/>
                      <w:lang w:val="en-US" w:eastAsia="zh-CN"/>
                    </w:rPr>
                    <w:t>4</w:t>
                  </w:r>
                </w:p>
              </w:tc>
              <w:tc>
                <w:tcPr>
                  <w:tcW w:w="1822" w:type="dxa"/>
                  <w:tcBorders>
                    <w:tl2br w:val="nil"/>
                    <w:tr2bl w:val="nil"/>
                  </w:tcBorders>
                  <w:vAlign w:val="center"/>
                </w:tcPr>
                <w:p w14:paraId="769634C7">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eastAsia="宋体"/>
                      <w:lang w:val="en-US" w:eastAsia="zh-CN"/>
                    </w:rPr>
                  </w:pPr>
                  <w:r>
                    <w:rPr>
                      <w:rFonts w:hint="eastAsia"/>
                      <w:lang w:val="en-US" w:eastAsia="zh-CN"/>
                    </w:rPr>
                    <w:t>烤箱</w:t>
                  </w:r>
                </w:p>
              </w:tc>
              <w:tc>
                <w:tcPr>
                  <w:tcW w:w="2738" w:type="dxa"/>
                  <w:tcBorders>
                    <w:tl2br w:val="nil"/>
                    <w:tr2bl w:val="nil"/>
                  </w:tcBorders>
                  <w:vAlign w:val="center"/>
                </w:tcPr>
                <w:p w14:paraId="27D8F449">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r>
                    <w:t>70</w:t>
                  </w:r>
                </w:p>
              </w:tc>
              <w:tc>
                <w:tcPr>
                  <w:tcW w:w="2734" w:type="dxa"/>
                  <w:vMerge w:val="continue"/>
                  <w:tcBorders>
                    <w:tl2br w:val="nil"/>
                    <w:tr2bl w:val="nil"/>
                  </w:tcBorders>
                  <w:vAlign w:val="center"/>
                </w:tcPr>
                <w:p w14:paraId="49DF01C9">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p>
              </w:tc>
            </w:tr>
            <w:tr w14:paraId="66F88C5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745" w:type="dxa"/>
                  <w:tcBorders>
                    <w:tl2br w:val="nil"/>
                    <w:tr2bl w:val="nil"/>
                  </w:tcBorders>
                  <w:vAlign w:val="center"/>
                </w:tcPr>
                <w:p w14:paraId="726AE1BB">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5</w:t>
                  </w:r>
                </w:p>
              </w:tc>
              <w:tc>
                <w:tcPr>
                  <w:tcW w:w="1822" w:type="dxa"/>
                  <w:tcBorders>
                    <w:tl2br w:val="nil"/>
                    <w:tr2bl w:val="nil"/>
                  </w:tcBorders>
                  <w:vAlign w:val="center"/>
                </w:tcPr>
                <w:p w14:paraId="1ECAD520">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奶泵</w:t>
                  </w:r>
                </w:p>
              </w:tc>
              <w:tc>
                <w:tcPr>
                  <w:tcW w:w="2738" w:type="dxa"/>
                  <w:tcBorders>
                    <w:tl2br w:val="nil"/>
                    <w:tr2bl w:val="nil"/>
                  </w:tcBorders>
                  <w:vAlign w:val="center"/>
                </w:tcPr>
                <w:p w14:paraId="0CF0641D">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75</w:t>
                  </w:r>
                </w:p>
              </w:tc>
              <w:tc>
                <w:tcPr>
                  <w:tcW w:w="2734" w:type="dxa"/>
                  <w:vMerge w:val="continue"/>
                  <w:tcBorders>
                    <w:tl2br w:val="nil"/>
                    <w:tr2bl w:val="nil"/>
                  </w:tcBorders>
                  <w:vAlign w:val="center"/>
                </w:tcPr>
                <w:p w14:paraId="29D7CD2C">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p>
              </w:tc>
            </w:tr>
            <w:tr w14:paraId="045A84E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12" w:hRule="atLeast"/>
              </w:trPr>
              <w:tc>
                <w:tcPr>
                  <w:tcW w:w="745" w:type="dxa"/>
                  <w:tcBorders>
                    <w:tl2br w:val="nil"/>
                    <w:tr2bl w:val="nil"/>
                  </w:tcBorders>
                  <w:vAlign w:val="center"/>
                </w:tcPr>
                <w:p w14:paraId="5132729B">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6</w:t>
                  </w:r>
                </w:p>
              </w:tc>
              <w:tc>
                <w:tcPr>
                  <w:tcW w:w="1822" w:type="dxa"/>
                  <w:tcBorders>
                    <w:tl2br w:val="nil"/>
                    <w:tr2bl w:val="nil"/>
                  </w:tcBorders>
                  <w:vAlign w:val="center"/>
                </w:tcPr>
                <w:p w14:paraId="4FC833AB">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硝化液回流泵</w:t>
                  </w:r>
                </w:p>
              </w:tc>
              <w:tc>
                <w:tcPr>
                  <w:tcW w:w="2738" w:type="dxa"/>
                  <w:tcBorders>
                    <w:tl2br w:val="nil"/>
                    <w:tr2bl w:val="nil"/>
                  </w:tcBorders>
                  <w:vAlign w:val="center"/>
                </w:tcPr>
                <w:p w14:paraId="368C9F9D">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default" w:eastAsia="宋体"/>
                      <w:lang w:val="en-US" w:eastAsia="zh-CN"/>
                    </w:rPr>
                  </w:pPr>
                  <w:r>
                    <w:rPr>
                      <w:rFonts w:hint="eastAsia"/>
                      <w:lang w:val="en-US" w:eastAsia="zh-CN"/>
                    </w:rPr>
                    <w:t>75</w:t>
                  </w:r>
                </w:p>
              </w:tc>
              <w:tc>
                <w:tcPr>
                  <w:tcW w:w="2734" w:type="dxa"/>
                  <w:vMerge w:val="continue"/>
                  <w:tcBorders>
                    <w:tl2br w:val="nil"/>
                    <w:tr2bl w:val="nil"/>
                  </w:tcBorders>
                  <w:vAlign w:val="center"/>
                </w:tcPr>
                <w:p w14:paraId="21513250">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pPr>
                </w:p>
              </w:tc>
            </w:tr>
          </w:tbl>
          <w:p w14:paraId="5C17C6C8">
            <w:pPr>
              <w:pStyle w:val="81"/>
              <w:ind w:left="0" w:leftChars="0" w:firstLine="0" w:firstLineChars="0"/>
              <w:rPr>
                <w:color w:val="auto"/>
              </w:rPr>
            </w:pPr>
          </w:p>
        </w:tc>
      </w:tr>
    </w:tbl>
    <w:p w14:paraId="43273B87">
      <w:r>
        <w:br w:type="page"/>
      </w:r>
    </w:p>
    <w:p w14:paraId="7994D039">
      <w:pPr>
        <w:adjustRightInd w:val="0"/>
        <w:snapToGrid w:val="0"/>
        <w:jc w:val="center"/>
        <w:rPr>
          <w:b/>
          <w:sz w:val="28"/>
          <w:szCs w:val="28"/>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tbl>
      <w:tblPr>
        <w:tblStyle w:val="29"/>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3292"/>
      </w:tblGrid>
      <w:tr w14:paraId="3D355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1" w:hRule="atLeast"/>
          <w:jc w:val="center"/>
        </w:trPr>
        <w:tc>
          <w:tcPr>
            <w:tcW w:w="341" w:type="pct"/>
            <w:tcMar>
              <w:left w:w="28" w:type="dxa"/>
              <w:right w:w="28" w:type="dxa"/>
            </w:tcMar>
            <w:vAlign w:val="center"/>
          </w:tcPr>
          <w:p w14:paraId="596A2F9E">
            <w:pPr>
              <w:adjustRightInd w:val="0"/>
              <w:snapToGrid w:val="0"/>
              <w:jc w:val="center"/>
              <w:rPr>
                <w:b/>
                <w:sz w:val="28"/>
                <w:szCs w:val="28"/>
              </w:rPr>
            </w:pPr>
          </w:p>
        </w:tc>
        <w:tc>
          <w:tcPr>
            <w:tcW w:w="4659" w:type="pct"/>
          </w:tcPr>
          <w:p w14:paraId="32AFA042">
            <w:pPr>
              <w:pStyle w:val="91"/>
              <w:ind w:firstLine="0" w:firstLineChars="0"/>
              <w:rPr>
                <w:rFonts w:hint="eastAsia" w:eastAsia="宋体"/>
                <w:color w:val="auto"/>
                <w:lang w:eastAsia="zh-CN"/>
              </w:rPr>
            </w:pPr>
            <w:r>
              <w:rPr>
                <w:color w:val="auto"/>
              </w:rPr>
              <w:t>表4-1</w:t>
            </w:r>
            <w:r>
              <w:rPr>
                <w:rFonts w:hint="eastAsia"/>
                <w:color w:val="auto"/>
                <w:lang w:val="en-US" w:eastAsia="zh-CN"/>
              </w:rPr>
              <w:t>1</w:t>
            </w:r>
            <w:r>
              <w:rPr>
                <w:color w:val="auto"/>
              </w:rPr>
              <w:t>主要噪声源强单位：dB</w:t>
            </w:r>
            <w:r>
              <w:rPr>
                <w:rFonts w:hint="eastAsia"/>
                <w:color w:val="auto"/>
                <w:lang w:eastAsia="zh-CN"/>
              </w:rPr>
              <w:t>（</w:t>
            </w:r>
            <w:r>
              <w:rPr>
                <w:color w:val="auto"/>
              </w:rPr>
              <w:t>A</w:t>
            </w:r>
            <w:r>
              <w:rPr>
                <w:rFonts w:hint="eastAsia"/>
                <w:color w:val="auto"/>
                <w:lang w:eastAsia="zh-CN"/>
              </w:rPr>
              <w:t>）</w:t>
            </w:r>
          </w:p>
          <w:tbl>
            <w:tblPr>
              <w:tblStyle w:val="29"/>
              <w:tblW w:w="128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
              <w:gridCol w:w="709"/>
              <w:gridCol w:w="992"/>
              <w:gridCol w:w="567"/>
              <w:gridCol w:w="425"/>
              <w:gridCol w:w="414"/>
              <w:gridCol w:w="569"/>
              <w:gridCol w:w="571"/>
              <w:gridCol w:w="472"/>
              <w:gridCol w:w="472"/>
              <w:gridCol w:w="472"/>
              <w:gridCol w:w="475"/>
              <w:gridCol w:w="466"/>
              <w:gridCol w:w="466"/>
              <w:gridCol w:w="466"/>
              <w:gridCol w:w="468"/>
              <w:gridCol w:w="404"/>
              <w:gridCol w:w="450"/>
              <w:gridCol w:w="450"/>
              <w:gridCol w:w="450"/>
              <w:gridCol w:w="450"/>
              <w:gridCol w:w="479"/>
              <w:gridCol w:w="479"/>
              <w:gridCol w:w="479"/>
              <w:gridCol w:w="480"/>
              <w:gridCol w:w="491"/>
            </w:tblGrid>
            <w:tr w14:paraId="75A5E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269" w:type="dxa"/>
                  <w:vMerge w:val="restart"/>
                  <w:vAlign w:val="center"/>
                </w:tcPr>
                <w:p w14:paraId="7A8510C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bookmarkStart w:id="16" w:name="PT_6"/>
                  <w:r>
                    <w:rPr>
                      <w:rFonts w:hint="eastAsia" w:ascii="宋体" w:hAnsi="宋体" w:eastAsia="宋体" w:cs="宋体"/>
                      <w:color w:val="auto"/>
                      <w:sz w:val="21"/>
                      <w:szCs w:val="21"/>
                    </w:rPr>
                    <w:t>序号</w:t>
                  </w:r>
                </w:p>
              </w:tc>
              <w:tc>
                <w:tcPr>
                  <w:tcW w:w="709" w:type="dxa"/>
                  <w:vMerge w:val="restart"/>
                  <w:vAlign w:val="center"/>
                </w:tcPr>
                <w:p w14:paraId="0D15F45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建筑物名称</w:t>
                  </w:r>
                </w:p>
              </w:tc>
              <w:tc>
                <w:tcPr>
                  <w:tcW w:w="992" w:type="dxa"/>
                  <w:vMerge w:val="restart"/>
                  <w:vAlign w:val="center"/>
                </w:tcPr>
                <w:p w14:paraId="5467941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声源名称</w:t>
                  </w:r>
                </w:p>
              </w:tc>
              <w:tc>
                <w:tcPr>
                  <w:tcW w:w="567" w:type="dxa"/>
                  <w:vAlign w:val="center"/>
                </w:tcPr>
                <w:p w14:paraId="277B7D4E">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声源强</w:t>
                  </w:r>
                </w:p>
              </w:tc>
              <w:tc>
                <w:tcPr>
                  <w:tcW w:w="425" w:type="dxa"/>
                  <w:vMerge w:val="restart"/>
                  <w:vAlign w:val="center"/>
                </w:tcPr>
                <w:p w14:paraId="00D197C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声源控制措施</w:t>
                  </w:r>
                </w:p>
              </w:tc>
              <w:tc>
                <w:tcPr>
                  <w:tcW w:w="1554" w:type="dxa"/>
                  <w:gridSpan w:val="3"/>
                  <w:vAlign w:val="center"/>
                </w:tcPr>
                <w:p w14:paraId="1779393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空间相对位置/m</w:t>
                  </w:r>
                </w:p>
              </w:tc>
              <w:tc>
                <w:tcPr>
                  <w:tcW w:w="1891" w:type="dxa"/>
                  <w:gridSpan w:val="4"/>
                  <w:vAlign w:val="center"/>
                </w:tcPr>
                <w:p w14:paraId="2A0FB21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距室内边界距离/m</w:t>
                  </w:r>
                </w:p>
              </w:tc>
              <w:tc>
                <w:tcPr>
                  <w:tcW w:w="1866" w:type="dxa"/>
                  <w:gridSpan w:val="4"/>
                  <w:vAlign w:val="center"/>
                </w:tcPr>
                <w:p w14:paraId="3EAEEE2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室内边界声级/dB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cs="宋体"/>
                      <w:color w:val="auto"/>
                      <w:sz w:val="21"/>
                      <w:szCs w:val="21"/>
                      <w:lang w:eastAsia="zh-CN"/>
                    </w:rPr>
                    <w:t>）</w:t>
                  </w:r>
                </w:p>
              </w:tc>
              <w:tc>
                <w:tcPr>
                  <w:tcW w:w="404" w:type="dxa"/>
                  <w:vMerge w:val="restart"/>
                  <w:vAlign w:val="center"/>
                </w:tcPr>
                <w:p w14:paraId="74A54AD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运行时段</w:t>
                  </w:r>
                </w:p>
              </w:tc>
              <w:tc>
                <w:tcPr>
                  <w:tcW w:w="1800" w:type="dxa"/>
                  <w:gridSpan w:val="4"/>
                  <w:vAlign w:val="center"/>
                </w:tcPr>
                <w:p w14:paraId="03D5AAF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建筑物插入损失/dB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bookmarkStart w:id="17" w:name="PT_10"/>
                  <w:bookmarkEnd w:id="17"/>
                  <w:r>
                    <w:rPr>
                      <w:rFonts w:hint="eastAsia" w:ascii="宋体" w:hAnsi="宋体" w:cs="宋体"/>
                      <w:color w:val="auto"/>
                      <w:sz w:val="21"/>
                      <w:szCs w:val="21"/>
                      <w:lang w:eastAsia="zh-CN"/>
                    </w:rPr>
                    <w:t>）</w:t>
                  </w:r>
                </w:p>
              </w:tc>
              <w:tc>
                <w:tcPr>
                  <w:tcW w:w="2408" w:type="dxa"/>
                  <w:gridSpan w:val="5"/>
                  <w:vAlign w:val="center"/>
                </w:tcPr>
                <w:p w14:paraId="3D09993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建筑物外噪声声压级/dB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cs="宋体"/>
                      <w:color w:val="auto"/>
                      <w:sz w:val="21"/>
                      <w:szCs w:val="21"/>
                      <w:lang w:eastAsia="zh-CN"/>
                    </w:rPr>
                    <w:t>）</w:t>
                  </w:r>
                </w:p>
              </w:tc>
            </w:tr>
            <w:tr w14:paraId="4179E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6" w:hRule="atLeast"/>
                <w:jc w:val="center"/>
              </w:trPr>
              <w:tc>
                <w:tcPr>
                  <w:tcW w:w="269" w:type="dxa"/>
                  <w:vMerge w:val="continue"/>
                  <w:shd w:val="clear" w:color="auto" w:fill="FFFFFF"/>
                  <w:tcMar>
                    <w:top w:w="0" w:type="dxa"/>
                    <w:left w:w="0" w:type="dxa"/>
                    <w:bottom w:w="0" w:type="dxa"/>
                    <w:right w:w="0" w:type="dxa"/>
                  </w:tcMar>
                  <w:vAlign w:val="center"/>
                </w:tcPr>
                <w:p w14:paraId="2211D08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709" w:type="dxa"/>
                  <w:vMerge w:val="continue"/>
                  <w:shd w:val="clear" w:color="auto" w:fill="FFFFFF"/>
                  <w:tcMar>
                    <w:top w:w="0" w:type="dxa"/>
                    <w:left w:w="0" w:type="dxa"/>
                    <w:bottom w:w="0" w:type="dxa"/>
                    <w:right w:w="0" w:type="dxa"/>
                  </w:tcMar>
                  <w:vAlign w:val="center"/>
                </w:tcPr>
                <w:p w14:paraId="781752B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992" w:type="dxa"/>
                  <w:vMerge w:val="continue"/>
                  <w:shd w:val="clear" w:color="auto" w:fill="FFFFFF"/>
                  <w:tcMar>
                    <w:top w:w="0" w:type="dxa"/>
                    <w:left w:w="0" w:type="dxa"/>
                    <w:bottom w:w="0" w:type="dxa"/>
                    <w:right w:w="0" w:type="dxa"/>
                  </w:tcMar>
                  <w:vAlign w:val="center"/>
                </w:tcPr>
                <w:p w14:paraId="6BBEA40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567" w:type="dxa"/>
                  <w:shd w:val="clear" w:color="auto" w:fill="FFFFFF"/>
                  <w:tcMar>
                    <w:top w:w="0" w:type="dxa"/>
                    <w:left w:w="0" w:type="dxa"/>
                    <w:bottom w:w="0" w:type="dxa"/>
                    <w:right w:w="0" w:type="dxa"/>
                  </w:tcMar>
                  <w:vAlign w:val="center"/>
                </w:tcPr>
                <w:p w14:paraId="6B48118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声功率级/dB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w:t>
                  </w:r>
                  <w:r>
                    <w:rPr>
                      <w:rFonts w:hint="eastAsia" w:ascii="宋体" w:hAnsi="宋体" w:cs="宋体"/>
                      <w:color w:val="auto"/>
                      <w:sz w:val="21"/>
                      <w:szCs w:val="21"/>
                      <w:lang w:eastAsia="zh-CN"/>
                    </w:rPr>
                    <w:t>）</w:t>
                  </w:r>
                </w:p>
              </w:tc>
              <w:tc>
                <w:tcPr>
                  <w:tcW w:w="425" w:type="dxa"/>
                  <w:vMerge w:val="continue"/>
                  <w:shd w:val="clear" w:color="auto" w:fill="FFFFFF"/>
                  <w:tcMar>
                    <w:top w:w="0" w:type="dxa"/>
                    <w:left w:w="0" w:type="dxa"/>
                    <w:bottom w:w="0" w:type="dxa"/>
                    <w:right w:w="0" w:type="dxa"/>
                  </w:tcMar>
                  <w:vAlign w:val="center"/>
                </w:tcPr>
                <w:p w14:paraId="3037EC8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5C2870C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569" w:type="dxa"/>
                  <w:shd w:val="clear" w:color="auto" w:fill="FFFFFF"/>
                  <w:tcMar>
                    <w:top w:w="0" w:type="dxa"/>
                    <w:left w:w="0" w:type="dxa"/>
                    <w:bottom w:w="0" w:type="dxa"/>
                    <w:right w:w="0" w:type="dxa"/>
                  </w:tcMar>
                  <w:vAlign w:val="center"/>
                </w:tcPr>
                <w:p w14:paraId="3C86EE3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Y</w:t>
                  </w:r>
                </w:p>
              </w:tc>
              <w:tc>
                <w:tcPr>
                  <w:tcW w:w="571" w:type="dxa"/>
                  <w:shd w:val="clear" w:color="auto" w:fill="FFFFFF"/>
                  <w:tcMar>
                    <w:top w:w="0" w:type="dxa"/>
                    <w:left w:w="0" w:type="dxa"/>
                    <w:bottom w:w="0" w:type="dxa"/>
                    <w:right w:w="0" w:type="dxa"/>
                  </w:tcMar>
                  <w:vAlign w:val="center"/>
                </w:tcPr>
                <w:p w14:paraId="28B758E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Z</w:t>
                  </w:r>
                </w:p>
              </w:tc>
              <w:tc>
                <w:tcPr>
                  <w:tcW w:w="472" w:type="dxa"/>
                  <w:shd w:val="clear" w:color="auto" w:fill="FFFFFF"/>
                  <w:tcMar>
                    <w:top w:w="0" w:type="dxa"/>
                    <w:left w:w="0" w:type="dxa"/>
                    <w:bottom w:w="0" w:type="dxa"/>
                    <w:right w:w="0" w:type="dxa"/>
                  </w:tcMar>
                  <w:vAlign w:val="center"/>
                </w:tcPr>
                <w:p w14:paraId="4944ACD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472" w:type="dxa"/>
                  <w:shd w:val="clear" w:color="auto" w:fill="FFFFFF"/>
                  <w:tcMar>
                    <w:top w:w="0" w:type="dxa"/>
                    <w:left w:w="0" w:type="dxa"/>
                    <w:bottom w:w="0" w:type="dxa"/>
                    <w:right w:w="0" w:type="dxa"/>
                  </w:tcMar>
                  <w:vAlign w:val="center"/>
                </w:tcPr>
                <w:p w14:paraId="3FB0B88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472" w:type="dxa"/>
                  <w:shd w:val="clear" w:color="auto" w:fill="FFFFFF"/>
                  <w:tcMar>
                    <w:top w:w="0" w:type="dxa"/>
                    <w:left w:w="0" w:type="dxa"/>
                    <w:bottom w:w="0" w:type="dxa"/>
                    <w:right w:w="0" w:type="dxa"/>
                  </w:tcMar>
                  <w:vAlign w:val="center"/>
                </w:tcPr>
                <w:p w14:paraId="3A2B2DE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475" w:type="dxa"/>
                  <w:shd w:val="clear" w:color="auto" w:fill="FFFFFF"/>
                  <w:tcMar>
                    <w:top w:w="0" w:type="dxa"/>
                    <w:left w:w="0" w:type="dxa"/>
                    <w:bottom w:w="0" w:type="dxa"/>
                    <w:right w:w="0" w:type="dxa"/>
                  </w:tcMar>
                  <w:vAlign w:val="center"/>
                </w:tcPr>
                <w:p w14:paraId="32EBDCB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466" w:type="dxa"/>
                  <w:shd w:val="clear" w:color="auto" w:fill="FFFFFF"/>
                  <w:tcMar>
                    <w:top w:w="0" w:type="dxa"/>
                    <w:left w:w="0" w:type="dxa"/>
                    <w:bottom w:w="0" w:type="dxa"/>
                    <w:right w:w="0" w:type="dxa"/>
                  </w:tcMar>
                  <w:vAlign w:val="center"/>
                </w:tcPr>
                <w:p w14:paraId="48C8DE49">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466" w:type="dxa"/>
                  <w:shd w:val="clear" w:color="auto" w:fill="FFFFFF"/>
                  <w:tcMar>
                    <w:top w:w="0" w:type="dxa"/>
                    <w:left w:w="0" w:type="dxa"/>
                    <w:bottom w:w="0" w:type="dxa"/>
                    <w:right w:w="0" w:type="dxa"/>
                  </w:tcMar>
                  <w:vAlign w:val="center"/>
                </w:tcPr>
                <w:p w14:paraId="793E6EE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466" w:type="dxa"/>
                  <w:shd w:val="clear" w:color="auto" w:fill="FFFFFF"/>
                  <w:tcMar>
                    <w:top w:w="0" w:type="dxa"/>
                    <w:left w:w="0" w:type="dxa"/>
                    <w:bottom w:w="0" w:type="dxa"/>
                    <w:right w:w="0" w:type="dxa"/>
                  </w:tcMar>
                  <w:vAlign w:val="center"/>
                </w:tcPr>
                <w:p w14:paraId="7364C1A8">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468" w:type="dxa"/>
                  <w:shd w:val="clear" w:color="auto" w:fill="FFFFFF"/>
                  <w:tcMar>
                    <w:top w:w="0" w:type="dxa"/>
                    <w:left w:w="0" w:type="dxa"/>
                    <w:bottom w:w="0" w:type="dxa"/>
                    <w:right w:w="0" w:type="dxa"/>
                  </w:tcMar>
                  <w:vAlign w:val="center"/>
                </w:tcPr>
                <w:p w14:paraId="2771CEA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404" w:type="dxa"/>
                  <w:vMerge w:val="continue"/>
                  <w:shd w:val="clear" w:color="auto" w:fill="FFFFFF"/>
                  <w:tcMar>
                    <w:top w:w="0" w:type="dxa"/>
                    <w:left w:w="0" w:type="dxa"/>
                    <w:bottom w:w="0" w:type="dxa"/>
                    <w:right w:w="0" w:type="dxa"/>
                  </w:tcMar>
                  <w:vAlign w:val="center"/>
                </w:tcPr>
                <w:p w14:paraId="2C4B6D6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50" w:type="dxa"/>
                  <w:shd w:val="clear" w:color="auto" w:fill="FFFFFF"/>
                  <w:tcMar>
                    <w:top w:w="0" w:type="dxa"/>
                    <w:left w:w="0" w:type="dxa"/>
                    <w:bottom w:w="0" w:type="dxa"/>
                    <w:right w:w="0" w:type="dxa"/>
                  </w:tcMar>
                  <w:vAlign w:val="center"/>
                </w:tcPr>
                <w:p w14:paraId="7D9CBF8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450" w:type="dxa"/>
                  <w:shd w:val="clear" w:color="auto" w:fill="FFFFFF"/>
                  <w:tcMar>
                    <w:top w:w="0" w:type="dxa"/>
                    <w:left w:w="0" w:type="dxa"/>
                    <w:bottom w:w="0" w:type="dxa"/>
                    <w:right w:w="0" w:type="dxa"/>
                  </w:tcMar>
                  <w:vAlign w:val="center"/>
                </w:tcPr>
                <w:p w14:paraId="3DB2C10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450" w:type="dxa"/>
                  <w:shd w:val="clear" w:color="auto" w:fill="FFFFFF"/>
                  <w:tcMar>
                    <w:top w:w="0" w:type="dxa"/>
                    <w:left w:w="0" w:type="dxa"/>
                    <w:bottom w:w="0" w:type="dxa"/>
                    <w:right w:w="0" w:type="dxa"/>
                  </w:tcMar>
                  <w:vAlign w:val="center"/>
                </w:tcPr>
                <w:p w14:paraId="4C762CF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450" w:type="dxa"/>
                  <w:shd w:val="clear" w:color="auto" w:fill="FFFFFF"/>
                  <w:tcMar>
                    <w:top w:w="0" w:type="dxa"/>
                    <w:left w:w="0" w:type="dxa"/>
                    <w:bottom w:w="0" w:type="dxa"/>
                    <w:right w:w="0" w:type="dxa"/>
                  </w:tcMar>
                  <w:vAlign w:val="center"/>
                </w:tcPr>
                <w:p w14:paraId="39249F32">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479" w:type="dxa"/>
                  <w:shd w:val="clear" w:color="auto" w:fill="FFFFFF"/>
                  <w:tcMar>
                    <w:top w:w="0" w:type="dxa"/>
                    <w:left w:w="0" w:type="dxa"/>
                    <w:bottom w:w="0" w:type="dxa"/>
                    <w:right w:w="0" w:type="dxa"/>
                  </w:tcMar>
                  <w:vAlign w:val="center"/>
                </w:tcPr>
                <w:p w14:paraId="35739B1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w:t>
                  </w:r>
                </w:p>
              </w:tc>
              <w:tc>
                <w:tcPr>
                  <w:tcW w:w="479" w:type="dxa"/>
                  <w:shd w:val="clear" w:color="auto" w:fill="FFFFFF"/>
                  <w:tcMar>
                    <w:top w:w="0" w:type="dxa"/>
                    <w:left w:w="0" w:type="dxa"/>
                    <w:bottom w:w="0" w:type="dxa"/>
                    <w:right w:w="0" w:type="dxa"/>
                  </w:tcMar>
                  <w:vAlign w:val="center"/>
                </w:tcPr>
                <w:p w14:paraId="59CCD34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南</w:t>
                  </w:r>
                </w:p>
              </w:tc>
              <w:tc>
                <w:tcPr>
                  <w:tcW w:w="479" w:type="dxa"/>
                  <w:shd w:val="clear" w:color="auto" w:fill="FFFFFF"/>
                  <w:tcMar>
                    <w:top w:w="0" w:type="dxa"/>
                    <w:left w:w="0" w:type="dxa"/>
                    <w:bottom w:w="0" w:type="dxa"/>
                    <w:right w:w="0" w:type="dxa"/>
                  </w:tcMar>
                  <w:vAlign w:val="center"/>
                </w:tcPr>
                <w:p w14:paraId="249FCAE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西</w:t>
                  </w:r>
                </w:p>
              </w:tc>
              <w:tc>
                <w:tcPr>
                  <w:tcW w:w="480" w:type="dxa"/>
                  <w:shd w:val="clear" w:color="auto" w:fill="FFFFFF"/>
                  <w:tcMar>
                    <w:top w:w="0" w:type="dxa"/>
                    <w:left w:w="0" w:type="dxa"/>
                    <w:bottom w:w="0" w:type="dxa"/>
                    <w:right w:w="0" w:type="dxa"/>
                  </w:tcMar>
                  <w:vAlign w:val="center"/>
                </w:tcPr>
                <w:p w14:paraId="5F63E4C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北</w:t>
                  </w:r>
                </w:p>
              </w:tc>
              <w:tc>
                <w:tcPr>
                  <w:tcW w:w="491" w:type="dxa"/>
                  <w:shd w:val="clear" w:color="auto" w:fill="FFFFFF"/>
                  <w:tcMar>
                    <w:top w:w="0" w:type="dxa"/>
                    <w:left w:w="0" w:type="dxa"/>
                    <w:bottom w:w="0" w:type="dxa"/>
                    <w:right w:w="0" w:type="dxa"/>
                  </w:tcMar>
                  <w:vAlign w:val="center"/>
                </w:tcPr>
                <w:p w14:paraId="1F8E67A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建筑物外距离</w:t>
                  </w:r>
                </w:p>
              </w:tc>
            </w:tr>
            <w:tr w14:paraId="7FF7A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4" w:hRule="atLeast"/>
                <w:jc w:val="center"/>
              </w:trPr>
              <w:tc>
                <w:tcPr>
                  <w:tcW w:w="269" w:type="dxa"/>
                  <w:shd w:val="clear" w:color="auto" w:fill="FFFFFF"/>
                  <w:tcMar>
                    <w:top w:w="0" w:type="dxa"/>
                    <w:left w:w="0" w:type="dxa"/>
                    <w:bottom w:w="0" w:type="dxa"/>
                    <w:right w:w="0" w:type="dxa"/>
                  </w:tcMar>
                  <w:vAlign w:val="center"/>
                </w:tcPr>
                <w:p w14:paraId="68E5C2B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c>
                <w:tcPr>
                  <w:tcW w:w="709" w:type="dxa"/>
                  <w:shd w:val="clear" w:color="auto" w:fill="FFFFFF"/>
                  <w:tcMar>
                    <w:top w:w="0" w:type="dxa"/>
                    <w:left w:w="0" w:type="dxa"/>
                    <w:bottom w:w="0" w:type="dxa"/>
                    <w:right w:w="0" w:type="dxa"/>
                  </w:tcMar>
                  <w:vAlign w:val="center"/>
                </w:tcPr>
                <w:p w14:paraId="372E90A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1A16261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cs="宋体"/>
                      <w:sz w:val="21"/>
                      <w:szCs w:val="21"/>
                      <w:lang w:val="en-US" w:eastAsia="zh-CN"/>
                    </w:rPr>
                    <w:t>和面机</w:t>
                  </w:r>
                </w:p>
              </w:tc>
              <w:tc>
                <w:tcPr>
                  <w:tcW w:w="567" w:type="dxa"/>
                  <w:shd w:val="clear" w:color="auto" w:fill="FFFFFF"/>
                  <w:tcMar>
                    <w:top w:w="0" w:type="dxa"/>
                    <w:left w:w="0" w:type="dxa"/>
                    <w:bottom w:w="0" w:type="dxa"/>
                    <w:right w:w="0" w:type="dxa"/>
                  </w:tcMar>
                  <w:vAlign w:val="center"/>
                </w:tcPr>
                <w:p w14:paraId="03C21940">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7</w:t>
                  </w:r>
                  <w:r>
                    <w:rPr>
                      <w:rFonts w:hint="eastAsia" w:ascii="宋体" w:hAnsi="宋体" w:eastAsia="宋体" w:cs="宋体"/>
                      <w:sz w:val="21"/>
                      <w:szCs w:val="21"/>
                      <w:lang w:val="en-US" w:eastAsia="zh-CN"/>
                    </w:rPr>
                    <w:t>0</w:t>
                  </w:r>
                </w:p>
              </w:tc>
              <w:tc>
                <w:tcPr>
                  <w:tcW w:w="425" w:type="dxa"/>
                  <w:vMerge w:val="restart"/>
                  <w:shd w:val="clear" w:color="auto" w:fill="FFFFFF"/>
                  <w:tcMar>
                    <w:top w:w="0" w:type="dxa"/>
                    <w:left w:w="0" w:type="dxa"/>
                    <w:bottom w:w="0" w:type="dxa"/>
                    <w:right w:w="0" w:type="dxa"/>
                  </w:tcMar>
                  <w:vAlign w:val="center"/>
                </w:tcPr>
                <w:p w14:paraId="12C0D9C2">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基</w:t>
                  </w:r>
                </w:p>
                <w:p w14:paraId="4D31F26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础</w:t>
                  </w:r>
                </w:p>
                <w:p w14:paraId="3C4A5BD3">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减震、</w:t>
                  </w:r>
                </w:p>
                <w:p w14:paraId="4E29A738">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隔</w:t>
                  </w:r>
                </w:p>
                <w:p w14:paraId="389FCD1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w:t>
                  </w:r>
                </w:p>
              </w:tc>
              <w:tc>
                <w:tcPr>
                  <w:tcW w:w="414" w:type="dxa"/>
                  <w:shd w:val="clear" w:color="auto" w:fill="FFFFFF"/>
                  <w:tcMar>
                    <w:top w:w="0" w:type="dxa"/>
                    <w:left w:w="0" w:type="dxa"/>
                    <w:bottom w:w="0" w:type="dxa"/>
                    <w:right w:w="0" w:type="dxa"/>
                  </w:tcMar>
                  <w:vAlign w:val="center"/>
                </w:tcPr>
                <w:p w14:paraId="734E548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w:t>
                  </w:r>
                </w:p>
              </w:tc>
              <w:tc>
                <w:tcPr>
                  <w:tcW w:w="569" w:type="dxa"/>
                  <w:shd w:val="clear" w:color="auto" w:fill="FFFFFF"/>
                  <w:tcMar>
                    <w:top w:w="0" w:type="dxa"/>
                    <w:left w:w="0" w:type="dxa"/>
                    <w:bottom w:w="0" w:type="dxa"/>
                    <w:right w:w="0" w:type="dxa"/>
                  </w:tcMar>
                  <w:vAlign w:val="center"/>
                </w:tcPr>
                <w:p w14:paraId="48FDA8E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9.8</w:t>
                  </w:r>
                </w:p>
              </w:tc>
              <w:tc>
                <w:tcPr>
                  <w:tcW w:w="571" w:type="dxa"/>
                  <w:shd w:val="clear" w:color="auto" w:fill="FFFFFF"/>
                  <w:tcMar>
                    <w:top w:w="0" w:type="dxa"/>
                    <w:left w:w="0" w:type="dxa"/>
                    <w:bottom w:w="0" w:type="dxa"/>
                    <w:right w:w="0" w:type="dxa"/>
                  </w:tcMar>
                  <w:vAlign w:val="center"/>
                </w:tcPr>
                <w:p w14:paraId="3A408DC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71B2AAA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39.3</w:t>
                  </w:r>
                </w:p>
              </w:tc>
              <w:tc>
                <w:tcPr>
                  <w:tcW w:w="472" w:type="dxa"/>
                  <w:shd w:val="clear" w:color="auto" w:fill="FFFFFF"/>
                  <w:tcMar>
                    <w:top w:w="0" w:type="dxa"/>
                    <w:left w:w="0" w:type="dxa"/>
                    <w:bottom w:w="0" w:type="dxa"/>
                    <w:right w:w="0" w:type="dxa"/>
                  </w:tcMar>
                  <w:vAlign w:val="center"/>
                </w:tcPr>
                <w:p w14:paraId="19FFF60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26.2</w:t>
                  </w:r>
                </w:p>
              </w:tc>
              <w:tc>
                <w:tcPr>
                  <w:tcW w:w="472" w:type="dxa"/>
                  <w:shd w:val="clear" w:color="auto" w:fill="FFFFFF"/>
                  <w:tcMar>
                    <w:top w:w="0" w:type="dxa"/>
                    <w:left w:w="0" w:type="dxa"/>
                    <w:bottom w:w="0" w:type="dxa"/>
                    <w:right w:w="0" w:type="dxa"/>
                  </w:tcMar>
                  <w:vAlign w:val="center"/>
                </w:tcPr>
                <w:p w14:paraId="3830BEB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45.5</w:t>
                  </w:r>
                </w:p>
              </w:tc>
              <w:tc>
                <w:tcPr>
                  <w:tcW w:w="475" w:type="dxa"/>
                  <w:shd w:val="clear" w:color="auto" w:fill="FFFFFF"/>
                  <w:tcMar>
                    <w:top w:w="0" w:type="dxa"/>
                    <w:left w:w="0" w:type="dxa"/>
                    <w:bottom w:w="0" w:type="dxa"/>
                    <w:right w:w="0" w:type="dxa"/>
                  </w:tcMar>
                  <w:vAlign w:val="center"/>
                </w:tcPr>
                <w:p w14:paraId="1E690A5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5.8</w:t>
                  </w:r>
                </w:p>
              </w:tc>
              <w:tc>
                <w:tcPr>
                  <w:tcW w:w="466" w:type="dxa"/>
                  <w:shd w:val="clear" w:color="auto" w:fill="FFFFFF"/>
                  <w:tcMar>
                    <w:top w:w="0" w:type="dxa"/>
                    <w:left w:w="0" w:type="dxa"/>
                    <w:bottom w:w="0" w:type="dxa"/>
                    <w:right w:w="0" w:type="dxa"/>
                  </w:tcMar>
                  <w:vAlign w:val="center"/>
                </w:tcPr>
                <w:p w14:paraId="155DA50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6" w:type="dxa"/>
                  <w:shd w:val="clear" w:color="auto" w:fill="FFFFFF"/>
                  <w:tcMar>
                    <w:top w:w="0" w:type="dxa"/>
                    <w:left w:w="0" w:type="dxa"/>
                    <w:bottom w:w="0" w:type="dxa"/>
                    <w:right w:w="0" w:type="dxa"/>
                  </w:tcMar>
                  <w:vAlign w:val="center"/>
                </w:tcPr>
                <w:p w14:paraId="0719226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6" w:type="dxa"/>
                  <w:shd w:val="clear" w:color="auto" w:fill="FFFFFF"/>
                  <w:tcMar>
                    <w:top w:w="0" w:type="dxa"/>
                    <w:left w:w="0" w:type="dxa"/>
                    <w:bottom w:w="0" w:type="dxa"/>
                    <w:right w:w="0" w:type="dxa"/>
                  </w:tcMar>
                  <w:vAlign w:val="center"/>
                </w:tcPr>
                <w:p w14:paraId="2D5F1CA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8" w:type="dxa"/>
                  <w:shd w:val="clear" w:color="auto" w:fill="FFFFFF"/>
                  <w:tcMar>
                    <w:top w:w="0" w:type="dxa"/>
                    <w:left w:w="0" w:type="dxa"/>
                    <w:bottom w:w="0" w:type="dxa"/>
                    <w:right w:w="0" w:type="dxa"/>
                  </w:tcMar>
                  <w:vAlign w:val="center"/>
                </w:tcPr>
                <w:p w14:paraId="2E1652E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54.7</w:t>
                  </w:r>
                </w:p>
              </w:tc>
              <w:tc>
                <w:tcPr>
                  <w:tcW w:w="404" w:type="dxa"/>
                  <w:shd w:val="clear" w:color="auto" w:fill="FFFFFF"/>
                  <w:tcMar>
                    <w:top w:w="0" w:type="dxa"/>
                    <w:left w:w="0" w:type="dxa"/>
                    <w:bottom w:w="0" w:type="dxa"/>
                    <w:right w:w="0" w:type="dxa"/>
                  </w:tcMar>
                  <w:vAlign w:val="center"/>
                </w:tcPr>
                <w:p w14:paraId="2C97D09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2D82365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3410C49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47A6F68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4639B91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73E3BB2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79" w:type="dxa"/>
                  <w:shd w:val="clear" w:color="auto" w:fill="FFFFFF"/>
                  <w:tcMar>
                    <w:top w:w="0" w:type="dxa"/>
                    <w:left w:w="0" w:type="dxa"/>
                    <w:bottom w:w="0" w:type="dxa"/>
                    <w:right w:w="0" w:type="dxa"/>
                  </w:tcMar>
                  <w:vAlign w:val="center"/>
                </w:tcPr>
                <w:p w14:paraId="6CE8BD2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79" w:type="dxa"/>
                  <w:shd w:val="clear" w:color="auto" w:fill="FFFFFF"/>
                  <w:tcMar>
                    <w:top w:w="0" w:type="dxa"/>
                    <w:left w:w="0" w:type="dxa"/>
                    <w:bottom w:w="0" w:type="dxa"/>
                    <w:right w:w="0" w:type="dxa"/>
                  </w:tcMar>
                  <w:vAlign w:val="center"/>
                </w:tcPr>
                <w:p w14:paraId="502F3D2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80" w:type="dxa"/>
                  <w:shd w:val="clear" w:color="auto" w:fill="FFFFFF"/>
                  <w:tcMar>
                    <w:top w:w="0" w:type="dxa"/>
                    <w:left w:w="0" w:type="dxa"/>
                    <w:bottom w:w="0" w:type="dxa"/>
                    <w:right w:w="0" w:type="dxa"/>
                  </w:tcMar>
                  <w:vAlign w:val="center"/>
                </w:tcPr>
                <w:p w14:paraId="7DFCFDD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28.7</w:t>
                  </w:r>
                </w:p>
              </w:tc>
              <w:tc>
                <w:tcPr>
                  <w:tcW w:w="491" w:type="dxa"/>
                  <w:shd w:val="clear" w:color="auto" w:fill="FFFFFF"/>
                  <w:tcMar>
                    <w:top w:w="0" w:type="dxa"/>
                    <w:left w:w="0" w:type="dxa"/>
                    <w:bottom w:w="0" w:type="dxa"/>
                    <w:right w:w="0" w:type="dxa"/>
                  </w:tcMar>
                  <w:vAlign w:val="center"/>
                </w:tcPr>
                <w:p w14:paraId="5FE8DDC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3E367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15" w:hRule="atLeast"/>
                <w:jc w:val="center"/>
              </w:trPr>
              <w:tc>
                <w:tcPr>
                  <w:tcW w:w="269" w:type="dxa"/>
                  <w:shd w:val="clear" w:color="auto" w:fill="FFFFFF"/>
                  <w:tcMar>
                    <w:top w:w="0" w:type="dxa"/>
                    <w:left w:w="0" w:type="dxa"/>
                    <w:bottom w:w="0" w:type="dxa"/>
                    <w:right w:w="0" w:type="dxa"/>
                  </w:tcMar>
                  <w:vAlign w:val="center"/>
                </w:tcPr>
                <w:p w14:paraId="192586B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w:t>
                  </w:r>
                </w:p>
              </w:tc>
              <w:tc>
                <w:tcPr>
                  <w:tcW w:w="709" w:type="dxa"/>
                  <w:shd w:val="clear" w:color="auto" w:fill="FFFFFF"/>
                  <w:tcMar>
                    <w:top w:w="0" w:type="dxa"/>
                    <w:left w:w="0" w:type="dxa"/>
                    <w:bottom w:w="0" w:type="dxa"/>
                    <w:right w:w="0" w:type="dxa"/>
                  </w:tcMar>
                  <w:vAlign w:val="center"/>
                </w:tcPr>
                <w:p w14:paraId="3120AE2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0D8249D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rPr>
                    <w:t>和面机（搅拌机</w:t>
                  </w:r>
                  <w:r>
                    <w:rPr>
                      <w:rFonts w:hint="eastAsia" w:ascii="宋体" w:hAnsi="宋体" w:cs="宋体"/>
                      <w:sz w:val="21"/>
                      <w:szCs w:val="21"/>
                      <w:lang w:eastAsia="zh-CN"/>
                    </w:rPr>
                    <w:t>）</w:t>
                  </w:r>
                </w:p>
              </w:tc>
              <w:tc>
                <w:tcPr>
                  <w:tcW w:w="567" w:type="dxa"/>
                  <w:shd w:val="clear" w:color="auto" w:fill="FFFFFF"/>
                  <w:tcMar>
                    <w:top w:w="0" w:type="dxa"/>
                    <w:left w:w="0" w:type="dxa"/>
                    <w:bottom w:w="0" w:type="dxa"/>
                    <w:right w:w="0" w:type="dxa"/>
                  </w:tcMar>
                  <w:vAlign w:val="center"/>
                </w:tcPr>
                <w:p w14:paraId="417D094E">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70</w:t>
                  </w:r>
                </w:p>
              </w:tc>
              <w:tc>
                <w:tcPr>
                  <w:tcW w:w="425" w:type="dxa"/>
                  <w:vMerge w:val="continue"/>
                  <w:shd w:val="clear" w:color="auto" w:fill="FFFFFF"/>
                  <w:tcMar>
                    <w:top w:w="0" w:type="dxa"/>
                    <w:left w:w="0" w:type="dxa"/>
                    <w:bottom w:w="0" w:type="dxa"/>
                    <w:right w:w="0" w:type="dxa"/>
                  </w:tcMar>
                  <w:vAlign w:val="center"/>
                </w:tcPr>
                <w:p w14:paraId="11881F6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6162D72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-11.1</w:t>
                  </w:r>
                </w:p>
              </w:tc>
              <w:tc>
                <w:tcPr>
                  <w:tcW w:w="569" w:type="dxa"/>
                  <w:shd w:val="clear" w:color="auto" w:fill="FFFFFF"/>
                  <w:tcMar>
                    <w:top w:w="0" w:type="dxa"/>
                    <w:left w:w="0" w:type="dxa"/>
                    <w:bottom w:w="0" w:type="dxa"/>
                    <w:right w:w="0" w:type="dxa"/>
                  </w:tcMar>
                  <w:vAlign w:val="center"/>
                </w:tcPr>
                <w:p w14:paraId="09A4F3A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8</w:t>
                  </w:r>
                </w:p>
              </w:tc>
              <w:tc>
                <w:tcPr>
                  <w:tcW w:w="571" w:type="dxa"/>
                  <w:shd w:val="clear" w:color="auto" w:fill="FFFFFF"/>
                  <w:tcMar>
                    <w:top w:w="0" w:type="dxa"/>
                    <w:left w:w="0" w:type="dxa"/>
                    <w:bottom w:w="0" w:type="dxa"/>
                    <w:right w:w="0" w:type="dxa"/>
                  </w:tcMar>
                  <w:vAlign w:val="center"/>
                </w:tcPr>
                <w:p w14:paraId="41AE4A3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14563F1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54.2</w:t>
                  </w:r>
                </w:p>
              </w:tc>
              <w:tc>
                <w:tcPr>
                  <w:tcW w:w="472" w:type="dxa"/>
                  <w:shd w:val="clear" w:color="auto" w:fill="FFFFFF"/>
                  <w:tcMar>
                    <w:top w:w="0" w:type="dxa"/>
                    <w:left w:w="0" w:type="dxa"/>
                    <w:bottom w:w="0" w:type="dxa"/>
                    <w:right w:w="0" w:type="dxa"/>
                  </w:tcMar>
                  <w:vAlign w:val="center"/>
                </w:tcPr>
                <w:p w14:paraId="27317F1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23.9</w:t>
                  </w:r>
                </w:p>
              </w:tc>
              <w:tc>
                <w:tcPr>
                  <w:tcW w:w="472" w:type="dxa"/>
                  <w:shd w:val="clear" w:color="auto" w:fill="FFFFFF"/>
                  <w:tcMar>
                    <w:top w:w="0" w:type="dxa"/>
                    <w:left w:w="0" w:type="dxa"/>
                    <w:bottom w:w="0" w:type="dxa"/>
                    <w:right w:w="0" w:type="dxa"/>
                  </w:tcMar>
                  <w:vAlign w:val="center"/>
                </w:tcPr>
                <w:p w14:paraId="3073707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30.6</w:t>
                  </w:r>
                </w:p>
              </w:tc>
              <w:tc>
                <w:tcPr>
                  <w:tcW w:w="475" w:type="dxa"/>
                  <w:shd w:val="clear" w:color="auto" w:fill="FFFFFF"/>
                  <w:tcMar>
                    <w:top w:w="0" w:type="dxa"/>
                    <w:left w:w="0" w:type="dxa"/>
                    <w:bottom w:w="0" w:type="dxa"/>
                    <w:right w:w="0" w:type="dxa"/>
                  </w:tcMar>
                  <w:vAlign w:val="center"/>
                </w:tcPr>
                <w:p w14:paraId="52E13EA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8.2</w:t>
                  </w:r>
                </w:p>
              </w:tc>
              <w:tc>
                <w:tcPr>
                  <w:tcW w:w="466" w:type="dxa"/>
                  <w:shd w:val="clear" w:color="auto" w:fill="FFFFFF"/>
                  <w:tcMar>
                    <w:top w:w="0" w:type="dxa"/>
                    <w:left w:w="0" w:type="dxa"/>
                    <w:bottom w:w="0" w:type="dxa"/>
                    <w:right w:w="0" w:type="dxa"/>
                  </w:tcMar>
                  <w:vAlign w:val="center"/>
                </w:tcPr>
                <w:p w14:paraId="0092B21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6" w:type="dxa"/>
                  <w:shd w:val="clear" w:color="auto" w:fill="FFFFFF"/>
                  <w:tcMar>
                    <w:top w:w="0" w:type="dxa"/>
                    <w:left w:w="0" w:type="dxa"/>
                    <w:bottom w:w="0" w:type="dxa"/>
                    <w:right w:w="0" w:type="dxa"/>
                  </w:tcMar>
                  <w:vAlign w:val="center"/>
                </w:tcPr>
                <w:p w14:paraId="3913735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6" w:type="dxa"/>
                  <w:shd w:val="clear" w:color="auto" w:fill="FFFFFF"/>
                  <w:tcMar>
                    <w:top w:w="0" w:type="dxa"/>
                    <w:left w:w="0" w:type="dxa"/>
                    <w:bottom w:w="0" w:type="dxa"/>
                    <w:right w:w="0" w:type="dxa"/>
                  </w:tcMar>
                  <w:vAlign w:val="center"/>
                </w:tcPr>
                <w:p w14:paraId="469B1EE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54.3</w:t>
                  </w:r>
                </w:p>
              </w:tc>
              <w:tc>
                <w:tcPr>
                  <w:tcW w:w="468" w:type="dxa"/>
                  <w:shd w:val="clear" w:color="auto" w:fill="FFFFFF"/>
                  <w:tcMar>
                    <w:top w:w="0" w:type="dxa"/>
                    <w:left w:w="0" w:type="dxa"/>
                    <w:bottom w:w="0" w:type="dxa"/>
                    <w:right w:w="0" w:type="dxa"/>
                  </w:tcMar>
                  <w:vAlign w:val="center"/>
                </w:tcPr>
                <w:p w14:paraId="271FFCF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54.5</w:t>
                  </w:r>
                </w:p>
              </w:tc>
              <w:tc>
                <w:tcPr>
                  <w:tcW w:w="404" w:type="dxa"/>
                  <w:shd w:val="clear" w:color="auto" w:fill="FFFFFF"/>
                  <w:tcMar>
                    <w:top w:w="0" w:type="dxa"/>
                    <w:left w:w="0" w:type="dxa"/>
                    <w:bottom w:w="0" w:type="dxa"/>
                    <w:right w:w="0" w:type="dxa"/>
                  </w:tcMar>
                  <w:vAlign w:val="center"/>
                </w:tcPr>
                <w:p w14:paraId="49499C2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0280983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4BCE402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524A90B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6465F79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7B927276">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79" w:type="dxa"/>
                  <w:shd w:val="clear" w:color="auto" w:fill="FFFFFF"/>
                  <w:tcMar>
                    <w:top w:w="0" w:type="dxa"/>
                    <w:left w:w="0" w:type="dxa"/>
                    <w:bottom w:w="0" w:type="dxa"/>
                    <w:right w:w="0" w:type="dxa"/>
                  </w:tcMar>
                  <w:vAlign w:val="center"/>
                </w:tcPr>
                <w:p w14:paraId="46807BA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79" w:type="dxa"/>
                  <w:shd w:val="clear" w:color="auto" w:fill="FFFFFF"/>
                  <w:tcMar>
                    <w:top w:w="0" w:type="dxa"/>
                    <w:left w:w="0" w:type="dxa"/>
                    <w:bottom w:w="0" w:type="dxa"/>
                    <w:right w:w="0" w:type="dxa"/>
                  </w:tcMar>
                  <w:vAlign w:val="center"/>
                </w:tcPr>
                <w:p w14:paraId="0B2CC8E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28.3</w:t>
                  </w:r>
                </w:p>
              </w:tc>
              <w:tc>
                <w:tcPr>
                  <w:tcW w:w="480" w:type="dxa"/>
                  <w:shd w:val="clear" w:color="auto" w:fill="FFFFFF"/>
                  <w:tcMar>
                    <w:top w:w="0" w:type="dxa"/>
                    <w:left w:w="0" w:type="dxa"/>
                    <w:bottom w:w="0" w:type="dxa"/>
                    <w:right w:w="0" w:type="dxa"/>
                  </w:tcMar>
                  <w:vAlign w:val="center"/>
                </w:tcPr>
                <w:p w14:paraId="6C80B83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28.5</w:t>
                  </w:r>
                </w:p>
              </w:tc>
              <w:tc>
                <w:tcPr>
                  <w:tcW w:w="491" w:type="dxa"/>
                  <w:shd w:val="clear" w:color="auto" w:fill="FFFFFF"/>
                  <w:tcMar>
                    <w:top w:w="0" w:type="dxa"/>
                    <w:left w:w="0" w:type="dxa"/>
                    <w:bottom w:w="0" w:type="dxa"/>
                    <w:right w:w="0" w:type="dxa"/>
                  </w:tcMar>
                  <w:vAlign w:val="center"/>
                </w:tcPr>
                <w:p w14:paraId="02CEFFF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44D09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21" w:hRule="atLeast"/>
                <w:jc w:val="center"/>
              </w:trPr>
              <w:tc>
                <w:tcPr>
                  <w:tcW w:w="269" w:type="dxa"/>
                  <w:shd w:val="clear" w:color="auto" w:fill="FFFFFF"/>
                  <w:tcMar>
                    <w:top w:w="0" w:type="dxa"/>
                    <w:left w:w="0" w:type="dxa"/>
                    <w:bottom w:w="0" w:type="dxa"/>
                    <w:right w:w="0" w:type="dxa"/>
                  </w:tcMar>
                  <w:vAlign w:val="center"/>
                </w:tcPr>
                <w:p w14:paraId="77CB03E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3</w:t>
                  </w:r>
                </w:p>
              </w:tc>
              <w:tc>
                <w:tcPr>
                  <w:tcW w:w="709" w:type="dxa"/>
                  <w:shd w:val="clear" w:color="auto" w:fill="FFFFFF"/>
                  <w:tcMar>
                    <w:top w:w="0" w:type="dxa"/>
                    <w:left w:w="0" w:type="dxa"/>
                    <w:bottom w:w="0" w:type="dxa"/>
                    <w:right w:w="0" w:type="dxa"/>
                  </w:tcMar>
                  <w:vAlign w:val="center"/>
                </w:tcPr>
                <w:p w14:paraId="0EA0C83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26C8999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蔬菜清洗机</w:t>
                  </w:r>
                </w:p>
              </w:tc>
              <w:tc>
                <w:tcPr>
                  <w:tcW w:w="567" w:type="dxa"/>
                  <w:shd w:val="clear" w:color="auto" w:fill="FFFFFF"/>
                  <w:tcMar>
                    <w:top w:w="0" w:type="dxa"/>
                    <w:left w:w="0" w:type="dxa"/>
                    <w:bottom w:w="0" w:type="dxa"/>
                    <w:right w:w="0" w:type="dxa"/>
                  </w:tcMar>
                  <w:vAlign w:val="center"/>
                </w:tcPr>
                <w:p w14:paraId="427B9AD8">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70</w:t>
                  </w:r>
                </w:p>
              </w:tc>
              <w:tc>
                <w:tcPr>
                  <w:tcW w:w="425" w:type="dxa"/>
                  <w:vMerge w:val="continue"/>
                  <w:shd w:val="clear" w:color="auto" w:fill="FFFFFF"/>
                  <w:tcMar>
                    <w:top w:w="0" w:type="dxa"/>
                    <w:left w:w="0" w:type="dxa"/>
                    <w:bottom w:w="0" w:type="dxa"/>
                    <w:right w:w="0" w:type="dxa"/>
                  </w:tcMar>
                  <w:vAlign w:val="center"/>
                </w:tcPr>
                <w:p w14:paraId="790394E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2931CD4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-18.7</w:t>
                  </w:r>
                </w:p>
              </w:tc>
              <w:tc>
                <w:tcPr>
                  <w:tcW w:w="569" w:type="dxa"/>
                  <w:shd w:val="clear" w:color="auto" w:fill="FFFFFF"/>
                  <w:tcMar>
                    <w:top w:w="0" w:type="dxa"/>
                    <w:left w:w="0" w:type="dxa"/>
                    <w:bottom w:w="0" w:type="dxa"/>
                    <w:right w:w="0" w:type="dxa"/>
                  </w:tcMar>
                  <w:vAlign w:val="center"/>
                </w:tcPr>
                <w:p w14:paraId="2C420E4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-5.8</w:t>
                  </w:r>
                </w:p>
              </w:tc>
              <w:tc>
                <w:tcPr>
                  <w:tcW w:w="571" w:type="dxa"/>
                  <w:shd w:val="clear" w:color="auto" w:fill="FFFFFF"/>
                  <w:tcMar>
                    <w:top w:w="0" w:type="dxa"/>
                    <w:left w:w="0" w:type="dxa"/>
                    <w:bottom w:w="0" w:type="dxa"/>
                    <w:right w:w="0" w:type="dxa"/>
                  </w:tcMar>
                  <w:vAlign w:val="center"/>
                </w:tcPr>
                <w:p w14:paraId="433BC29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58296DF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60.6</w:t>
                  </w:r>
                </w:p>
              </w:tc>
              <w:tc>
                <w:tcPr>
                  <w:tcW w:w="472" w:type="dxa"/>
                  <w:shd w:val="clear" w:color="auto" w:fill="FFFFFF"/>
                  <w:tcMar>
                    <w:top w:w="0" w:type="dxa"/>
                    <w:left w:w="0" w:type="dxa"/>
                    <w:bottom w:w="0" w:type="dxa"/>
                    <w:right w:w="0" w:type="dxa"/>
                  </w:tcMar>
                  <w:vAlign w:val="center"/>
                </w:tcPr>
                <w:p w14:paraId="4DAEEF56">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9.8</w:t>
                  </w:r>
                </w:p>
              </w:tc>
              <w:tc>
                <w:tcPr>
                  <w:tcW w:w="472" w:type="dxa"/>
                  <w:shd w:val="clear" w:color="auto" w:fill="FFFFFF"/>
                  <w:tcMar>
                    <w:top w:w="0" w:type="dxa"/>
                    <w:left w:w="0" w:type="dxa"/>
                    <w:bottom w:w="0" w:type="dxa"/>
                    <w:right w:w="0" w:type="dxa"/>
                  </w:tcMar>
                  <w:vAlign w:val="center"/>
                </w:tcPr>
                <w:p w14:paraId="23F9090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23.9</w:t>
                  </w:r>
                </w:p>
              </w:tc>
              <w:tc>
                <w:tcPr>
                  <w:tcW w:w="475" w:type="dxa"/>
                  <w:shd w:val="clear" w:color="auto" w:fill="FFFFFF"/>
                  <w:tcMar>
                    <w:top w:w="0" w:type="dxa"/>
                    <w:left w:w="0" w:type="dxa"/>
                    <w:bottom w:w="0" w:type="dxa"/>
                    <w:right w:w="0" w:type="dxa"/>
                  </w:tcMar>
                  <w:vAlign w:val="center"/>
                </w:tcPr>
                <w:p w14:paraId="30A8171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22.3</w:t>
                  </w:r>
                </w:p>
              </w:tc>
              <w:tc>
                <w:tcPr>
                  <w:tcW w:w="466" w:type="dxa"/>
                  <w:shd w:val="clear" w:color="auto" w:fill="FFFFFF"/>
                  <w:tcMar>
                    <w:top w:w="0" w:type="dxa"/>
                    <w:left w:w="0" w:type="dxa"/>
                    <w:bottom w:w="0" w:type="dxa"/>
                    <w:right w:w="0" w:type="dxa"/>
                  </w:tcMar>
                  <w:vAlign w:val="center"/>
                </w:tcPr>
                <w:p w14:paraId="015566F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397E0A9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49.4</w:t>
                  </w:r>
                </w:p>
              </w:tc>
              <w:tc>
                <w:tcPr>
                  <w:tcW w:w="466" w:type="dxa"/>
                  <w:shd w:val="clear" w:color="auto" w:fill="FFFFFF"/>
                  <w:tcMar>
                    <w:top w:w="0" w:type="dxa"/>
                    <w:left w:w="0" w:type="dxa"/>
                    <w:bottom w:w="0" w:type="dxa"/>
                    <w:right w:w="0" w:type="dxa"/>
                  </w:tcMar>
                  <w:vAlign w:val="center"/>
                </w:tcPr>
                <w:p w14:paraId="3A69257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8" w:type="dxa"/>
                  <w:shd w:val="clear" w:color="auto" w:fill="FFFFFF"/>
                  <w:tcMar>
                    <w:top w:w="0" w:type="dxa"/>
                    <w:left w:w="0" w:type="dxa"/>
                    <w:bottom w:w="0" w:type="dxa"/>
                    <w:right w:w="0" w:type="dxa"/>
                  </w:tcMar>
                  <w:vAlign w:val="center"/>
                </w:tcPr>
                <w:p w14:paraId="7C28E2E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04" w:type="dxa"/>
                  <w:shd w:val="clear" w:color="auto" w:fill="FFFFFF"/>
                  <w:tcMar>
                    <w:top w:w="0" w:type="dxa"/>
                    <w:left w:w="0" w:type="dxa"/>
                    <w:bottom w:w="0" w:type="dxa"/>
                    <w:right w:w="0" w:type="dxa"/>
                  </w:tcMar>
                  <w:vAlign w:val="center"/>
                </w:tcPr>
                <w:p w14:paraId="5AF254D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5383937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5C7309C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0DBF77C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692709E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16ADC84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18C9BAE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23.4</w:t>
                  </w:r>
                </w:p>
              </w:tc>
              <w:tc>
                <w:tcPr>
                  <w:tcW w:w="479" w:type="dxa"/>
                  <w:shd w:val="clear" w:color="auto" w:fill="FFFFFF"/>
                  <w:tcMar>
                    <w:top w:w="0" w:type="dxa"/>
                    <w:left w:w="0" w:type="dxa"/>
                    <w:bottom w:w="0" w:type="dxa"/>
                    <w:right w:w="0" w:type="dxa"/>
                  </w:tcMar>
                  <w:vAlign w:val="center"/>
                </w:tcPr>
                <w:p w14:paraId="31BD97F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80" w:type="dxa"/>
                  <w:shd w:val="clear" w:color="auto" w:fill="FFFFFF"/>
                  <w:tcMar>
                    <w:top w:w="0" w:type="dxa"/>
                    <w:left w:w="0" w:type="dxa"/>
                    <w:bottom w:w="0" w:type="dxa"/>
                    <w:right w:w="0" w:type="dxa"/>
                  </w:tcMar>
                  <w:vAlign w:val="center"/>
                </w:tcPr>
                <w:p w14:paraId="14892E1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91" w:type="dxa"/>
                  <w:shd w:val="clear" w:color="auto" w:fill="FFFFFF"/>
                  <w:tcMar>
                    <w:top w:w="0" w:type="dxa"/>
                    <w:left w:w="0" w:type="dxa"/>
                    <w:bottom w:w="0" w:type="dxa"/>
                    <w:right w:w="0" w:type="dxa"/>
                  </w:tcMar>
                  <w:vAlign w:val="center"/>
                </w:tcPr>
                <w:p w14:paraId="4BA1220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0DED6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4" w:hRule="atLeast"/>
                <w:jc w:val="center"/>
              </w:trPr>
              <w:tc>
                <w:tcPr>
                  <w:tcW w:w="269" w:type="dxa"/>
                  <w:shd w:val="clear" w:color="auto" w:fill="FFFFFF"/>
                  <w:tcMar>
                    <w:top w:w="0" w:type="dxa"/>
                    <w:left w:w="0" w:type="dxa"/>
                    <w:bottom w:w="0" w:type="dxa"/>
                    <w:right w:w="0" w:type="dxa"/>
                  </w:tcMar>
                  <w:vAlign w:val="center"/>
                </w:tcPr>
                <w:p w14:paraId="3504BB0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w:t>
                  </w:r>
                </w:p>
              </w:tc>
              <w:tc>
                <w:tcPr>
                  <w:tcW w:w="709" w:type="dxa"/>
                  <w:shd w:val="clear" w:color="auto" w:fill="FFFFFF"/>
                  <w:tcMar>
                    <w:top w:w="0" w:type="dxa"/>
                    <w:left w:w="0" w:type="dxa"/>
                    <w:bottom w:w="0" w:type="dxa"/>
                    <w:right w:w="0" w:type="dxa"/>
                  </w:tcMar>
                  <w:vAlign w:val="center"/>
                </w:tcPr>
                <w:p w14:paraId="42C2746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093A11D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多功能面皮机</w:t>
                  </w:r>
                </w:p>
              </w:tc>
              <w:tc>
                <w:tcPr>
                  <w:tcW w:w="567" w:type="dxa"/>
                  <w:shd w:val="clear" w:color="auto" w:fill="FFFFFF"/>
                  <w:tcMar>
                    <w:top w:w="0" w:type="dxa"/>
                    <w:left w:w="0" w:type="dxa"/>
                    <w:bottom w:w="0" w:type="dxa"/>
                    <w:right w:w="0" w:type="dxa"/>
                  </w:tcMar>
                  <w:vAlign w:val="center"/>
                </w:tcPr>
                <w:p w14:paraId="5CBB60B8">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70</w:t>
                  </w:r>
                </w:p>
              </w:tc>
              <w:tc>
                <w:tcPr>
                  <w:tcW w:w="425" w:type="dxa"/>
                  <w:vMerge w:val="continue"/>
                  <w:shd w:val="clear" w:color="auto" w:fill="FFFFFF"/>
                  <w:tcMar>
                    <w:top w:w="0" w:type="dxa"/>
                    <w:left w:w="0" w:type="dxa"/>
                    <w:bottom w:w="0" w:type="dxa"/>
                    <w:right w:w="0" w:type="dxa"/>
                  </w:tcMar>
                  <w:vAlign w:val="center"/>
                </w:tcPr>
                <w:p w14:paraId="202B5C9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3078A07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-18.7</w:t>
                  </w:r>
                </w:p>
              </w:tc>
              <w:tc>
                <w:tcPr>
                  <w:tcW w:w="569" w:type="dxa"/>
                  <w:shd w:val="clear" w:color="auto" w:fill="FFFFFF"/>
                  <w:tcMar>
                    <w:top w:w="0" w:type="dxa"/>
                    <w:left w:w="0" w:type="dxa"/>
                    <w:bottom w:w="0" w:type="dxa"/>
                    <w:right w:w="0" w:type="dxa"/>
                  </w:tcMar>
                  <w:vAlign w:val="center"/>
                </w:tcPr>
                <w:p w14:paraId="5EC638F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7.6</w:t>
                  </w:r>
                </w:p>
              </w:tc>
              <w:tc>
                <w:tcPr>
                  <w:tcW w:w="571" w:type="dxa"/>
                  <w:shd w:val="clear" w:color="auto" w:fill="FFFFFF"/>
                  <w:tcMar>
                    <w:top w:w="0" w:type="dxa"/>
                    <w:left w:w="0" w:type="dxa"/>
                    <w:bottom w:w="0" w:type="dxa"/>
                    <w:right w:w="0" w:type="dxa"/>
                  </w:tcMar>
                  <w:vAlign w:val="center"/>
                </w:tcPr>
                <w:p w14:paraId="06D332C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78AB2CF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61.7</w:t>
                  </w:r>
                </w:p>
              </w:tc>
              <w:tc>
                <w:tcPr>
                  <w:tcW w:w="472" w:type="dxa"/>
                  <w:shd w:val="clear" w:color="auto" w:fill="FFFFFF"/>
                  <w:tcMar>
                    <w:top w:w="0" w:type="dxa"/>
                    <w:left w:w="0" w:type="dxa"/>
                    <w:bottom w:w="0" w:type="dxa"/>
                    <w:right w:w="0" w:type="dxa"/>
                  </w:tcMar>
                  <w:vAlign w:val="center"/>
                </w:tcPr>
                <w:p w14:paraId="058560A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23.2</w:t>
                  </w:r>
                </w:p>
              </w:tc>
              <w:tc>
                <w:tcPr>
                  <w:tcW w:w="472" w:type="dxa"/>
                  <w:shd w:val="clear" w:color="auto" w:fill="FFFFFF"/>
                  <w:tcMar>
                    <w:top w:w="0" w:type="dxa"/>
                    <w:left w:w="0" w:type="dxa"/>
                    <w:bottom w:w="0" w:type="dxa"/>
                    <w:right w:w="0" w:type="dxa"/>
                  </w:tcMar>
                  <w:vAlign w:val="center"/>
                </w:tcPr>
                <w:p w14:paraId="681DBBE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23.0</w:t>
                  </w:r>
                </w:p>
              </w:tc>
              <w:tc>
                <w:tcPr>
                  <w:tcW w:w="475" w:type="dxa"/>
                  <w:shd w:val="clear" w:color="auto" w:fill="FFFFFF"/>
                  <w:tcMar>
                    <w:top w:w="0" w:type="dxa"/>
                    <w:left w:w="0" w:type="dxa"/>
                    <w:bottom w:w="0" w:type="dxa"/>
                    <w:right w:w="0" w:type="dxa"/>
                  </w:tcMar>
                  <w:vAlign w:val="center"/>
                </w:tcPr>
                <w:p w14:paraId="7CA30CD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8.9</w:t>
                  </w:r>
                </w:p>
              </w:tc>
              <w:tc>
                <w:tcPr>
                  <w:tcW w:w="466" w:type="dxa"/>
                  <w:shd w:val="clear" w:color="auto" w:fill="FFFFFF"/>
                  <w:tcMar>
                    <w:top w:w="0" w:type="dxa"/>
                    <w:left w:w="0" w:type="dxa"/>
                    <w:bottom w:w="0" w:type="dxa"/>
                    <w:right w:w="0" w:type="dxa"/>
                  </w:tcMar>
                  <w:vAlign w:val="center"/>
                </w:tcPr>
                <w:p w14:paraId="5C7FAD8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56280C7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775E73E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8" w:type="dxa"/>
                  <w:shd w:val="clear" w:color="auto" w:fill="FFFFFF"/>
                  <w:tcMar>
                    <w:top w:w="0" w:type="dxa"/>
                    <w:left w:w="0" w:type="dxa"/>
                    <w:bottom w:w="0" w:type="dxa"/>
                    <w:right w:w="0" w:type="dxa"/>
                  </w:tcMar>
                  <w:vAlign w:val="center"/>
                </w:tcPr>
                <w:p w14:paraId="35D5397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49.4</w:t>
                  </w:r>
                </w:p>
              </w:tc>
              <w:tc>
                <w:tcPr>
                  <w:tcW w:w="404" w:type="dxa"/>
                  <w:shd w:val="clear" w:color="auto" w:fill="FFFFFF"/>
                  <w:tcMar>
                    <w:top w:w="0" w:type="dxa"/>
                    <w:left w:w="0" w:type="dxa"/>
                    <w:bottom w:w="0" w:type="dxa"/>
                    <w:right w:w="0" w:type="dxa"/>
                  </w:tcMar>
                  <w:vAlign w:val="center"/>
                </w:tcPr>
                <w:p w14:paraId="4B5346E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66C536D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5922A73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1C5DE56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61B1CDF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1C16BD6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01FE6486">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758C8DD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80" w:type="dxa"/>
                  <w:shd w:val="clear" w:color="auto" w:fill="FFFFFF"/>
                  <w:tcMar>
                    <w:top w:w="0" w:type="dxa"/>
                    <w:left w:w="0" w:type="dxa"/>
                    <w:bottom w:w="0" w:type="dxa"/>
                    <w:right w:w="0" w:type="dxa"/>
                  </w:tcMar>
                  <w:vAlign w:val="center"/>
                </w:tcPr>
                <w:p w14:paraId="011B954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23.4</w:t>
                  </w:r>
                </w:p>
              </w:tc>
              <w:tc>
                <w:tcPr>
                  <w:tcW w:w="491" w:type="dxa"/>
                  <w:shd w:val="clear" w:color="auto" w:fill="FFFFFF"/>
                  <w:tcMar>
                    <w:top w:w="0" w:type="dxa"/>
                    <w:left w:w="0" w:type="dxa"/>
                    <w:bottom w:w="0" w:type="dxa"/>
                    <w:right w:w="0" w:type="dxa"/>
                  </w:tcMar>
                  <w:vAlign w:val="center"/>
                </w:tcPr>
                <w:p w14:paraId="31C63CF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0BB25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15" w:hRule="atLeast"/>
                <w:jc w:val="center"/>
              </w:trPr>
              <w:tc>
                <w:tcPr>
                  <w:tcW w:w="269" w:type="dxa"/>
                  <w:shd w:val="clear" w:color="auto" w:fill="FFFFFF"/>
                  <w:tcMar>
                    <w:top w:w="0" w:type="dxa"/>
                    <w:left w:w="0" w:type="dxa"/>
                    <w:bottom w:w="0" w:type="dxa"/>
                    <w:right w:w="0" w:type="dxa"/>
                  </w:tcMar>
                  <w:vAlign w:val="center"/>
                </w:tcPr>
                <w:p w14:paraId="2BBDA44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w:t>
                  </w:r>
                </w:p>
              </w:tc>
              <w:tc>
                <w:tcPr>
                  <w:tcW w:w="709" w:type="dxa"/>
                  <w:shd w:val="clear" w:color="auto" w:fill="FFFFFF"/>
                  <w:tcMar>
                    <w:top w:w="0" w:type="dxa"/>
                    <w:left w:w="0" w:type="dxa"/>
                    <w:bottom w:w="0" w:type="dxa"/>
                    <w:right w:w="0" w:type="dxa"/>
                  </w:tcMar>
                  <w:vAlign w:val="center"/>
                </w:tcPr>
                <w:p w14:paraId="171108C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2D2AD66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烤箱</w:t>
                  </w:r>
                </w:p>
              </w:tc>
              <w:tc>
                <w:tcPr>
                  <w:tcW w:w="567" w:type="dxa"/>
                  <w:shd w:val="clear" w:color="auto" w:fill="FFFFFF"/>
                  <w:tcMar>
                    <w:top w:w="0" w:type="dxa"/>
                    <w:left w:w="0" w:type="dxa"/>
                    <w:bottom w:w="0" w:type="dxa"/>
                    <w:right w:w="0" w:type="dxa"/>
                  </w:tcMar>
                  <w:vAlign w:val="center"/>
                </w:tcPr>
                <w:p w14:paraId="53EA1FCB">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70</w:t>
                  </w:r>
                </w:p>
              </w:tc>
              <w:tc>
                <w:tcPr>
                  <w:tcW w:w="425" w:type="dxa"/>
                  <w:vMerge w:val="continue"/>
                  <w:shd w:val="clear" w:color="auto" w:fill="FFFFFF"/>
                  <w:tcMar>
                    <w:top w:w="0" w:type="dxa"/>
                    <w:left w:w="0" w:type="dxa"/>
                    <w:bottom w:w="0" w:type="dxa"/>
                    <w:right w:w="0" w:type="dxa"/>
                  </w:tcMar>
                  <w:vAlign w:val="center"/>
                </w:tcPr>
                <w:p w14:paraId="26658FB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7E824CA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-8</w:t>
                  </w:r>
                </w:p>
              </w:tc>
              <w:tc>
                <w:tcPr>
                  <w:tcW w:w="569" w:type="dxa"/>
                  <w:shd w:val="clear" w:color="auto" w:fill="FFFFFF"/>
                  <w:tcMar>
                    <w:top w:w="0" w:type="dxa"/>
                    <w:left w:w="0" w:type="dxa"/>
                    <w:bottom w:w="0" w:type="dxa"/>
                    <w:right w:w="0" w:type="dxa"/>
                  </w:tcMar>
                  <w:vAlign w:val="center"/>
                </w:tcPr>
                <w:p w14:paraId="580E73A2">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w:t>
                  </w:r>
                </w:p>
              </w:tc>
              <w:tc>
                <w:tcPr>
                  <w:tcW w:w="571" w:type="dxa"/>
                  <w:shd w:val="clear" w:color="auto" w:fill="FFFFFF"/>
                  <w:tcMar>
                    <w:top w:w="0" w:type="dxa"/>
                    <w:left w:w="0" w:type="dxa"/>
                    <w:bottom w:w="0" w:type="dxa"/>
                    <w:right w:w="0" w:type="dxa"/>
                  </w:tcMar>
                  <w:vAlign w:val="center"/>
                </w:tcPr>
                <w:p w14:paraId="063B763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0D37588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50.1</w:t>
                  </w:r>
                </w:p>
              </w:tc>
              <w:tc>
                <w:tcPr>
                  <w:tcW w:w="472" w:type="dxa"/>
                  <w:shd w:val="clear" w:color="auto" w:fill="FFFFFF"/>
                  <w:tcMar>
                    <w:top w:w="0" w:type="dxa"/>
                    <w:left w:w="0" w:type="dxa"/>
                    <w:bottom w:w="0" w:type="dxa"/>
                    <w:right w:w="0" w:type="dxa"/>
                  </w:tcMar>
                  <w:vAlign w:val="center"/>
                </w:tcPr>
                <w:p w14:paraId="7B23041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11.1</w:t>
                  </w:r>
                </w:p>
              </w:tc>
              <w:tc>
                <w:tcPr>
                  <w:tcW w:w="472" w:type="dxa"/>
                  <w:shd w:val="clear" w:color="auto" w:fill="FFFFFF"/>
                  <w:tcMar>
                    <w:top w:w="0" w:type="dxa"/>
                    <w:left w:w="0" w:type="dxa"/>
                    <w:bottom w:w="0" w:type="dxa"/>
                    <w:right w:w="0" w:type="dxa"/>
                  </w:tcMar>
                  <w:vAlign w:val="center"/>
                </w:tcPr>
                <w:p w14:paraId="2D8513E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34.5</w:t>
                  </w:r>
                </w:p>
              </w:tc>
              <w:tc>
                <w:tcPr>
                  <w:tcW w:w="475" w:type="dxa"/>
                  <w:shd w:val="clear" w:color="auto" w:fill="FFFFFF"/>
                  <w:tcMar>
                    <w:top w:w="0" w:type="dxa"/>
                    <w:left w:w="0" w:type="dxa"/>
                    <w:bottom w:w="0" w:type="dxa"/>
                    <w:right w:w="0" w:type="dxa"/>
                  </w:tcMar>
                  <w:vAlign w:val="center"/>
                </w:tcPr>
                <w:p w14:paraId="02A40031">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21.0</w:t>
                  </w:r>
                </w:p>
              </w:tc>
              <w:tc>
                <w:tcPr>
                  <w:tcW w:w="466" w:type="dxa"/>
                  <w:shd w:val="clear" w:color="auto" w:fill="FFFFFF"/>
                  <w:tcMar>
                    <w:top w:w="0" w:type="dxa"/>
                    <w:left w:w="0" w:type="dxa"/>
                    <w:bottom w:w="0" w:type="dxa"/>
                    <w:right w:w="0" w:type="dxa"/>
                  </w:tcMar>
                  <w:vAlign w:val="center"/>
                </w:tcPr>
                <w:p w14:paraId="452460E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1A1103E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49.4</w:t>
                  </w:r>
                </w:p>
              </w:tc>
              <w:tc>
                <w:tcPr>
                  <w:tcW w:w="466" w:type="dxa"/>
                  <w:shd w:val="clear" w:color="auto" w:fill="FFFFFF"/>
                  <w:tcMar>
                    <w:top w:w="0" w:type="dxa"/>
                    <w:left w:w="0" w:type="dxa"/>
                    <w:bottom w:w="0" w:type="dxa"/>
                    <w:right w:w="0" w:type="dxa"/>
                  </w:tcMar>
                  <w:vAlign w:val="center"/>
                </w:tcPr>
                <w:p w14:paraId="396E1E8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8" w:type="dxa"/>
                  <w:shd w:val="clear" w:color="auto" w:fill="FFFFFF"/>
                  <w:tcMar>
                    <w:top w:w="0" w:type="dxa"/>
                    <w:left w:w="0" w:type="dxa"/>
                    <w:bottom w:w="0" w:type="dxa"/>
                    <w:right w:w="0" w:type="dxa"/>
                  </w:tcMar>
                  <w:vAlign w:val="center"/>
                </w:tcPr>
                <w:p w14:paraId="7E4DB68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04" w:type="dxa"/>
                  <w:shd w:val="clear" w:color="auto" w:fill="FFFFFF"/>
                  <w:tcMar>
                    <w:top w:w="0" w:type="dxa"/>
                    <w:left w:w="0" w:type="dxa"/>
                    <w:bottom w:w="0" w:type="dxa"/>
                    <w:right w:w="0" w:type="dxa"/>
                  </w:tcMar>
                  <w:vAlign w:val="center"/>
                </w:tcPr>
                <w:p w14:paraId="013C2B9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043E6226">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0973986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51EC42C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163832A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29F4BFB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1A94950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23.4</w:t>
                  </w:r>
                </w:p>
              </w:tc>
              <w:tc>
                <w:tcPr>
                  <w:tcW w:w="479" w:type="dxa"/>
                  <w:shd w:val="clear" w:color="auto" w:fill="FFFFFF"/>
                  <w:tcMar>
                    <w:top w:w="0" w:type="dxa"/>
                    <w:left w:w="0" w:type="dxa"/>
                    <w:bottom w:w="0" w:type="dxa"/>
                    <w:right w:w="0" w:type="dxa"/>
                  </w:tcMar>
                  <w:vAlign w:val="center"/>
                </w:tcPr>
                <w:p w14:paraId="68A6696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80" w:type="dxa"/>
                  <w:shd w:val="clear" w:color="auto" w:fill="FFFFFF"/>
                  <w:tcMar>
                    <w:top w:w="0" w:type="dxa"/>
                    <w:left w:w="0" w:type="dxa"/>
                    <w:bottom w:w="0" w:type="dxa"/>
                    <w:right w:w="0" w:type="dxa"/>
                  </w:tcMar>
                  <w:vAlign w:val="center"/>
                </w:tcPr>
                <w:p w14:paraId="22E6E01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91" w:type="dxa"/>
                  <w:shd w:val="clear" w:color="auto" w:fill="FFFFFF"/>
                  <w:tcMar>
                    <w:top w:w="0" w:type="dxa"/>
                    <w:left w:w="0" w:type="dxa"/>
                    <w:bottom w:w="0" w:type="dxa"/>
                    <w:right w:w="0" w:type="dxa"/>
                  </w:tcMar>
                  <w:vAlign w:val="center"/>
                </w:tcPr>
                <w:p w14:paraId="1904162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3C333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5" w:hRule="atLeast"/>
                <w:jc w:val="center"/>
              </w:trPr>
              <w:tc>
                <w:tcPr>
                  <w:tcW w:w="269" w:type="dxa"/>
                  <w:shd w:val="clear" w:color="auto" w:fill="FFFFFF"/>
                  <w:tcMar>
                    <w:top w:w="0" w:type="dxa"/>
                    <w:left w:w="0" w:type="dxa"/>
                    <w:bottom w:w="0" w:type="dxa"/>
                    <w:right w:w="0" w:type="dxa"/>
                  </w:tcMar>
                  <w:vAlign w:val="center"/>
                </w:tcPr>
                <w:p w14:paraId="777676F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6</w:t>
                  </w:r>
                </w:p>
              </w:tc>
              <w:tc>
                <w:tcPr>
                  <w:tcW w:w="709" w:type="dxa"/>
                  <w:shd w:val="clear" w:color="auto" w:fill="FFFFFF"/>
                  <w:tcMar>
                    <w:top w:w="0" w:type="dxa"/>
                    <w:left w:w="0" w:type="dxa"/>
                    <w:bottom w:w="0" w:type="dxa"/>
                    <w:right w:w="0" w:type="dxa"/>
                  </w:tcMar>
                  <w:vAlign w:val="center"/>
                </w:tcPr>
                <w:p w14:paraId="7F33B48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速冻食品-厂界</w:t>
                  </w:r>
                </w:p>
              </w:tc>
              <w:tc>
                <w:tcPr>
                  <w:tcW w:w="992" w:type="dxa"/>
                  <w:shd w:val="clear" w:color="auto" w:fill="FFFFFF"/>
                  <w:tcMar>
                    <w:top w:w="0" w:type="dxa"/>
                    <w:left w:w="0" w:type="dxa"/>
                    <w:bottom w:w="0" w:type="dxa"/>
                    <w:right w:w="0" w:type="dxa"/>
                  </w:tcMar>
                  <w:vAlign w:val="center"/>
                </w:tcPr>
                <w:p w14:paraId="5034E83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奶泵</w:t>
                  </w:r>
                </w:p>
              </w:tc>
              <w:tc>
                <w:tcPr>
                  <w:tcW w:w="567" w:type="dxa"/>
                  <w:shd w:val="clear" w:color="auto" w:fill="FFFFFF"/>
                  <w:tcMar>
                    <w:top w:w="0" w:type="dxa"/>
                    <w:left w:w="0" w:type="dxa"/>
                    <w:bottom w:w="0" w:type="dxa"/>
                    <w:right w:w="0" w:type="dxa"/>
                  </w:tcMar>
                  <w:vAlign w:val="center"/>
                </w:tcPr>
                <w:p w14:paraId="0323462F">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75</w:t>
                  </w:r>
                </w:p>
              </w:tc>
              <w:tc>
                <w:tcPr>
                  <w:tcW w:w="425" w:type="dxa"/>
                  <w:vMerge w:val="continue"/>
                  <w:shd w:val="clear" w:color="auto" w:fill="FFFFFF"/>
                  <w:tcMar>
                    <w:top w:w="0" w:type="dxa"/>
                    <w:left w:w="0" w:type="dxa"/>
                    <w:bottom w:w="0" w:type="dxa"/>
                    <w:right w:w="0" w:type="dxa"/>
                  </w:tcMar>
                  <w:vAlign w:val="center"/>
                </w:tcPr>
                <w:p w14:paraId="4DC03C6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76BB059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-9.4</w:t>
                  </w:r>
                </w:p>
              </w:tc>
              <w:tc>
                <w:tcPr>
                  <w:tcW w:w="569" w:type="dxa"/>
                  <w:shd w:val="clear" w:color="auto" w:fill="FFFFFF"/>
                  <w:tcMar>
                    <w:top w:w="0" w:type="dxa"/>
                    <w:left w:w="0" w:type="dxa"/>
                    <w:bottom w:w="0" w:type="dxa"/>
                    <w:right w:w="0" w:type="dxa"/>
                  </w:tcMar>
                  <w:vAlign w:val="center"/>
                </w:tcPr>
                <w:p w14:paraId="5015120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1.8</w:t>
                  </w:r>
                </w:p>
              </w:tc>
              <w:tc>
                <w:tcPr>
                  <w:tcW w:w="571" w:type="dxa"/>
                  <w:shd w:val="clear" w:color="auto" w:fill="FFFFFF"/>
                  <w:tcMar>
                    <w:top w:w="0" w:type="dxa"/>
                    <w:left w:w="0" w:type="dxa"/>
                    <w:bottom w:w="0" w:type="dxa"/>
                    <w:right w:w="0" w:type="dxa"/>
                  </w:tcMar>
                  <w:vAlign w:val="center"/>
                </w:tcPr>
                <w:p w14:paraId="4184BA8F">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1.2</w:t>
                  </w:r>
                </w:p>
              </w:tc>
              <w:tc>
                <w:tcPr>
                  <w:tcW w:w="472" w:type="dxa"/>
                  <w:shd w:val="clear" w:color="auto" w:fill="FFFFFF"/>
                  <w:tcMar>
                    <w:top w:w="0" w:type="dxa"/>
                    <w:left w:w="0" w:type="dxa"/>
                    <w:bottom w:w="0" w:type="dxa"/>
                    <w:right w:w="0" w:type="dxa"/>
                  </w:tcMar>
                  <w:vAlign w:val="center"/>
                </w:tcPr>
                <w:p w14:paraId="3E10EF2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52.0</w:t>
                  </w:r>
                </w:p>
              </w:tc>
              <w:tc>
                <w:tcPr>
                  <w:tcW w:w="472" w:type="dxa"/>
                  <w:shd w:val="clear" w:color="auto" w:fill="FFFFFF"/>
                  <w:tcMar>
                    <w:top w:w="0" w:type="dxa"/>
                    <w:left w:w="0" w:type="dxa"/>
                    <w:bottom w:w="0" w:type="dxa"/>
                    <w:right w:w="0" w:type="dxa"/>
                  </w:tcMar>
                  <w:vAlign w:val="center"/>
                </w:tcPr>
                <w:p w14:paraId="4544A358">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17.8</w:t>
                  </w:r>
                </w:p>
              </w:tc>
              <w:tc>
                <w:tcPr>
                  <w:tcW w:w="472" w:type="dxa"/>
                  <w:shd w:val="clear" w:color="auto" w:fill="FFFFFF"/>
                  <w:tcMar>
                    <w:top w:w="0" w:type="dxa"/>
                    <w:left w:w="0" w:type="dxa"/>
                    <w:bottom w:w="0" w:type="dxa"/>
                    <w:right w:w="0" w:type="dxa"/>
                  </w:tcMar>
                  <w:vAlign w:val="center"/>
                </w:tcPr>
                <w:p w14:paraId="05EF7FAE">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32.7</w:t>
                  </w:r>
                </w:p>
              </w:tc>
              <w:tc>
                <w:tcPr>
                  <w:tcW w:w="475" w:type="dxa"/>
                  <w:shd w:val="clear" w:color="auto" w:fill="FFFFFF"/>
                  <w:tcMar>
                    <w:top w:w="0" w:type="dxa"/>
                    <w:left w:w="0" w:type="dxa"/>
                    <w:bottom w:w="0" w:type="dxa"/>
                    <w:right w:w="0" w:type="dxa"/>
                  </w:tcMar>
                  <w:vAlign w:val="center"/>
                </w:tcPr>
                <w:p w14:paraId="65F00E8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14.3</w:t>
                  </w:r>
                </w:p>
              </w:tc>
              <w:tc>
                <w:tcPr>
                  <w:tcW w:w="466" w:type="dxa"/>
                  <w:shd w:val="clear" w:color="auto" w:fill="FFFFFF"/>
                  <w:tcMar>
                    <w:top w:w="0" w:type="dxa"/>
                    <w:left w:w="0" w:type="dxa"/>
                    <w:bottom w:w="0" w:type="dxa"/>
                    <w:right w:w="0" w:type="dxa"/>
                  </w:tcMar>
                  <w:vAlign w:val="center"/>
                </w:tcPr>
                <w:p w14:paraId="5962DE89">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6DE1DC20">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6" w:type="dxa"/>
                  <w:shd w:val="clear" w:color="auto" w:fill="FFFFFF"/>
                  <w:tcMar>
                    <w:top w:w="0" w:type="dxa"/>
                    <w:left w:w="0" w:type="dxa"/>
                    <w:bottom w:w="0" w:type="dxa"/>
                    <w:right w:w="0" w:type="dxa"/>
                  </w:tcMar>
                  <w:vAlign w:val="center"/>
                </w:tcPr>
                <w:p w14:paraId="22694A2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49.3</w:t>
                  </w:r>
                </w:p>
              </w:tc>
              <w:tc>
                <w:tcPr>
                  <w:tcW w:w="468" w:type="dxa"/>
                  <w:shd w:val="clear" w:color="auto" w:fill="FFFFFF"/>
                  <w:tcMar>
                    <w:top w:w="0" w:type="dxa"/>
                    <w:left w:w="0" w:type="dxa"/>
                    <w:bottom w:w="0" w:type="dxa"/>
                    <w:right w:w="0" w:type="dxa"/>
                  </w:tcMar>
                  <w:vAlign w:val="center"/>
                </w:tcPr>
                <w:p w14:paraId="7E467A8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49.4</w:t>
                  </w:r>
                </w:p>
              </w:tc>
              <w:tc>
                <w:tcPr>
                  <w:tcW w:w="404" w:type="dxa"/>
                  <w:shd w:val="clear" w:color="auto" w:fill="FFFFFF"/>
                  <w:tcMar>
                    <w:top w:w="0" w:type="dxa"/>
                    <w:left w:w="0" w:type="dxa"/>
                    <w:bottom w:w="0" w:type="dxa"/>
                    <w:right w:w="0" w:type="dxa"/>
                  </w:tcMar>
                  <w:vAlign w:val="center"/>
                </w:tcPr>
                <w:p w14:paraId="0FF28928">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6764D33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4A0AA97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53475D74">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50" w:type="dxa"/>
                  <w:shd w:val="clear" w:color="auto" w:fill="FFFFFF"/>
                  <w:tcMar>
                    <w:top w:w="0" w:type="dxa"/>
                    <w:left w:w="0" w:type="dxa"/>
                    <w:bottom w:w="0" w:type="dxa"/>
                    <w:right w:w="0" w:type="dxa"/>
                  </w:tcMar>
                  <w:vAlign w:val="center"/>
                </w:tcPr>
                <w:p w14:paraId="7024912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26.0</w:t>
                  </w:r>
                </w:p>
              </w:tc>
              <w:tc>
                <w:tcPr>
                  <w:tcW w:w="479" w:type="dxa"/>
                  <w:shd w:val="clear" w:color="auto" w:fill="FFFFFF"/>
                  <w:tcMar>
                    <w:top w:w="0" w:type="dxa"/>
                    <w:left w:w="0" w:type="dxa"/>
                    <w:bottom w:w="0" w:type="dxa"/>
                    <w:right w:w="0" w:type="dxa"/>
                  </w:tcMar>
                  <w:vAlign w:val="center"/>
                </w:tcPr>
                <w:p w14:paraId="6B0F9E4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0D56F09B">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79" w:type="dxa"/>
                  <w:shd w:val="clear" w:color="auto" w:fill="FFFFFF"/>
                  <w:tcMar>
                    <w:top w:w="0" w:type="dxa"/>
                    <w:left w:w="0" w:type="dxa"/>
                    <w:bottom w:w="0" w:type="dxa"/>
                    <w:right w:w="0" w:type="dxa"/>
                  </w:tcMar>
                  <w:vAlign w:val="center"/>
                </w:tcPr>
                <w:p w14:paraId="38B901B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23.3</w:t>
                  </w:r>
                </w:p>
              </w:tc>
              <w:tc>
                <w:tcPr>
                  <w:tcW w:w="480" w:type="dxa"/>
                  <w:shd w:val="clear" w:color="auto" w:fill="FFFFFF"/>
                  <w:tcMar>
                    <w:top w:w="0" w:type="dxa"/>
                    <w:left w:w="0" w:type="dxa"/>
                    <w:bottom w:w="0" w:type="dxa"/>
                    <w:right w:w="0" w:type="dxa"/>
                  </w:tcMar>
                  <w:vAlign w:val="center"/>
                </w:tcPr>
                <w:p w14:paraId="4B84C685">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23.4</w:t>
                  </w:r>
                </w:p>
              </w:tc>
              <w:tc>
                <w:tcPr>
                  <w:tcW w:w="491" w:type="dxa"/>
                  <w:shd w:val="clear" w:color="auto" w:fill="FFFFFF"/>
                  <w:tcMar>
                    <w:top w:w="0" w:type="dxa"/>
                    <w:left w:w="0" w:type="dxa"/>
                    <w:bottom w:w="0" w:type="dxa"/>
                    <w:right w:w="0" w:type="dxa"/>
                  </w:tcMar>
                  <w:vAlign w:val="center"/>
                </w:tcPr>
                <w:p w14:paraId="378A2D47">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1</w:t>
                  </w:r>
                </w:p>
              </w:tc>
            </w:tr>
            <w:tr w14:paraId="770A3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5" w:hRule="atLeast"/>
                <w:jc w:val="center"/>
              </w:trPr>
              <w:tc>
                <w:tcPr>
                  <w:tcW w:w="269" w:type="dxa"/>
                  <w:shd w:val="clear" w:color="auto" w:fill="FFFFFF"/>
                  <w:tcMar>
                    <w:top w:w="0" w:type="dxa"/>
                    <w:left w:w="0" w:type="dxa"/>
                    <w:bottom w:w="0" w:type="dxa"/>
                    <w:right w:w="0" w:type="dxa"/>
                  </w:tcMar>
                  <w:vAlign w:val="center"/>
                </w:tcPr>
                <w:p w14:paraId="4258D5F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709" w:type="dxa"/>
                  <w:shd w:val="clear" w:color="auto" w:fill="FFFFFF"/>
                  <w:tcMar>
                    <w:top w:w="0" w:type="dxa"/>
                    <w:left w:w="0" w:type="dxa"/>
                    <w:bottom w:w="0" w:type="dxa"/>
                    <w:right w:w="0" w:type="dxa"/>
                  </w:tcMar>
                  <w:vAlign w:val="center"/>
                </w:tcPr>
                <w:p w14:paraId="77A03C78">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污水处理站泵房</w:t>
                  </w:r>
                </w:p>
              </w:tc>
              <w:tc>
                <w:tcPr>
                  <w:tcW w:w="992" w:type="dxa"/>
                  <w:shd w:val="clear" w:color="auto" w:fill="FFFFFF"/>
                  <w:tcMar>
                    <w:top w:w="0" w:type="dxa"/>
                    <w:left w:w="0" w:type="dxa"/>
                    <w:bottom w:w="0" w:type="dxa"/>
                    <w:right w:w="0" w:type="dxa"/>
                  </w:tcMar>
                  <w:vAlign w:val="center"/>
                </w:tcPr>
                <w:p w14:paraId="5BCAB3E3">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污水处理站泵房</w:t>
                  </w:r>
                </w:p>
              </w:tc>
              <w:tc>
                <w:tcPr>
                  <w:tcW w:w="567" w:type="dxa"/>
                  <w:shd w:val="clear" w:color="auto" w:fill="FFFFFF"/>
                  <w:tcMar>
                    <w:top w:w="0" w:type="dxa"/>
                    <w:left w:w="0" w:type="dxa"/>
                    <w:bottom w:w="0" w:type="dxa"/>
                    <w:right w:w="0" w:type="dxa"/>
                  </w:tcMar>
                  <w:vAlign w:val="center"/>
                </w:tcPr>
                <w:p w14:paraId="51B71EFD">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80</w:t>
                  </w:r>
                </w:p>
              </w:tc>
              <w:tc>
                <w:tcPr>
                  <w:tcW w:w="425" w:type="dxa"/>
                  <w:vMerge w:val="continue"/>
                  <w:shd w:val="clear" w:color="auto" w:fill="FFFFFF"/>
                  <w:tcMar>
                    <w:top w:w="0" w:type="dxa"/>
                    <w:left w:w="0" w:type="dxa"/>
                    <w:bottom w:w="0" w:type="dxa"/>
                    <w:right w:w="0" w:type="dxa"/>
                  </w:tcMar>
                  <w:vAlign w:val="center"/>
                </w:tcPr>
                <w:p w14:paraId="70A3BF3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298F71B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28.5</w:t>
                  </w:r>
                </w:p>
              </w:tc>
              <w:tc>
                <w:tcPr>
                  <w:tcW w:w="569" w:type="dxa"/>
                  <w:shd w:val="clear" w:color="auto" w:fill="FFFFFF"/>
                  <w:tcMar>
                    <w:top w:w="0" w:type="dxa"/>
                    <w:left w:w="0" w:type="dxa"/>
                    <w:bottom w:w="0" w:type="dxa"/>
                    <w:right w:w="0" w:type="dxa"/>
                  </w:tcMar>
                  <w:vAlign w:val="center"/>
                </w:tcPr>
                <w:p w14:paraId="26D5E76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-94.5</w:t>
                  </w:r>
                </w:p>
              </w:tc>
              <w:tc>
                <w:tcPr>
                  <w:tcW w:w="571" w:type="dxa"/>
                  <w:shd w:val="clear" w:color="auto" w:fill="FFFFFF"/>
                  <w:tcMar>
                    <w:top w:w="0" w:type="dxa"/>
                    <w:left w:w="0" w:type="dxa"/>
                    <w:bottom w:w="0" w:type="dxa"/>
                    <w:right w:w="0" w:type="dxa"/>
                  </w:tcMar>
                  <w:vAlign w:val="center"/>
                </w:tcPr>
                <w:p w14:paraId="6A1A179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472" w:type="dxa"/>
                  <w:shd w:val="clear" w:color="auto" w:fill="FFFFFF"/>
                  <w:tcMar>
                    <w:top w:w="0" w:type="dxa"/>
                    <w:left w:w="0" w:type="dxa"/>
                    <w:bottom w:w="0" w:type="dxa"/>
                    <w:right w:w="0" w:type="dxa"/>
                  </w:tcMar>
                  <w:vAlign w:val="center"/>
                </w:tcPr>
                <w:p w14:paraId="7F12A87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7.9</w:t>
                  </w:r>
                </w:p>
              </w:tc>
              <w:tc>
                <w:tcPr>
                  <w:tcW w:w="472" w:type="dxa"/>
                  <w:shd w:val="clear" w:color="auto" w:fill="FFFFFF"/>
                  <w:tcMar>
                    <w:top w:w="0" w:type="dxa"/>
                    <w:left w:w="0" w:type="dxa"/>
                    <w:bottom w:w="0" w:type="dxa"/>
                    <w:right w:w="0" w:type="dxa"/>
                  </w:tcMar>
                  <w:vAlign w:val="center"/>
                </w:tcPr>
                <w:p w14:paraId="4956939E">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11.8</w:t>
                  </w:r>
                </w:p>
              </w:tc>
              <w:tc>
                <w:tcPr>
                  <w:tcW w:w="472" w:type="dxa"/>
                  <w:shd w:val="clear" w:color="auto" w:fill="FFFFFF"/>
                  <w:tcMar>
                    <w:top w:w="0" w:type="dxa"/>
                    <w:left w:w="0" w:type="dxa"/>
                    <w:bottom w:w="0" w:type="dxa"/>
                    <w:right w:w="0" w:type="dxa"/>
                  </w:tcMar>
                  <w:vAlign w:val="center"/>
                </w:tcPr>
                <w:p w14:paraId="4BD8138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12.6</w:t>
                  </w:r>
                </w:p>
              </w:tc>
              <w:tc>
                <w:tcPr>
                  <w:tcW w:w="475" w:type="dxa"/>
                  <w:shd w:val="clear" w:color="auto" w:fill="FFFFFF"/>
                  <w:tcMar>
                    <w:top w:w="0" w:type="dxa"/>
                    <w:left w:w="0" w:type="dxa"/>
                    <w:bottom w:w="0" w:type="dxa"/>
                    <w:right w:w="0" w:type="dxa"/>
                  </w:tcMar>
                  <w:vAlign w:val="center"/>
                </w:tcPr>
                <w:p w14:paraId="2BA220A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466" w:type="dxa"/>
                  <w:shd w:val="clear" w:color="auto" w:fill="FFFFFF"/>
                  <w:tcMar>
                    <w:top w:w="0" w:type="dxa"/>
                    <w:left w:w="0" w:type="dxa"/>
                    <w:bottom w:w="0" w:type="dxa"/>
                    <w:right w:w="0" w:type="dxa"/>
                  </w:tcMar>
                  <w:vAlign w:val="center"/>
                </w:tcPr>
                <w:p w14:paraId="74D9D334">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69.9</w:t>
                  </w:r>
                </w:p>
              </w:tc>
              <w:tc>
                <w:tcPr>
                  <w:tcW w:w="466" w:type="dxa"/>
                  <w:shd w:val="clear" w:color="auto" w:fill="FFFFFF"/>
                  <w:tcMar>
                    <w:top w:w="0" w:type="dxa"/>
                    <w:left w:w="0" w:type="dxa"/>
                    <w:bottom w:w="0" w:type="dxa"/>
                    <w:right w:w="0" w:type="dxa"/>
                  </w:tcMar>
                  <w:vAlign w:val="center"/>
                </w:tcPr>
                <w:p w14:paraId="66B828F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69.8</w:t>
                  </w:r>
                </w:p>
              </w:tc>
              <w:tc>
                <w:tcPr>
                  <w:tcW w:w="466" w:type="dxa"/>
                  <w:shd w:val="clear" w:color="auto" w:fill="FFFFFF"/>
                  <w:tcMar>
                    <w:top w:w="0" w:type="dxa"/>
                    <w:left w:w="0" w:type="dxa"/>
                    <w:bottom w:w="0" w:type="dxa"/>
                    <w:right w:w="0" w:type="dxa"/>
                  </w:tcMar>
                  <w:vAlign w:val="center"/>
                </w:tcPr>
                <w:p w14:paraId="5C3A8634">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69.8</w:t>
                  </w:r>
                </w:p>
              </w:tc>
              <w:tc>
                <w:tcPr>
                  <w:tcW w:w="468" w:type="dxa"/>
                  <w:shd w:val="clear" w:color="auto" w:fill="FFFFFF"/>
                  <w:tcMar>
                    <w:top w:w="0" w:type="dxa"/>
                    <w:left w:w="0" w:type="dxa"/>
                    <w:bottom w:w="0" w:type="dxa"/>
                    <w:right w:w="0" w:type="dxa"/>
                  </w:tcMar>
                  <w:vAlign w:val="center"/>
                </w:tcPr>
                <w:p w14:paraId="4AD58F5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70.1</w:t>
                  </w:r>
                </w:p>
              </w:tc>
              <w:tc>
                <w:tcPr>
                  <w:tcW w:w="404" w:type="dxa"/>
                  <w:shd w:val="clear" w:color="auto" w:fill="FFFFFF"/>
                  <w:tcMar>
                    <w:top w:w="0" w:type="dxa"/>
                    <w:left w:w="0" w:type="dxa"/>
                    <w:bottom w:w="0" w:type="dxa"/>
                    <w:right w:w="0" w:type="dxa"/>
                  </w:tcMar>
                  <w:vAlign w:val="center"/>
                </w:tcPr>
                <w:p w14:paraId="202D005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29B056A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440D7CFE">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0C5F1DC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136CA61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79" w:type="dxa"/>
                  <w:shd w:val="clear" w:color="auto" w:fill="FFFFFF"/>
                  <w:tcMar>
                    <w:top w:w="0" w:type="dxa"/>
                    <w:left w:w="0" w:type="dxa"/>
                    <w:bottom w:w="0" w:type="dxa"/>
                    <w:right w:w="0" w:type="dxa"/>
                  </w:tcMar>
                  <w:vAlign w:val="center"/>
                </w:tcPr>
                <w:p w14:paraId="186B1735">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43.9</w:t>
                  </w:r>
                </w:p>
              </w:tc>
              <w:tc>
                <w:tcPr>
                  <w:tcW w:w="479" w:type="dxa"/>
                  <w:shd w:val="clear" w:color="auto" w:fill="FFFFFF"/>
                  <w:tcMar>
                    <w:top w:w="0" w:type="dxa"/>
                    <w:left w:w="0" w:type="dxa"/>
                    <w:bottom w:w="0" w:type="dxa"/>
                    <w:right w:w="0" w:type="dxa"/>
                  </w:tcMar>
                  <w:vAlign w:val="center"/>
                </w:tcPr>
                <w:p w14:paraId="0253DF91">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43.8</w:t>
                  </w:r>
                </w:p>
              </w:tc>
              <w:tc>
                <w:tcPr>
                  <w:tcW w:w="479" w:type="dxa"/>
                  <w:shd w:val="clear" w:color="auto" w:fill="FFFFFF"/>
                  <w:tcMar>
                    <w:top w:w="0" w:type="dxa"/>
                    <w:left w:w="0" w:type="dxa"/>
                    <w:bottom w:w="0" w:type="dxa"/>
                    <w:right w:w="0" w:type="dxa"/>
                  </w:tcMar>
                  <w:vAlign w:val="center"/>
                </w:tcPr>
                <w:p w14:paraId="1F99BDF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43.8</w:t>
                  </w:r>
                </w:p>
              </w:tc>
              <w:tc>
                <w:tcPr>
                  <w:tcW w:w="480" w:type="dxa"/>
                  <w:shd w:val="clear" w:color="auto" w:fill="FFFFFF"/>
                  <w:tcMar>
                    <w:top w:w="0" w:type="dxa"/>
                    <w:left w:w="0" w:type="dxa"/>
                    <w:bottom w:w="0" w:type="dxa"/>
                    <w:right w:w="0" w:type="dxa"/>
                  </w:tcMar>
                  <w:vAlign w:val="center"/>
                </w:tcPr>
                <w:p w14:paraId="57CB38D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44.1</w:t>
                  </w:r>
                </w:p>
              </w:tc>
              <w:tc>
                <w:tcPr>
                  <w:tcW w:w="491" w:type="dxa"/>
                  <w:shd w:val="clear" w:color="auto" w:fill="FFFFFF"/>
                  <w:tcMar>
                    <w:top w:w="0" w:type="dxa"/>
                    <w:left w:w="0" w:type="dxa"/>
                    <w:bottom w:w="0" w:type="dxa"/>
                    <w:right w:w="0" w:type="dxa"/>
                  </w:tcMar>
                  <w:vAlign w:val="center"/>
                </w:tcPr>
                <w:p w14:paraId="628C0B5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14:paraId="1DAC0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2" w:hRule="atLeast"/>
                <w:jc w:val="center"/>
              </w:trPr>
              <w:tc>
                <w:tcPr>
                  <w:tcW w:w="269" w:type="dxa"/>
                  <w:shd w:val="clear" w:color="auto" w:fill="FFFFFF"/>
                  <w:tcMar>
                    <w:top w:w="0" w:type="dxa"/>
                    <w:left w:w="0" w:type="dxa"/>
                    <w:bottom w:w="0" w:type="dxa"/>
                    <w:right w:w="0" w:type="dxa"/>
                  </w:tcMar>
                  <w:vAlign w:val="center"/>
                </w:tcPr>
                <w:p w14:paraId="615AEFC7">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709" w:type="dxa"/>
                  <w:shd w:val="clear" w:color="auto" w:fill="FFFFFF"/>
                  <w:tcMar>
                    <w:top w:w="0" w:type="dxa"/>
                    <w:left w:w="0" w:type="dxa"/>
                    <w:bottom w:w="0" w:type="dxa"/>
                    <w:right w:w="0" w:type="dxa"/>
                  </w:tcMar>
                  <w:vAlign w:val="center"/>
                </w:tcPr>
                <w:p w14:paraId="3930D25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生产车间</w:t>
                  </w:r>
                </w:p>
              </w:tc>
              <w:tc>
                <w:tcPr>
                  <w:tcW w:w="992" w:type="dxa"/>
                  <w:shd w:val="clear" w:color="auto" w:fill="FFFFFF"/>
                  <w:tcMar>
                    <w:top w:w="0" w:type="dxa"/>
                    <w:left w:w="0" w:type="dxa"/>
                    <w:bottom w:w="0" w:type="dxa"/>
                    <w:right w:w="0" w:type="dxa"/>
                  </w:tcMar>
                  <w:vAlign w:val="center"/>
                </w:tcPr>
                <w:p w14:paraId="4DB1DC7A">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rPr>
                    <w:t>回流泵</w:t>
                  </w:r>
                </w:p>
              </w:tc>
              <w:tc>
                <w:tcPr>
                  <w:tcW w:w="567" w:type="dxa"/>
                  <w:shd w:val="clear" w:color="auto" w:fill="FFFFFF"/>
                  <w:tcMar>
                    <w:top w:w="0" w:type="dxa"/>
                    <w:left w:w="0" w:type="dxa"/>
                    <w:bottom w:w="0" w:type="dxa"/>
                    <w:right w:w="0" w:type="dxa"/>
                  </w:tcMar>
                  <w:vAlign w:val="center"/>
                </w:tcPr>
                <w:p w14:paraId="1A844A9C">
                  <w:pPr>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70</w:t>
                  </w:r>
                </w:p>
              </w:tc>
              <w:tc>
                <w:tcPr>
                  <w:tcW w:w="425" w:type="dxa"/>
                  <w:vMerge w:val="continue"/>
                  <w:shd w:val="clear" w:color="auto" w:fill="FFFFFF"/>
                  <w:tcMar>
                    <w:top w:w="0" w:type="dxa"/>
                    <w:left w:w="0" w:type="dxa"/>
                    <w:bottom w:w="0" w:type="dxa"/>
                    <w:right w:w="0" w:type="dxa"/>
                  </w:tcMar>
                  <w:vAlign w:val="center"/>
                </w:tcPr>
                <w:p w14:paraId="71584E94">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p>
              </w:tc>
              <w:tc>
                <w:tcPr>
                  <w:tcW w:w="414" w:type="dxa"/>
                  <w:shd w:val="clear" w:color="auto" w:fill="FFFFFF"/>
                  <w:tcMar>
                    <w:top w:w="0" w:type="dxa"/>
                    <w:left w:w="0" w:type="dxa"/>
                    <w:bottom w:w="0" w:type="dxa"/>
                    <w:right w:w="0" w:type="dxa"/>
                  </w:tcMar>
                  <w:vAlign w:val="center"/>
                </w:tcPr>
                <w:p w14:paraId="1A82E3D9">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14.9</w:t>
                  </w:r>
                </w:p>
              </w:tc>
              <w:tc>
                <w:tcPr>
                  <w:tcW w:w="569" w:type="dxa"/>
                  <w:shd w:val="clear" w:color="auto" w:fill="FFFFFF"/>
                  <w:tcMar>
                    <w:top w:w="0" w:type="dxa"/>
                    <w:left w:w="0" w:type="dxa"/>
                    <w:bottom w:w="0" w:type="dxa"/>
                    <w:right w:w="0" w:type="dxa"/>
                  </w:tcMar>
                  <w:vAlign w:val="center"/>
                </w:tcPr>
                <w:p w14:paraId="3363E4B8">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80.9</w:t>
                  </w:r>
                </w:p>
              </w:tc>
              <w:tc>
                <w:tcPr>
                  <w:tcW w:w="571" w:type="dxa"/>
                  <w:shd w:val="clear" w:color="auto" w:fill="FFFFFF"/>
                  <w:tcMar>
                    <w:top w:w="0" w:type="dxa"/>
                    <w:left w:w="0" w:type="dxa"/>
                    <w:bottom w:w="0" w:type="dxa"/>
                    <w:right w:w="0" w:type="dxa"/>
                  </w:tcMar>
                  <w:vAlign w:val="center"/>
                </w:tcPr>
                <w:p w14:paraId="4EDE86F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472" w:type="dxa"/>
                  <w:shd w:val="clear" w:color="auto" w:fill="FFFFFF"/>
                  <w:tcMar>
                    <w:top w:w="0" w:type="dxa"/>
                    <w:left w:w="0" w:type="dxa"/>
                    <w:bottom w:w="0" w:type="dxa"/>
                    <w:right w:w="0" w:type="dxa"/>
                  </w:tcMar>
                  <w:vAlign w:val="center"/>
                </w:tcPr>
                <w:p w14:paraId="34603959">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31.1</w:t>
                  </w:r>
                </w:p>
              </w:tc>
              <w:tc>
                <w:tcPr>
                  <w:tcW w:w="472" w:type="dxa"/>
                  <w:shd w:val="clear" w:color="auto" w:fill="FFFFFF"/>
                  <w:tcMar>
                    <w:top w:w="0" w:type="dxa"/>
                    <w:left w:w="0" w:type="dxa"/>
                    <w:bottom w:w="0" w:type="dxa"/>
                    <w:right w:w="0" w:type="dxa"/>
                  </w:tcMar>
                  <w:vAlign w:val="center"/>
                </w:tcPr>
                <w:p w14:paraId="40F415F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116.0</w:t>
                  </w:r>
                </w:p>
              </w:tc>
              <w:tc>
                <w:tcPr>
                  <w:tcW w:w="472" w:type="dxa"/>
                  <w:shd w:val="clear" w:color="auto" w:fill="FFFFFF"/>
                  <w:tcMar>
                    <w:top w:w="0" w:type="dxa"/>
                    <w:left w:w="0" w:type="dxa"/>
                    <w:bottom w:w="0" w:type="dxa"/>
                    <w:right w:w="0" w:type="dxa"/>
                  </w:tcMar>
                  <w:vAlign w:val="center"/>
                </w:tcPr>
                <w:p w14:paraId="635F7B9E">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72.1</w:t>
                  </w:r>
                </w:p>
              </w:tc>
              <w:tc>
                <w:tcPr>
                  <w:tcW w:w="475" w:type="dxa"/>
                  <w:shd w:val="clear" w:color="auto" w:fill="FFFFFF"/>
                  <w:tcMar>
                    <w:top w:w="0" w:type="dxa"/>
                    <w:left w:w="0" w:type="dxa"/>
                    <w:bottom w:w="0" w:type="dxa"/>
                    <w:right w:w="0" w:type="dxa"/>
                  </w:tcMar>
                  <w:vAlign w:val="center"/>
                </w:tcPr>
                <w:p w14:paraId="19E8426B">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14.1</w:t>
                  </w:r>
                </w:p>
              </w:tc>
              <w:tc>
                <w:tcPr>
                  <w:tcW w:w="466" w:type="dxa"/>
                  <w:shd w:val="clear" w:color="auto" w:fill="FFFFFF"/>
                  <w:tcMar>
                    <w:top w:w="0" w:type="dxa"/>
                    <w:left w:w="0" w:type="dxa"/>
                    <w:bottom w:w="0" w:type="dxa"/>
                    <w:right w:w="0" w:type="dxa"/>
                  </w:tcMar>
                  <w:vAlign w:val="center"/>
                </w:tcPr>
                <w:p w14:paraId="55649CA4">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67.8</w:t>
                  </w:r>
                </w:p>
              </w:tc>
              <w:tc>
                <w:tcPr>
                  <w:tcW w:w="466" w:type="dxa"/>
                  <w:shd w:val="clear" w:color="auto" w:fill="FFFFFF"/>
                  <w:tcMar>
                    <w:top w:w="0" w:type="dxa"/>
                    <w:left w:w="0" w:type="dxa"/>
                    <w:bottom w:w="0" w:type="dxa"/>
                    <w:right w:w="0" w:type="dxa"/>
                  </w:tcMar>
                  <w:vAlign w:val="center"/>
                </w:tcPr>
                <w:p w14:paraId="052310D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67.7</w:t>
                  </w:r>
                </w:p>
              </w:tc>
              <w:tc>
                <w:tcPr>
                  <w:tcW w:w="466" w:type="dxa"/>
                  <w:shd w:val="clear" w:color="auto" w:fill="FFFFFF"/>
                  <w:tcMar>
                    <w:top w:w="0" w:type="dxa"/>
                    <w:left w:w="0" w:type="dxa"/>
                    <w:bottom w:w="0" w:type="dxa"/>
                    <w:right w:w="0" w:type="dxa"/>
                  </w:tcMar>
                  <w:vAlign w:val="center"/>
                </w:tcPr>
                <w:p w14:paraId="041C28BF">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67.7</w:t>
                  </w:r>
                </w:p>
              </w:tc>
              <w:tc>
                <w:tcPr>
                  <w:tcW w:w="468" w:type="dxa"/>
                  <w:shd w:val="clear" w:color="auto" w:fill="FFFFFF"/>
                  <w:tcMar>
                    <w:top w:w="0" w:type="dxa"/>
                    <w:left w:w="0" w:type="dxa"/>
                    <w:bottom w:w="0" w:type="dxa"/>
                    <w:right w:w="0" w:type="dxa"/>
                  </w:tcMar>
                  <w:vAlign w:val="center"/>
                </w:tcPr>
                <w:p w14:paraId="13E8DDED">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67.9</w:t>
                  </w:r>
                </w:p>
              </w:tc>
              <w:tc>
                <w:tcPr>
                  <w:tcW w:w="404" w:type="dxa"/>
                  <w:shd w:val="clear" w:color="auto" w:fill="FFFFFF"/>
                  <w:tcMar>
                    <w:top w:w="0" w:type="dxa"/>
                    <w:left w:w="0" w:type="dxa"/>
                    <w:bottom w:w="0" w:type="dxa"/>
                    <w:right w:w="0" w:type="dxa"/>
                  </w:tcMar>
                  <w:vAlign w:val="center"/>
                </w:tcPr>
                <w:p w14:paraId="10A7D73A">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50" w:type="dxa"/>
                  <w:shd w:val="clear" w:color="auto" w:fill="FFFFFF"/>
                  <w:tcMar>
                    <w:top w:w="0" w:type="dxa"/>
                    <w:left w:w="0" w:type="dxa"/>
                    <w:bottom w:w="0" w:type="dxa"/>
                    <w:right w:w="0" w:type="dxa"/>
                  </w:tcMar>
                  <w:vAlign w:val="center"/>
                </w:tcPr>
                <w:p w14:paraId="6D69D2F3">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7F9D0A2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5C569742">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50" w:type="dxa"/>
                  <w:shd w:val="clear" w:color="auto" w:fill="FFFFFF"/>
                  <w:tcMar>
                    <w:top w:w="0" w:type="dxa"/>
                    <w:left w:w="0" w:type="dxa"/>
                    <w:bottom w:w="0" w:type="dxa"/>
                    <w:right w:w="0" w:type="dxa"/>
                  </w:tcMar>
                  <w:vAlign w:val="center"/>
                </w:tcPr>
                <w:p w14:paraId="3741CBF4">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26.0</w:t>
                  </w:r>
                </w:p>
              </w:tc>
              <w:tc>
                <w:tcPr>
                  <w:tcW w:w="479" w:type="dxa"/>
                  <w:shd w:val="clear" w:color="auto" w:fill="FFFFFF"/>
                  <w:tcMar>
                    <w:top w:w="0" w:type="dxa"/>
                    <w:left w:w="0" w:type="dxa"/>
                    <w:bottom w:w="0" w:type="dxa"/>
                    <w:right w:w="0" w:type="dxa"/>
                  </w:tcMar>
                  <w:vAlign w:val="center"/>
                </w:tcPr>
                <w:p w14:paraId="339E7B92">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41.8</w:t>
                  </w:r>
                </w:p>
              </w:tc>
              <w:tc>
                <w:tcPr>
                  <w:tcW w:w="479" w:type="dxa"/>
                  <w:shd w:val="clear" w:color="auto" w:fill="FFFFFF"/>
                  <w:tcMar>
                    <w:top w:w="0" w:type="dxa"/>
                    <w:left w:w="0" w:type="dxa"/>
                    <w:bottom w:w="0" w:type="dxa"/>
                    <w:right w:w="0" w:type="dxa"/>
                  </w:tcMar>
                  <w:vAlign w:val="center"/>
                </w:tcPr>
                <w:p w14:paraId="324D05EC">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41.7</w:t>
                  </w:r>
                </w:p>
              </w:tc>
              <w:tc>
                <w:tcPr>
                  <w:tcW w:w="479" w:type="dxa"/>
                  <w:shd w:val="clear" w:color="auto" w:fill="FFFFFF"/>
                  <w:tcMar>
                    <w:top w:w="0" w:type="dxa"/>
                    <w:left w:w="0" w:type="dxa"/>
                    <w:bottom w:w="0" w:type="dxa"/>
                    <w:right w:w="0" w:type="dxa"/>
                  </w:tcMar>
                  <w:vAlign w:val="center"/>
                </w:tcPr>
                <w:p w14:paraId="0BA1655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41.7</w:t>
                  </w:r>
                </w:p>
              </w:tc>
              <w:tc>
                <w:tcPr>
                  <w:tcW w:w="480" w:type="dxa"/>
                  <w:shd w:val="clear" w:color="auto" w:fill="FFFFFF"/>
                  <w:tcMar>
                    <w:top w:w="0" w:type="dxa"/>
                    <w:left w:w="0" w:type="dxa"/>
                    <w:bottom w:w="0" w:type="dxa"/>
                    <w:right w:w="0" w:type="dxa"/>
                  </w:tcMar>
                  <w:vAlign w:val="center"/>
                </w:tcPr>
                <w:p w14:paraId="7FFD5F00">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41.9</w:t>
                  </w:r>
                </w:p>
              </w:tc>
              <w:tc>
                <w:tcPr>
                  <w:tcW w:w="491" w:type="dxa"/>
                  <w:shd w:val="clear" w:color="auto" w:fill="FFFFFF"/>
                  <w:tcMar>
                    <w:top w:w="0" w:type="dxa"/>
                    <w:left w:w="0" w:type="dxa"/>
                    <w:bottom w:w="0" w:type="dxa"/>
                    <w:right w:w="0" w:type="dxa"/>
                  </w:tcMar>
                  <w:vAlign w:val="center"/>
                </w:tcPr>
                <w:p w14:paraId="111E9CC6">
                  <w:pPr>
                    <w:pStyle w:val="107"/>
                    <w:keepNext w:val="0"/>
                    <w:keepLines w:val="0"/>
                    <w:pageBreakBefore w:val="0"/>
                    <w:widowControl w:val="0"/>
                    <w:kinsoku/>
                    <w:wordWrap/>
                    <w:overflowPunct/>
                    <w:topLinePunct w:val="0"/>
                    <w:autoSpaceDE/>
                    <w:autoSpaceDN/>
                    <w:bidi w:val="0"/>
                    <w:ind w:left="-21" w:leftChars="-10" w:right="-21" w:rightChars="-1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r>
            <w:bookmarkEnd w:id="16"/>
          </w:tbl>
          <w:p w14:paraId="4279ACD3">
            <w:pPr>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表中坐标以厂界中心（</w:t>
            </w:r>
            <w:bookmarkStart w:id="18" w:name="PO_6"/>
            <w:r>
              <w:rPr>
                <w:rFonts w:hint="default" w:ascii="Times New Roman" w:hAnsi="Times New Roman" w:cs="Times New Roman" w:eastAsiaTheme="minorEastAsia"/>
                <w:b w:val="0"/>
                <w:bCs/>
                <w:sz w:val="21"/>
                <w:szCs w:val="21"/>
                <w:lang w:val="en-US" w:eastAsia="zh-CN"/>
              </w:rPr>
              <w:t>86.0449371,41.758766</w:t>
            </w:r>
            <w:bookmarkEnd w:id="18"/>
            <w:r>
              <w:rPr>
                <w:rFonts w:hint="eastAsia"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为坐标原点，正东向为X轴正方向，正北向为Y轴正方向</w:t>
            </w:r>
          </w:p>
          <w:p w14:paraId="67EADE9C"/>
        </w:tc>
      </w:tr>
    </w:tbl>
    <w:p w14:paraId="4109C529">
      <w:pPr>
        <w:sectPr>
          <w:pgSz w:w="16840" w:h="11907" w:orient="landscape"/>
          <w:pgMar w:top="1531" w:right="1418" w:bottom="1531" w:left="1418" w:header="851" w:footer="851" w:gutter="0"/>
          <w:pgBorders>
            <w:top w:val="none" w:sz="0" w:space="0"/>
            <w:left w:val="none" w:sz="0" w:space="0"/>
            <w:bottom w:val="none" w:sz="0" w:space="0"/>
            <w:right w:val="none" w:sz="0" w:space="0"/>
          </w:pgBorders>
          <w:cols w:space="720" w:num="1"/>
          <w:docGrid w:linePitch="312" w:charSpace="0"/>
        </w:sectPr>
      </w:pPr>
    </w:p>
    <w:tbl>
      <w:tblPr>
        <w:tblStyle w:val="29"/>
        <w:tblW w:w="505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622"/>
      </w:tblGrid>
      <w:tr w14:paraId="3CFE2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69" w:hRule="atLeast"/>
          <w:jc w:val="center"/>
        </w:trPr>
        <w:tc>
          <w:tcPr>
            <w:tcW w:w="248" w:type="pct"/>
            <w:tcMar>
              <w:left w:w="28" w:type="dxa"/>
              <w:right w:w="28" w:type="dxa"/>
            </w:tcMar>
            <w:vAlign w:val="center"/>
          </w:tcPr>
          <w:p w14:paraId="000C0544">
            <w:pPr>
              <w:adjustRightInd w:val="0"/>
              <w:snapToGrid w:val="0"/>
              <w:jc w:val="center"/>
              <w:rPr>
                <w:b/>
                <w:sz w:val="28"/>
                <w:szCs w:val="28"/>
              </w:rPr>
            </w:pPr>
            <w:r>
              <w:br w:type="page"/>
            </w:r>
          </w:p>
        </w:tc>
        <w:tc>
          <w:tcPr>
            <w:tcW w:w="4751" w:type="pct"/>
          </w:tcPr>
          <w:p w14:paraId="46265D6C">
            <w:pPr>
              <w:adjustRightInd w:val="0"/>
              <w:snapToGrid w:val="0"/>
              <w:spacing w:line="360" w:lineRule="auto"/>
              <w:ind w:firstLine="482" w:firstLineChars="200"/>
              <w:rPr>
                <w:b/>
                <w:bCs/>
                <w:sz w:val="24"/>
              </w:rPr>
            </w:pPr>
            <w:r>
              <w:rPr>
                <w:b/>
                <w:bCs/>
                <w:sz w:val="24"/>
              </w:rPr>
              <w:t>3.2预测模式选用</w:t>
            </w:r>
          </w:p>
          <w:p w14:paraId="5E99B4B9">
            <w:pPr>
              <w:adjustRightInd w:val="0"/>
              <w:snapToGrid w:val="0"/>
              <w:spacing w:line="360" w:lineRule="auto"/>
              <w:ind w:firstLine="480" w:firstLineChars="200"/>
            </w:pPr>
            <w:r>
              <w:rPr>
                <w:sz w:val="24"/>
              </w:rPr>
              <w:t>计算采用《环境影响评价技术导则　声环境》（HJ2.4-2009</w:t>
            </w:r>
            <w:r>
              <w:rPr>
                <w:rFonts w:hint="eastAsia"/>
                <w:sz w:val="24"/>
                <w:lang w:eastAsia="zh-CN"/>
              </w:rPr>
              <w:t>）</w:t>
            </w:r>
            <w:r>
              <w:rPr>
                <w:sz w:val="24"/>
              </w:rPr>
              <w:t>中推荐的点声源衰减模式，计算公式如下：</w:t>
            </w:r>
          </w:p>
          <w:p w14:paraId="4A36EFBC">
            <w:pPr>
              <w:adjustRightInd w:val="0"/>
              <w:snapToGrid w:val="0"/>
              <w:spacing w:line="360" w:lineRule="auto"/>
              <w:jc w:val="center"/>
              <w:rPr>
                <w:sz w:val="24"/>
              </w:rPr>
            </w:pPr>
            <w:r>
              <w:drawing>
                <wp:inline distT="0" distB="0" distL="114300" distR="114300">
                  <wp:extent cx="1533525" cy="323850"/>
                  <wp:effectExtent l="0" t="0" r="9525"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19"/>
                          <a:stretch>
                            <a:fillRect/>
                          </a:stretch>
                        </pic:blipFill>
                        <pic:spPr>
                          <a:xfrm>
                            <a:off x="0" y="0"/>
                            <a:ext cx="1533525" cy="323850"/>
                          </a:xfrm>
                          <a:prstGeom prst="rect">
                            <a:avLst/>
                          </a:prstGeom>
                          <a:noFill/>
                          <a:ln>
                            <a:noFill/>
                          </a:ln>
                        </pic:spPr>
                      </pic:pic>
                    </a:graphicData>
                  </a:graphic>
                </wp:inline>
              </w:drawing>
            </w:r>
          </w:p>
          <w:p w14:paraId="21EC8AD3">
            <w:pPr>
              <w:adjustRightInd w:val="0"/>
              <w:snapToGrid w:val="0"/>
              <w:spacing w:line="360" w:lineRule="auto"/>
              <w:ind w:firstLine="480" w:firstLineChars="200"/>
              <w:rPr>
                <w:sz w:val="24"/>
              </w:rPr>
            </w:pPr>
            <w:r>
              <w:rPr>
                <w:sz w:val="24"/>
              </w:rPr>
              <w:t>式中：L</w:t>
            </w:r>
            <w:r>
              <w:rPr>
                <w:rFonts w:hint="eastAsia"/>
                <w:sz w:val="24"/>
                <w:lang w:eastAsia="zh-CN"/>
              </w:rPr>
              <w:t>（</w:t>
            </w:r>
            <w:r>
              <w:rPr>
                <w:sz w:val="24"/>
              </w:rPr>
              <w:t>r</w:t>
            </w:r>
            <w:r>
              <w:rPr>
                <w:rFonts w:hint="eastAsia"/>
                <w:sz w:val="24"/>
                <w:lang w:eastAsia="zh-CN"/>
              </w:rPr>
              <w:t>）</w:t>
            </w:r>
            <w:r>
              <w:rPr>
                <w:sz w:val="24"/>
                <w:vertAlign w:val="superscript"/>
              </w:rPr>
              <w:t>_________</w:t>
            </w:r>
            <w:r>
              <w:rPr>
                <w:sz w:val="24"/>
              </w:rPr>
              <w:t>距声源r距离上的A声压级；</w:t>
            </w:r>
          </w:p>
          <w:p w14:paraId="6528BB0E">
            <w:pPr>
              <w:adjustRightInd w:val="0"/>
              <w:snapToGrid w:val="0"/>
              <w:spacing w:line="360" w:lineRule="auto"/>
              <w:ind w:firstLine="1200" w:firstLineChars="500"/>
              <w:rPr>
                <w:sz w:val="24"/>
              </w:rPr>
            </w:pPr>
            <w:r>
              <w:rPr>
                <w:sz w:val="24"/>
              </w:rPr>
              <w:t>L</w:t>
            </w:r>
            <w:r>
              <w:rPr>
                <w:rFonts w:hint="eastAsia"/>
                <w:sz w:val="24"/>
                <w:lang w:eastAsia="zh-CN"/>
              </w:rPr>
              <w:t>（</w:t>
            </w:r>
            <w:r>
              <w:rPr>
                <w:sz w:val="24"/>
              </w:rPr>
              <w:t>r</w:t>
            </w:r>
            <w:r>
              <w:rPr>
                <w:sz w:val="24"/>
                <w:vertAlign w:val="subscript"/>
              </w:rPr>
              <w:t>0</w:t>
            </w:r>
            <w:r>
              <w:rPr>
                <w:rFonts w:hint="eastAsia"/>
                <w:sz w:val="24"/>
                <w:lang w:eastAsia="zh-CN"/>
              </w:rPr>
              <w:t>）</w:t>
            </w:r>
            <w:r>
              <w:rPr>
                <w:sz w:val="24"/>
                <w:vertAlign w:val="superscript"/>
              </w:rPr>
              <w:t>_________</w:t>
            </w:r>
            <w:r>
              <w:rPr>
                <w:sz w:val="24"/>
              </w:rPr>
              <w:t>距声源r距离上的A声压级；</w:t>
            </w:r>
          </w:p>
          <w:p w14:paraId="220B8F12">
            <w:pPr>
              <w:adjustRightInd w:val="0"/>
              <w:snapToGrid w:val="0"/>
              <w:spacing w:line="360" w:lineRule="auto"/>
              <w:ind w:firstLine="1200" w:firstLineChars="500"/>
              <w:rPr>
                <w:sz w:val="24"/>
              </w:rPr>
            </w:pPr>
            <w:r>
              <w:rPr>
                <w:sz w:val="24"/>
              </w:rPr>
              <w:t>r、r</w:t>
            </w:r>
            <w:r>
              <w:rPr>
                <w:sz w:val="24"/>
                <w:vertAlign w:val="subscript"/>
              </w:rPr>
              <w:t>0</w:t>
            </w:r>
            <w:r>
              <w:rPr>
                <w:sz w:val="24"/>
                <w:vertAlign w:val="superscript"/>
              </w:rPr>
              <w:t>_________</w:t>
            </w:r>
            <w:r>
              <w:rPr>
                <w:sz w:val="24"/>
              </w:rPr>
              <w:t>距声源距离（m</w:t>
            </w:r>
            <w:r>
              <w:rPr>
                <w:rFonts w:hint="eastAsia"/>
                <w:sz w:val="24"/>
                <w:lang w:eastAsia="zh-CN"/>
              </w:rPr>
              <w:t>）</w:t>
            </w:r>
            <w:r>
              <w:rPr>
                <w:sz w:val="24"/>
              </w:rPr>
              <w:t>。</w:t>
            </w:r>
          </w:p>
          <w:p w14:paraId="45A36D60">
            <w:pPr>
              <w:adjustRightInd w:val="0"/>
              <w:snapToGrid w:val="0"/>
              <w:spacing w:line="360" w:lineRule="auto"/>
              <w:ind w:firstLine="480" w:firstLineChars="200"/>
              <w:rPr>
                <w:sz w:val="24"/>
              </w:rPr>
            </w:pPr>
            <w:r>
              <w:rPr>
                <w:sz w:val="24"/>
              </w:rPr>
              <w:t>多源叠加计算总声压级各受声点上受到多个声源的影响叠加，计算公式如下：</w:t>
            </w:r>
          </w:p>
          <w:p w14:paraId="7AB28A7C">
            <w:pPr>
              <w:adjustRightInd w:val="0"/>
              <w:snapToGrid w:val="0"/>
              <w:spacing w:line="360" w:lineRule="auto"/>
              <w:jc w:val="center"/>
              <w:rPr>
                <w:sz w:val="24"/>
              </w:rPr>
            </w:pPr>
            <w:r>
              <w:drawing>
                <wp:inline distT="0" distB="0" distL="114300" distR="114300">
                  <wp:extent cx="1609725" cy="415290"/>
                  <wp:effectExtent l="0" t="0" r="9525" b="3810"/>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pic:cNvPicPr>
                        </pic:nvPicPr>
                        <pic:blipFill>
                          <a:blip r:embed="rId20"/>
                          <a:stretch>
                            <a:fillRect/>
                          </a:stretch>
                        </pic:blipFill>
                        <pic:spPr>
                          <a:xfrm>
                            <a:off x="0" y="0"/>
                            <a:ext cx="1609725" cy="415290"/>
                          </a:xfrm>
                          <a:prstGeom prst="rect">
                            <a:avLst/>
                          </a:prstGeom>
                          <a:noFill/>
                          <a:ln>
                            <a:noFill/>
                          </a:ln>
                        </pic:spPr>
                      </pic:pic>
                    </a:graphicData>
                  </a:graphic>
                </wp:inline>
              </w:drawing>
            </w:r>
          </w:p>
          <w:p w14:paraId="3456CC86">
            <w:pPr>
              <w:adjustRightInd w:val="0"/>
              <w:snapToGrid w:val="0"/>
              <w:spacing w:line="360" w:lineRule="auto"/>
              <w:ind w:firstLine="480" w:firstLineChars="200"/>
              <w:rPr>
                <w:sz w:val="24"/>
              </w:rPr>
            </w:pPr>
            <w:r>
              <w:rPr>
                <w:sz w:val="24"/>
              </w:rPr>
              <w:t>式中：L</w:t>
            </w:r>
            <w:r>
              <w:rPr>
                <w:sz w:val="24"/>
                <w:vertAlign w:val="subscript"/>
              </w:rPr>
              <w:t>eq</w:t>
            </w:r>
            <w:r>
              <w:rPr>
                <w:sz w:val="24"/>
              </w:rPr>
              <w:t>总—总等效声级，dB</w:t>
            </w:r>
            <w:r>
              <w:rPr>
                <w:rFonts w:hint="eastAsia"/>
                <w:sz w:val="24"/>
                <w:lang w:eastAsia="zh-CN"/>
              </w:rPr>
              <w:t>（</w:t>
            </w:r>
            <w:r>
              <w:rPr>
                <w:sz w:val="24"/>
              </w:rPr>
              <w:t>A</w:t>
            </w:r>
            <w:r>
              <w:rPr>
                <w:rFonts w:hint="eastAsia"/>
                <w:sz w:val="24"/>
                <w:lang w:eastAsia="zh-CN"/>
              </w:rPr>
              <w:t>）</w:t>
            </w:r>
            <w:r>
              <w:rPr>
                <w:sz w:val="24"/>
              </w:rPr>
              <w:t>；</w:t>
            </w:r>
          </w:p>
          <w:p w14:paraId="0B8F01F8">
            <w:pPr>
              <w:adjustRightInd w:val="0"/>
              <w:snapToGrid w:val="0"/>
              <w:spacing w:line="360" w:lineRule="auto"/>
              <w:ind w:firstLine="480" w:firstLineChars="200"/>
              <w:rPr>
                <w:sz w:val="24"/>
              </w:rPr>
            </w:pPr>
            <w:r>
              <w:rPr>
                <w:sz w:val="24"/>
              </w:rPr>
              <w:t>Leq</w:t>
            </w:r>
            <w:r>
              <w:rPr>
                <w:sz w:val="24"/>
                <w:vertAlign w:val="subscript"/>
              </w:rPr>
              <w:t>i</w:t>
            </w:r>
            <w:r>
              <w:rPr>
                <w:sz w:val="24"/>
              </w:rPr>
              <w:t>—第i声源对某预测点的等效声级，dB</w:t>
            </w:r>
            <w:r>
              <w:rPr>
                <w:rFonts w:hint="eastAsia"/>
                <w:sz w:val="24"/>
                <w:lang w:eastAsia="zh-CN"/>
              </w:rPr>
              <w:t>（</w:t>
            </w:r>
            <w:r>
              <w:rPr>
                <w:sz w:val="24"/>
              </w:rPr>
              <w:t>A</w:t>
            </w:r>
            <w:r>
              <w:rPr>
                <w:rFonts w:hint="eastAsia"/>
                <w:sz w:val="24"/>
                <w:lang w:eastAsia="zh-CN"/>
              </w:rPr>
              <w:t>）</w:t>
            </w:r>
            <w:r>
              <w:rPr>
                <w:sz w:val="24"/>
              </w:rPr>
              <w:t>；</w:t>
            </w:r>
          </w:p>
          <w:p w14:paraId="4B82FA00">
            <w:pPr>
              <w:adjustRightInd w:val="0"/>
              <w:snapToGrid w:val="0"/>
              <w:spacing w:line="360" w:lineRule="auto"/>
              <w:ind w:firstLine="480" w:firstLineChars="200"/>
              <w:rPr>
                <w:sz w:val="24"/>
              </w:rPr>
            </w:pPr>
            <w:r>
              <w:rPr>
                <w:sz w:val="24"/>
              </w:rPr>
              <w:t>n—声源总数。</w:t>
            </w:r>
          </w:p>
          <w:p w14:paraId="3302880A">
            <w:pPr>
              <w:adjustRightInd w:val="0"/>
              <w:snapToGrid w:val="0"/>
              <w:spacing w:line="360" w:lineRule="auto"/>
              <w:ind w:firstLine="482" w:firstLineChars="200"/>
              <w:rPr>
                <w:b/>
                <w:bCs/>
                <w:sz w:val="24"/>
              </w:rPr>
            </w:pPr>
            <w:r>
              <w:rPr>
                <w:b/>
                <w:bCs/>
                <w:sz w:val="24"/>
              </w:rPr>
              <w:t>3.3噪声影响分析及预测结果</w:t>
            </w:r>
          </w:p>
          <w:p w14:paraId="297DD5E0">
            <w:pPr>
              <w:widowControl/>
              <w:adjustRightInd w:val="0"/>
              <w:snapToGrid w:val="0"/>
              <w:spacing w:line="360" w:lineRule="auto"/>
              <w:ind w:firstLine="480" w:firstLineChars="200"/>
              <w:rPr>
                <w:b/>
                <w:bCs/>
                <w:color w:val="auto"/>
                <w:szCs w:val="21"/>
              </w:rPr>
            </w:pPr>
            <w:r>
              <w:rPr>
                <w:sz w:val="24"/>
              </w:rPr>
              <w:t>本项目所有设备均置于车间内，采用基础减振，车间门窗隔音及距离衰减等措施治理后，厂界</w:t>
            </w:r>
            <w:r>
              <w:rPr>
                <w:color w:val="auto"/>
                <w:sz w:val="24"/>
              </w:rPr>
              <w:t>处噪声值预测结果见下表。</w:t>
            </w:r>
          </w:p>
          <w:p w14:paraId="3522132B">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lang w:eastAsia="zh-CN"/>
              </w:rPr>
            </w:pPr>
            <w:r>
              <w:rPr>
                <w:color w:val="auto"/>
              </w:rPr>
              <w:t>表4-1</w:t>
            </w:r>
            <w:r>
              <w:rPr>
                <w:rFonts w:hint="eastAsia"/>
                <w:color w:val="auto"/>
                <w:lang w:val="en-US" w:eastAsia="zh-CN"/>
              </w:rPr>
              <w:t xml:space="preserve">2   </w:t>
            </w:r>
            <w:r>
              <w:rPr>
                <w:color w:val="auto"/>
              </w:rPr>
              <w:t>各厂界噪声预测结果单位：dB</w:t>
            </w:r>
            <w:r>
              <w:rPr>
                <w:rFonts w:hint="eastAsia"/>
                <w:color w:val="auto"/>
                <w:lang w:eastAsia="zh-CN"/>
              </w:rPr>
              <w:t>（</w:t>
            </w:r>
            <w:r>
              <w:rPr>
                <w:color w:val="auto"/>
              </w:rPr>
              <w:t>A</w:t>
            </w:r>
            <w:r>
              <w:rPr>
                <w:rFonts w:hint="eastAsia"/>
                <w:color w:val="auto"/>
                <w:lang w:eastAsia="zh-CN"/>
              </w:rPr>
              <w:t>）</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752"/>
              <w:gridCol w:w="889"/>
              <w:gridCol w:w="993"/>
              <w:gridCol w:w="850"/>
              <w:gridCol w:w="1276"/>
              <w:gridCol w:w="1276"/>
              <w:gridCol w:w="919"/>
            </w:tblGrid>
            <w:tr w14:paraId="1E276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031" w:type="dxa"/>
                  <w:vMerge w:val="restart"/>
                  <w:vAlign w:val="center"/>
                </w:tcPr>
                <w:p w14:paraId="1030CF3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预测方位</w:t>
                  </w:r>
                </w:p>
              </w:tc>
              <w:tc>
                <w:tcPr>
                  <w:tcW w:w="2634" w:type="dxa"/>
                  <w:gridSpan w:val="3"/>
                  <w:vAlign w:val="center"/>
                </w:tcPr>
                <w:p w14:paraId="4DA4EF42">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最大值点空间相对位置/m</w:t>
                  </w:r>
                </w:p>
              </w:tc>
              <w:tc>
                <w:tcPr>
                  <w:tcW w:w="850" w:type="dxa"/>
                  <w:vMerge w:val="restart"/>
                  <w:vAlign w:val="center"/>
                </w:tcPr>
                <w:p w14:paraId="7E7FC704">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时段</w:t>
                  </w:r>
                </w:p>
              </w:tc>
              <w:tc>
                <w:tcPr>
                  <w:tcW w:w="1276" w:type="dxa"/>
                  <w:vMerge w:val="restart"/>
                  <w:vAlign w:val="center"/>
                </w:tcPr>
                <w:p w14:paraId="6B8A49D2">
                  <w:pPr>
                    <w:pStyle w:val="42"/>
                    <w:spacing w:before="24" w:after="24"/>
                    <w:rPr>
                      <w:rFonts w:hint="eastAsia" w:ascii="Times New Roman" w:hAnsi="Times New Roman" w:cs="Times New Roman" w:eastAsiaTheme="minorEastAsia"/>
                      <w:color w:val="auto"/>
                      <w:szCs w:val="21"/>
                      <w:lang w:eastAsia="zh-CN"/>
                    </w:rPr>
                  </w:pPr>
                  <w:r>
                    <w:rPr>
                      <w:rFonts w:ascii="Times New Roman" w:hAnsi="Times New Roman" w:cs="Times New Roman" w:eastAsiaTheme="minorEastAsia"/>
                      <w:color w:val="auto"/>
                      <w:szCs w:val="21"/>
                    </w:rPr>
                    <w:t>贡献值（dB</w:t>
                  </w:r>
                  <w:r>
                    <w:rPr>
                      <w:rFonts w:hint="eastAsia" w:ascii="Times New Roman" w:hAnsi="Times New Roman" w:cs="Times New Roman" w:eastAsiaTheme="minorEastAsia"/>
                      <w:color w:val="auto"/>
                      <w:szCs w:val="21"/>
                      <w:lang w:eastAsia="zh-CN"/>
                    </w:rPr>
                    <w:t>（</w:t>
                  </w:r>
                  <w:r>
                    <w:rPr>
                      <w:rFonts w:ascii="Times New Roman" w:hAnsi="Times New Roman" w:cs="Times New Roman" w:eastAsiaTheme="minorEastAsia"/>
                      <w:color w:val="auto"/>
                      <w:szCs w:val="21"/>
                    </w:rPr>
                    <w:t>A</w:t>
                  </w:r>
                  <w:r>
                    <w:rPr>
                      <w:rFonts w:hint="eastAsia" w:ascii="Times New Roman" w:hAnsi="Times New Roman" w:cs="Times New Roman" w:eastAsiaTheme="minorEastAsia"/>
                      <w:color w:val="auto"/>
                      <w:szCs w:val="21"/>
                      <w:lang w:eastAsia="zh-CN"/>
                    </w:rPr>
                    <w:t>））</w:t>
                  </w:r>
                </w:p>
              </w:tc>
              <w:tc>
                <w:tcPr>
                  <w:tcW w:w="1276" w:type="dxa"/>
                  <w:vMerge w:val="restart"/>
                  <w:vAlign w:val="center"/>
                </w:tcPr>
                <w:p w14:paraId="62C4011F">
                  <w:pPr>
                    <w:pStyle w:val="42"/>
                    <w:spacing w:before="24" w:after="24"/>
                    <w:rPr>
                      <w:rFonts w:hint="eastAsia" w:ascii="Times New Roman" w:hAnsi="Times New Roman" w:cs="Times New Roman" w:eastAsiaTheme="minorEastAsia"/>
                      <w:color w:val="auto"/>
                      <w:szCs w:val="21"/>
                      <w:lang w:eastAsia="zh-CN"/>
                    </w:rPr>
                  </w:pPr>
                  <w:r>
                    <w:rPr>
                      <w:rFonts w:ascii="Times New Roman" w:hAnsi="Times New Roman" w:cs="Times New Roman" w:eastAsiaTheme="minorEastAsia"/>
                      <w:color w:val="auto"/>
                      <w:szCs w:val="21"/>
                    </w:rPr>
                    <w:t>标准限值（dB</w:t>
                  </w:r>
                  <w:r>
                    <w:rPr>
                      <w:rFonts w:hint="eastAsia" w:ascii="Times New Roman" w:hAnsi="Times New Roman" w:cs="Times New Roman" w:eastAsiaTheme="minorEastAsia"/>
                      <w:color w:val="auto"/>
                      <w:szCs w:val="21"/>
                      <w:lang w:eastAsia="zh-CN"/>
                    </w:rPr>
                    <w:t>（</w:t>
                  </w:r>
                  <w:r>
                    <w:rPr>
                      <w:rFonts w:ascii="Times New Roman" w:hAnsi="Times New Roman" w:cs="Times New Roman" w:eastAsiaTheme="minorEastAsia"/>
                      <w:color w:val="auto"/>
                      <w:szCs w:val="21"/>
                    </w:rPr>
                    <w:t>A</w:t>
                  </w:r>
                  <w:r>
                    <w:rPr>
                      <w:rFonts w:hint="eastAsia" w:ascii="Times New Roman" w:hAnsi="Times New Roman" w:cs="Times New Roman" w:eastAsiaTheme="minorEastAsia"/>
                      <w:color w:val="auto"/>
                      <w:szCs w:val="21"/>
                      <w:lang w:eastAsia="zh-CN"/>
                    </w:rPr>
                    <w:t>））</w:t>
                  </w:r>
                </w:p>
              </w:tc>
              <w:tc>
                <w:tcPr>
                  <w:tcW w:w="919" w:type="dxa"/>
                  <w:vMerge w:val="restart"/>
                  <w:vAlign w:val="center"/>
                </w:tcPr>
                <w:p w14:paraId="2716EC9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达标情况</w:t>
                  </w:r>
                </w:p>
              </w:tc>
            </w:tr>
            <w:tr w14:paraId="380BC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31" w:type="dxa"/>
                  <w:vMerge w:val="continue"/>
                  <w:shd w:val="clear" w:color="auto" w:fill="FFFFFF"/>
                  <w:vAlign w:val="center"/>
                </w:tcPr>
                <w:p w14:paraId="061326D7">
                  <w:pPr>
                    <w:pStyle w:val="42"/>
                    <w:spacing w:before="24" w:after="24"/>
                    <w:rPr>
                      <w:rFonts w:ascii="Times New Roman" w:hAnsi="Times New Roman" w:cs="Times New Roman" w:eastAsiaTheme="minorEastAsia"/>
                      <w:color w:val="auto"/>
                      <w:szCs w:val="21"/>
                    </w:rPr>
                  </w:pPr>
                </w:p>
              </w:tc>
              <w:tc>
                <w:tcPr>
                  <w:tcW w:w="752" w:type="dxa"/>
                  <w:shd w:val="clear" w:color="auto" w:fill="FFFFFF"/>
                  <w:vAlign w:val="center"/>
                </w:tcPr>
                <w:p w14:paraId="19B6D998">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X</w:t>
                  </w:r>
                </w:p>
              </w:tc>
              <w:tc>
                <w:tcPr>
                  <w:tcW w:w="889" w:type="dxa"/>
                  <w:shd w:val="clear" w:color="auto" w:fill="FFFFFF"/>
                  <w:vAlign w:val="center"/>
                </w:tcPr>
                <w:p w14:paraId="73AE6577">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Y</w:t>
                  </w:r>
                </w:p>
              </w:tc>
              <w:tc>
                <w:tcPr>
                  <w:tcW w:w="993" w:type="dxa"/>
                  <w:shd w:val="clear" w:color="auto" w:fill="FFFFFF"/>
                  <w:vAlign w:val="center"/>
                </w:tcPr>
                <w:p w14:paraId="7BF23D0C">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Z</w:t>
                  </w:r>
                </w:p>
              </w:tc>
              <w:tc>
                <w:tcPr>
                  <w:tcW w:w="850" w:type="dxa"/>
                  <w:vMerge w:val="continue"/>
                  <w:shd w:val="clear" w:color="auto" w:fill="FFFFFF"/>
                  <w:vAlign w:val="center"/>
                </w:tcPr>
                <w:p w14:paraId="198B7BF4">
                  <w:pPr>
                    <w:pStyle w:val="42"/>
                    <w:spacing w:before="24" w:after="24"/>
                    <w:rPr>
                      <w:rFonts w:ascii="Times New Roman" w:hAnsi="Times New Roman" w:cs="Times New Roman" w:eastAsiaTheme="minorEastAsia"/>
                      <w:color w:val="auto"/>
                      <w:szCs w:val="21"/>
                    </w:rPr>
                  </w:pPr>
                </w:p>
              </w:tc>
              <w:tc>
                <w:tcPr>
                  <w:tcW w:w="1276" w:type="dxa"/>
                  <w:vMerge w:val="continue"/>
                  <w:shd w:val="clear" w:color="auto" w:fill="FFFFFF"/>
                  <w:vAlign w:val="center"/>
                </w:tcPr>
                <w:p w14:paraId="3B612D53">
                  <w:pPr>
                    <w:pStyle w:val="42"/>
                    <w:spacing w:before="24" w:after="24"/>
                    <w:rPr>
                      <w:rFonts w:ascii="Times New Roman" w:hAnsi="Times New Roman" w:cs="Times New Roman" w:eastAsiaTheme="minorEastAsia"/>
                      <w:color w:val="auto"/>
                      <w:szCs w:val="21"/>
                    </w:rPr>
                  </w:pPr>
                </w:p>
              </w:tc>
              <w:tc>
                <w:tcPr>
                  <w:tcW w:w="1276" w:type="dxa"/>
                  <w:vMerge w:val="continue"/>
                  <w:shd w:val="clear" w:color="auto" w:fill="FFFFFF"/>
                  <w:vAlign w:val="center"/>
                </w:tcPr>
                <w:p w14:paraId="7883D029">
                  <w:pPr>
                    <w:pStyle w:val="42"/>
                    <w:spacing w:before="24" w:after="24"/>
                    <w:rPr>
                      <w:rFonts w:ascii="Times New Roman" w:hAnsi="Times New Roman" w:cs="Times New Roman" w:eastAsiaTheme="minorEastAsia"/>
                      <w:color w:val="auto"/>
                      <w:szCs w:val="21"/>
                    </w:rPr>
                  </w:pPr>
                </w:p>
              </w:tc>
              <w:tc>
                <w:tcPr>
                  <w:tcW w:w="919" w:type="dxa"/>
                  <w:vMerge w:val="continue"/>
                  <w:shd w:val="clear" w:color="auto" w:fill="FFFFFF"/>
                  <w:vAlign w:val="center"/>
                </w:tcPr>
                <w:p w14:paraId="701D2408">
                  <w:pPr>
                    <w:pStyle w:val="42"/>
                    <w:spacing w:before="24" w:after="24"/>
                    <w:rPr>
                      <w:rFonts w:ascii="Times New Roman" w:hAnsi="Times New Roman" w:cs="Times New Roman" w:eastAsiaTheme="minorEastAsia"/>
                      <w:color w:val="auto"/>
                      <w:szCs w:val="21"/>
                    </w:rPr>
                  </w:pPr>
                </w:p>
              </w:tc>
            </w:tr>
            <w:tr w14:paraId="49BF2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6" w:hRule="exact"/>
                <w:jc w:val="center"/>
              </w:trPr>
              <w:tc>
                <w:tcPr>
                  <w:tcW w:w="1031" w:type="dxa"/>
                  <w:shd w:val="clear" w:color="auto" w:fill="FFFFFF"/>
                  <w:vAlign w:val="center"/>
                </w:tcPr>
                <w:p w14:paraId="00AFF2AB">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东侧</w:t>
                  </w:r>
                </w:p>
              </w:tc>
              <w:tc>
                <w:tcPr>
                  <w:tcW w:w="752" w:type="dxa"/>
                  <w:shd w:val="clear" w:color="auto" w:fill="FFFFFF"/>
                  <w:vAlign w:val="center"/>
                </w:tcPr>
                <w:p w14:paraId="538F7884">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43.3</w:t>
                  </w:r>
                </w:p>
              </w:tc>
              <w:tc>
                <w:tcPr>
                  <w:tcW w:w="889" w:type="dxa"/>
                  <w:shd w:val="clear" w:color="auto" w:fill="FFFFFF"/>
                  <w:vAlign w:val="center"/>
                </w:tcPr>
                <w:p w14:paraId="37ED5DDA">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0.2</w:t>
                  </w:r>
                </w:p>
              </w:tc>
              <w:tc>
                <w:tcPr>
                  <w:tcW w:w="993" w:type="dxa"/>
                  <w:shd w:val="clear" w:color="auto" w:fill="FFFFFF"/>
                  <w:vAlign w:val="center"/>
                </w:tcPr>
                <w:p w14:paraId="459F24E7">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1.2</w:t>
                  </w:r>
                </w:p>
              </w:tc>
              <w:tc>
                <w:tcPr>
                  <w:tcW w:w="850" w:type="dxa"/>
                  <w:shd w:val="clear" w:color="auto" w:fill="FFFFFF"/>
                  <w:vAlign w:val="center"/>
                </w:tcPr>
                <w:p w14:paraId="267174A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昼间</w:t>
                  </w:r>
                </w:p>
              </w:tc>
              <w:tc>
                <w:tcPr>
                  <w:tcW w:w="1276" w:type="dxa"/>
                  <w:shd w:val="clear" w:color="auto" w:fill="FFFFFF"/>
                  <w:vAlign w:val="center"/>
                </w:tcPr>
                <w:p w14:paraId="64B63042">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41.7</w:t>
                  </w:r>
                </w:p>
              </w:tc>
              <w:tc>
                <w:tcPr>
                  <w:tcW w:w="1276" w:type="dxa"/>
                  <w:shd w:val="clear" w:color="auto" w:fill="FFFFFF"/>
                  <w:vAlign w:val="center"/>
                </w:tcPr>
                <w:p w14:paraId="37EED016">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60</w:t>
                  </w:r>
                </w:p>
              </w:tc>
              <w:tc>
                <w:tcPr>
                  <w:tcW w:w="919" w:type="dxa"/>
                  <w:shd w:val="clear" w:color="auto" w:fill="FFFFFF"/>
                  <w:vAlign w:val="center"/>
                </w:tcPr>
                <w:p w14:paraId="52D665DB">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达标</w:t>
                  </w:r>
                </w:p>
              </w:tc>
            </w:tr>
            <w:tr w14:paraId="2D93E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6" w:hRule="exact"/>
                <w:jc w:val="center"/>
              </w:trPr>
              <w:tc>
                <w:tcPr>
                  <w:tcW w:w="1031" w:type="dxa"/>
                  <w:shd w:val="clear" w:color="auto" w:fill="FFFFFF"/>
                  <w:vAlign w:val="center"/>
                </w:tcPr>
                <w:p w14:paraId="28BC7122">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南侧</w:t>
                  </w:r>
                </w:p>
              </w:tc>
              <w:tc>
                <w:tcPr>
                  <w:tcW w:w="752" w:type="dxa"/>
                  <w:shd w:val="clear" w:color="auto" w:fill="FFFFFF"/>
                  <w:vAlign w:val="center"/>
                </w:tcPr>
                <w:p w14:paraId="78492F8B">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-39.2</w:t>
                  </w:r>
                </w:p>
              </w:tc>
              <w:tc>
                <w:tcPr>
                  <w:tcW w:w="889" w:type="dxa"/>
                  <w:shd w:val="clear" w:color="auto" w:fill="FFFFFF"/>
                  <w:vAlign w:val="center"/>
                </w:tcPr>
                <w:p w14:paraId="57D7B616">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-14.9</w:t>
                  </w:r>
                </w:p>
              </w:tc>
              <w:tc>
                <w:tcPr>
                  <w:tcW w:w="993" w:type="dxa"/>
                  <w:shd w:val="clear" w:color="auto" w:fill="FFFFFF"/>
                  <w:vAlign w:val="center"/>
                </w:tcPr>
                <w:p w14:paraId="48CBD04E">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1.2</w:t>
                  </w:r>
                </w:p>
              </w:tc>
              <w:tc>
                <w:tcPr>
                  <w:tcW w:w="850" w:type="dxa"/>
                  <w:shd w:val="clear" w:color="auto" w:fill="FFFFFF"/>
                  <w:vAlign w:val="center"/>
                </w:tcPr>
                <w:p w14:paraId="1605222A">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昼间</w:t>
                  </w:r>
                </w:p>
              </w:tc>
              <w:tc>
                <w:tcPr>
                  <w:tcW w:w="1276" w:type="dxa"/>
                  <w:shd w:val="clear" w:color="auto" w:fill="FFFFFF"/>
                  <w:vAlign w:val="center"/>
                </w:tcPr>
                <w:p w14:paraId="17A935DD">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38.2</w:t>
                  </w:r>
                </w:p>
              </w:tc>
              <w:tc>
                <w:tcPr>
                  <w:tcW w:w="1276" w:type="dxa"/>
                  <w:shd w:val="clear" w:color="auto" w:fill="FFFFFF"/>
                  <w:vAlign w:val="center"/>
                </w:tcPr>
                <w:p w14:paraId="3700E316">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60</w:t>
                  </w:r>
                </w:p>
              </w:tc>
              <w:tc>
                <w:tcPr>
                  <w:tcW w:w="919" w:type="dxa"/>
                  <w:shd w:val="clear" w:color="auto" w:fill="FFFFFF"/>
                  <w:vAlign w:val="center"/>
                </w:tcPr>
                <w:p w14:paraId="50F333BE">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达标</w:t>
                  </w:r>
                </w:p>
              </w:tc>
            </w:tr>
            <w:tr w14:paraId="32547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6" w:hRule="exact"/>
                <w:jc w:val="center"/>
              </w:trPr>
              <w:tc>
                <w:tcPr>
                  <w:tcW w:w="1031" w:type="dxa"/>
                  <w:shd w:val="clear" w:color="auto" w:fill="FFFFFF"/>
                  <w:vAlign w:val="center"/>
                </w:tcPr>
                <w:p w14:paraId="1A92849D">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西侧</w:t>
                  </w:r>
                </w:p>
              </w:tc>
              <w:tc>
                <w:tcPr>
                  <w:tcW w:w="752" w:type="dxa"/>
                  <w:shd w:val="clear" w:color="auto" w:fill="FFFFFF"/>
                  <w:vAlign w:val="center"/>
                </w:tcPr>
                <w:p w14:paraId="1D90790C">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-43.3</w:t>
                  </w:r>
                </w:p>
              </w:tc>
              <w:tc>
                <w:tcPr>
                  <w:tcW w:w="889" w:type="dxa"/>
                  <w:shd w:val="clear" w:color="auto" w:fill="FFFFFF"/>
                  <w:vAlign w:val="center"/>
                </w:tcPr>
                <w:p w14:paraId="65A3C025">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6.3</w:t>
                  </w:r>
                </w:p>
              </w:tc>
              <w:tc>
                <w:tcPr>
                  <w:tcW w:w="993" w:type="dxa"/>
                  <w:shd w:val="clear" w:color="auto" w:fill="FFFFFF"/>
                  <w:vAlign w:val="center"/>
                </w:tcPr>
                <w:p w14:paraId="56FEF14A">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1.2</w:t>
                  </w:r>
                </w:p>
              </w:tc>
              <w:tc>
                <w:tcPr>
                  <w:tcW w:w="850" w:type="dxa"/>
                  <w:shd w:val="clear" w:color="auto" w:fill="FFFFFF"/>
                  <w:vAlign w:val="center"/>
                </w:tcPr>
                <w:p w14:paraId="56951868">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昼间</w:t>
                  </w:r>
                </w:p>
              </w:tc>
              <w:tc>
                <w:tcPr>
                  <w:tcW w:w="1276" w:type="dxa"/>
                  <w:shd w:val="clear" w:color="auto" w:fill="FFFFFF"/>
                  <w:vAlign w:val="center"/>
                </w:tcPr>
                <w:p w14:paraId="78A6787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30.8</w:t>
                  </w:r>
                </w:p>
              </w:tc>
              <w:tc>
                <w:tcPr>
                  <w:tcW w:w="1276" w:type="dxa"/>
                  <w:shd w:val="clear" w:color="auto" w:fill="FFFFFF"/>
                  <w:vAlign w:val="center"/>
                </w:tcPr>
                <w:p w14:paraId="14E49206">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60</w:t>
                  </w:r>
                </w:p>
              </w:tc>
              <w:tc>
                <w:tcPr>
                  <w:tcW w:w="919" w:type="dxa"/>
                  <w:shd w:val="clear" w:color="auto" w:fill="FFFFFF"/>
                  <w:vAlign w:val="center"/>
                </w:tcPr>
                <w:p w14:paraId="7B9968BC">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达标</w:t>
                  </w:r>
                </w:p>
              </w:tc>
            </w:tr>
            <w:tr w14:paraId="46204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6" w:hRule="exact"/>
                <w:jc w:val="center"/>
              </w:trPr>
              <w:tc>
                <w:tcPr>
                  <w:tcW w:w="1031" w:type="dxa"/>
                  <w:shd w:val="clear" w:color="auto" w:fill="FFFFFF"/>
                  <w:vAlign w:val="center"/>
                </w:tcPr>
                <w:p w14:paraId="4F316A2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北侧</w:t>
                  </w:r>
                </w:p>
              </w:tc>
              <w:tc>
                <w:tcPr>
                  <w:tcW w:w="752" w:type="dxa"/>
                  <w:shd w:val="clear" w:color="auto" w:fill="FFFFFF"/>
                  <w:vAlign w:val="center"/>
                </w:tcPr>
                <w:p w14:paraId="48C373B5">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5.4</w:t>
                  </w:r>
                </w:p>
              </w:tc>
              <w:tc>
                <w:tcPr>
                  <w:tcW w:w="889" w:type="dxa"/>
                  <w:shd w:val="clear" w:color="auto" w:fill="FFFFFF"/>
                  <w:vAlign w:val="center"/>
                </w:tcPr>
                <w:p w14:paraId="187BD54E">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16.4</w:t>
                  </w:r>
                </w:p>
              </w:tc>
              <w:tc>
                <w:tcPr>
                  <w:tcW w:w="993" w:type="dxa"/>
                  <w:shd w:val="clear" w:color="auto" w:fill="FFFFFF"/>
                  <w:vAlign w:val="center"/>
                </w:tcPr>
                <w:p w14:paraId="44DE7119">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1.2</w:t>
                  </w:r>
                </w:p>
              </w:tc>
              <w:tc>
                <w:tcPr>
                  <w:tcW w:w="850" w:type="dxa"/>
                  <w:shd w:val="clear" w:color="auto" w:fill="FFFFFF"/>
                  <w:vAlign w:val="center"/>
                </w:tcPr>
                <w:p w14:paraId="6C68FC1E">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昼间</w:t>
                  </w:r>
                </w:p>
              </w:tc>
              <w:tc>
                <w:tcPr>
                  <w:tcW w:w="1276" w:type="dxa"/>
                  <w:shd w:val="clear" w:color="auto" w:fill="FFFFFF"/>
                  <w:vAlign w:val="center"/>
                </w:tcPr>
                <w:p w14:paraId="22FF1BC4">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39.4</w:t>
                  </w:r>
                </w:p>
              </w:tc>
              <w:tc>
                <w:tcPr>
                  <w:tcW w:w="1276" w:type="dxa"/>
                  <w:shd w:val="clear" w:color="auto" w:fill="FFFFFF"/>
                  <w:vAlign w:val="center"/>
                </w:tcPr>
                <w:p w14:paraId="3BED4BFF">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60</w:t>
                  </w:r>
                </w:p>
              </w:tc>
              <w:tc>
                <w:tcPr>
                  <w:tcW w:w="919" w:type="dxa"/>
                  <w:shd w:val="clear" w:color="auto" w:fill="FFFFFF"/>
                  <w:vAlign w:val="center"/>
                </w:tcPr>
                <w:p w14:paraId="5E87422E">
                  <w:pPr>
                    <w:pStyle w:val="42"/>
                    <w:spacing w:before="24" w:after="24"/>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达标</w:t>
                  </w:r>
                </w:p>
              </w:tc>
            </w:tr>
          </w:tbl>
          <w:p w14:paraId="28F8E989"/>
          <w:p w14:paraId="28F617B6">
            <w:pPr>
              <w:widowControl/>
              <w:wordWrap w:val="0"/>
              <w:adjustRightInd w:val="0"/>
              <w:snapToGrid w:val="0"/>
              <w:spacing w:line="360" w:lineRule="auto"/>
              <w:ind w:firstLine="480" w:firstLineChars="200"/>
              <w:jc w:val="left"/>
              <w:rPr>
                <w:b/>
                <w:bCs/>
                <w:szCs w:val="21"/>
              </w:rPr>
            </w:pPr>
            <w:r>
              <w:rPr>
                <w:sz w:val="24"/>
              </w:rPr>
              <w:t>根据预测结果可知，项目厂界四周边界噪声经建筑物隔声降噪及距离衰减后，厂界噪声满足《工业企业厂界环境噪声排放标准》（GB12348-2008</w:t>
            </w:r>
            <w:r>
              <w:rPr>
                <w:rFonts w:hint="eastAsia"/>
                <w:sz w:val="24"/>
                <w:lang w:eastAsia="zh-CN"/>
              </w:rPr>
              <w:t>）</w:t>
            </w:r>
            <w:r>
              <w:rPr>
                <w:sz w:val="24"/>
              </w:rPr>
              <w:t>2类标准（昼间60dB（A</w:t>
            </w:r>
            <w:r>
              <w:rPr>
                <w:rFonts w:hint="eastAsia"/>
                <w:sz w:val="24"/>
                <w:lang w:eastAsia="zh-CN"/>
              </w:rPr>
              <w:t>）</w:t>
            </w:r>
            <w:r>
              <w:rPr>
                <w:sz w:val="24"/>
              </w:rPr>
              <w:t>、夜间50dB（A</w:t>
            </w:r>
            <w:r>
              <w:rPr>
                <w:rFonts w:hint="eastAsia"/>
                <w:sz w:val="24"/>
                <w:lang w:eastAsia="zh-CN"/>
              </w:rPr>
              <w:t>））</w:t>
            </w:r>
            <w:r>
              <w:rPr>
                <w:sz w:val="24"/>
              </w:rPr>
              <w:t>要求。</w:t>
            </w:r>
          </w:p>
          <w:p w14:paraId="52CF5D18">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rPr>
            </w:pPr>
            <w:r>
              <w:rPr>
                <w:color w:val="auto"/>
              </w:rPr>
              <w:t>表4-1</w:t>
            </w:r>
            <w:r>
              <w:rPr>
                <w:rFonts w:hint="eastAsia"/>
                <w:color w:val="auto"/>
                <w:lang w:val="en-US" w:eastAsia="zh-CN"/>
              </w:rPr>
              <w:t xml:space="preserve">3   </w:t>
            </w:r>
            <w:r>
              <w:rPr>
                <w:color w:val="auto"/>
              </w:rPr>
              <w:t>声环境监测计划</w:t>
            </w:r>
          </w:p>
          <w:tbl>
            <w:tblPr>
              <w:tblStyle w:val="2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00"/>
              <w:gridCol w:w="1499"/>
              <w:gridCol w:w="2025"/>
              <w:gridCol w:w="1461"/>
              <w:gridCol w:w="2919"/>
            </w:tblGrid>
            <w:tr w14:paraId="2E23B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97" w:type="pct"/>
                  <w:tcBorders>
                    <w:tl2br w:val="nil"/>
                    <w:tr2bl w:val="nil"/>
                  </w:tcBorders>
                  <w:vAlign w:val="center"/>
                </w:tcPr>
                <w:p w14:paraId="6F7A7B73">
                  <w:pPr>
                    <w:jc w:val="center"/>
                    <w:rPr>
                      <w:szCs w:val="21"/>
                    </w:rPr>
                  </w:pPr>
                  <w:r>
                    <w:rPr>
                      <w:szCs w:val="21"/>
                    </w:rPr>
                    <w:t>项目</w:t>
                  </w:r>
                </w:p>
              </w:tc>
              <w:tc>
                <w:tcPr>
                  <w:tcW w:w="891" w:type="pct"/>
                  <w:tcBorders>
                    <w:tl2br w:val="nil"/>
                    <w:tr2bl w:val="nil"/>
                  </w:tcBorders>
                  <w:vAlign w:val="center"/>
                </w:tcPr>
                <w:p w14:paraId="25AC92B8">
                  <w:pPr>
                    <w:jc w:val="center"/>
                    <w:rPr>
                      <w:szCs w:val="21"/>
                    </w:rPr>
                  </w:pPr>
                  <w:r>
                    <w:rPr>
                      <w:szCs w:val="21"/>
                    </w:rPr>
                    <w:t>监测点位</w:t>
                  </w:r>
                </w:p>
              </w:tc>
              <w:tc>
                <w:tcPr>
                  <w:tcW w:w="1204" w:type="pct"/>
                  <w:tcBorders>
                    <w:tl2br w:val="nil"/>
                    <w:tr2bl w:val="nil"/>
                  </w:tcBorders>
                  <w:vAlign w:val="center"/>
                </w:tcPr>
                <w:p w14:paraId="1E943058">
                  <w:pPr>
                    <w:pStyle w:val="43"/>
                    <w:spacing w:line="257" w:lineRule="exact"/>
                    <w:jc w:val="center"/>
                    <w:rPr>
                      <w:rFonts w:ascii="Times New Roman" w:hAnsi="Times New Roman" w:cs="Times New Roman"/>
                      <w:szCs w:val="21"/>
                    </w:rPr>
                  </w:pPr>
                  <w:r>
                    <w:rPr>
                      <w:rFonts w:ascii="Times New Roman" w:hAnsi="Times New Roman" w:cs="Times New Roman"/>
                      <w:szCs w:val="21"/>
                    </w:rPr>
                    <w:t>监测项目</w:t>
                  </w:r>
                </w:p>
              </w:tc>
              <w:tc>
                <w:tcPr>
                  <w:tcW w:w="869" w:type="pct"/>
                  <w:tcBorders>
                    <w:tl2br w:val="nil"/>
                    <w:tr2bl w:val="nil"/>
                  </w:tcBorders>
                  <w:vAlign w:val="center"/>
                </w:tcPr>
                <w:p w14:paraId="75CAD50D">
                  <w:pPr>
                    <w:pStyle w:val="43"/>
                    <w:spacing w:line="257" w:lineRule="exact"/>
                    <w:jc w:val="center"/>
                    <w:rPr>
                      <w:rFonts w:ascii="Times New Roman" w:hAnsi="Times New Roman" w:cs="Times New Roman"/>
                      <w:szCs w:val="21"/>
                    </w:rPr>
                  </w:pPr>
                  <w:r>
                    <w:rPr>
                      <w:rFonts w:ascii="Times New Roman" w:hAnsi="Times New Roman" w:cs="Times New Roman"/>
                      <w:szCs w:val="21"/>
                    </w:rPr>
                    <w:t>监测频率</w:t>
                  </w:r>
                </w:p>
              </w:tc>
              <w:tc>
                <w:tcPr>
                  <w:tcW w:w="1737" w:type="pct"/>
                  <w:tcBorders>
                    <w:tl2br w:val="nil"/>
                    <w:tr2bl w:val="nil"/>
                  </w:tcBorders>
                  <w:vAlign w:val="center"/>
                </w:tcPr>
                <w:p w14:paraId="6E47D57E">
                  <w:pPr>
                    <w:pStyle w:val="43"/>
                    <w:spacing w:line="257" w:lineRule="exact"/>
                    <w:jc w:val="center"/>
                    <w:rPr>
                      <w:rFonts w:ascii="Times New Roman" w:hAnsi="Times New Roman" w:cs="Times New Roman"/>
                      <w:szCs w:val="21"/>
                    </w:rPr>
                  </w:pPr>
                  <w:r>
                    <w:rPr>
                      <w:rFonts w:ascii="Times New Roman" w:hAnsi="Times New Roman" w:cs="Times New Roman"/>
                      <w:szCs w:val="21"/>
                    </w:rPr>
                    <w:t>排放标准</w:t>
                  </w:r>
                </w:p>
              </w:tc>
            </w:tr>
            <w:tr w14:paraId="7CC6B7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97" w:type="pct"/>
                  <w:tcBorders>
                    <w:tl2br w:val="nil"/>
                    <w:tr2bl w:val="nil"/>
                  </w:tcBorders>
                  <w:vAlign w:val="center"/>
                </w:tcPr>
                <w:p w14:paraId="0A7F97F0">
                  <w:pPr>
                    <w:jc w:val="center"/>
                    <w:rPr>
                      <w:szCs w:val="21"/>
                    </w:rPr>
                  </w:pPr>
                  <w:r>
                    <w:rPr>
                      <w:szCs w:val="21"/>
                    </w:rPr>
                    <w:t>噪声</w:t>
                  </w:r>
                </w:p>
              </w:tc>
              <w:tc>
                <w:tcPr>
                  <w:tcW w:w="891" w:type="pct"/>
                  <w:tcBorders>
                    <w:tl2br w:val="nil"/>
                    <w:tr2bl w:val="nil"/>
                  </w:tcBorders>
                  <w:vAlign w:val="center"/>
                </w:tcPr>
                <w:p w14:paraId="5928E25B">
                  <w:pPr>
                    <w:jc w:val="center"/>
                    <w:rPr>
                      <w:szCs w:val="21"/>
                    </w:rPr>
                  </w:pPr>
                  <w:r>
                    <w:rPr>
                      <w:szCs w:val="21"/>
                    </w:rPr>
                    <w:t>厂界外1m处</w:t>
                  </w:r>
                </w:p>
              </w:tc>
              <w:tc>
                <w:tcPr>
                  <w:tcW w:w="1204" w:type="pct"/>
                  <w:tcBorders>
                    <w:tl2br w:val="nil"/>
                    <w:tr2bl w:val="nil"/>
                  </w:tcBorders>
                  <w:vAlign w:val="center"/>
                </w:tcPr>
                <w:p w14:paraId="6E43C3C7">
                  <w:pPr>
                    <w:pStyle w:val="43"/>
                    <w:jc w:val="center"/>
                    <w:rPr>
                      <w:rFonts w:ascii="Times New Roman" w:hAnsi="Times New Roman" w:cs="Times New Roman"/>
                      <w:szCs w:val="21"/>
                    </w:rPr>
                  </w:pPr>
                  <w:r>
                    <w:rPr>
                      <w:rFonts w:ascii="Times New Roman" w:hAnsi="Times New Roman" w:cs="Times New Roman"/>
                      <w:szCs w:val="21"/>
                    </w:rPr>
                    <w:t>等效连续</w:t>
                  </w:r>
                  <w:r>
                    <w:rPr>
                      <w:rFonts w:ascii="Times New Roman" w:hAnsi="Times New Roman" w:eastAsia="Times New Roman" w:cs="Times New Roman"/>
                      <w:szCs w:val="21"/>
                    </w:rPr>
                    <w:t>A</w:t>
                  </w:r>
                  <w:r>
                    <w:rPr>
                      <w:rFonts w:ascii="Times New Roman" w:hAnsi="Times New Roman" w:cs="Times New Roman"/>
                      <w:szCs w:val="21"/>
                    </w:rPr>
                    <w:t>声级</w:t>
                  </w:r>
                </w:p>
              </w:tc>
              <w:tc>
                <w:tcPr>
                  <w:tcW w:w="869" w:type="pct"/>
                  <w:tcBorders>
                    <w:tl2br w:val="nil"/>
                    <w:tr2bl w:val="nil"/>
                  </w:tcBorders>
                  <w:vAlign w:val="center"/>
                </w:tcPr>
                <w:p w14:paraId="5E3F53B0">
                  <w:pPr>
                    <w:pStyle w:val="43"/>
                    <w:jc w:val="center"/>
                    <w:rPr>
                      <w:rFonts w:ascii="Times New Roman" w:hAnsi="Times New Roman" w:cs="Times New Roman"/>
                      <w:szCs w:val="21"/>
                    </w:rPr>
                  </w:pPr>
                  <w:r>
                    <w:rPr>
                      <w:rFonts w:ascii="Times New Roman" w:hAnsi="Times New Roman" w:cs="Times New Roman"/>
                      <w:szCs w:val="21"/>
                    </w:rPr>
                    <w:t>每</w:t>
                  </w:r>
                  <w:r>
                    <w:rPr>
                      <w:rFonts w:ascii="Times New Roman" w:hAnsi="Times New Roman" w:cs="Times New Roman"/>
                      <w:szCs w:val="21"/>
                      <w:lang w:val="en-US"/>
                    </w:rPr>
                    <w:t>季度</w:t>
                  </w:r>
                  <w:r>
                    <w:rPr>
                      <w:rFonts w:ascii="Times New Roman" w:hAnsi="Times New Roman" w:eastAsia="Times New Roman" w:cs="Times New Roman"/>
                      <w:szCs w:val="21"/>
                    </w:rPr>
                    <w:t>1</w:t>
                  </w:r>
                  <w:r>
                    <w:rPr>
                      <w:rFonts w:ascii="Times New Roman" w:hAnsi="Times New Roman" w:cs="Times New Roman"/>
                      <w:szCs w:val="21"/>
                    </w:rPr>
                    <w:t>次</w:t>
                  </w:r>
                </w:p>
              </w:tc>
              <w:tc>
                <w:tcPr>
                  <w:tcW w:w="1737" w:type="pct"/>
                  <w:tcBorders>
                    <w:tl2br w:val="nil"/>
                    <w:tr2bl w:val="nil"/>
                  </w:tcBorders>
                  <w:vAlign w:val="center"/>
                </w:tcPr>
                <w:p w14:paraId="516040AA">
                  <w:pPr>
                    <w:pStyle w:val="43"/>
                    <w:jc w:val="center"/>
                    <w:rPr>
                      <w:rFonts w:hint="eastAsia" w:ascii="Times New Roman" w:hAnsi="Times New Roman" w:eastAsia="宋体" w:cs="Times New Roman"/>
                      <w:szCs w:val="21"/>
                      <w:lang w:eastAsia="zh-CN"/>
                    </w:rPr>
                  </w:pPr>
                  <w:r>
                    <w:rPr>
                      <w:rFonts w:ascii="Times New Roman" w:hAnsi="Times New Roman" w:cs="Times New Roman"/>
                      <w:szCs w:val="21"/>
                    </w:rPr>
                    <w:t>《工业企业厂界环境噪声排放标准》</w:t>
                  </w:r>
                  <w:r>
                    <w:rPr>
                      <w:rFonts w:hint="eastAsia" w:ascii="Times New Roman" w:hAnsi="Times New Roman" w:cs="Times New Roman"/>
                      <w:szCs w:val="21"/>
                      <w:lang w:eastAsia="zh-CN"/>
                    </w:rPr>
                    <w:t>（</w:t>
                  </w:r>
                  <w:r>
                    <w:rPr>
                      <w:rFonts w:ascii="Times New Roman" w:hAnsi="Times New Roman" w:cs="Times New Roman"/>
                      <w:szCs w:val="21"/>
                    </w:rPr>
                    <w:t>GB</w:t>
                  </w:r>
                  <w:r>
                    <w:rPr>
                      <w:rFonts w:ascii="Times New Roman" w:hAnsi="Times New Roman" w:cs="Times New Roman"/>
                      <w:szCs w:val="21"/>
                      <w:lang w:val="en-US"/>
                    </w:rPr>
                    <w:t>1</w:t>
                  </w:r>
                  <w:bookmarkStart w:id="29" w:name="_GoBack"/>
                  <w:r>
                    <w:rPr>
                      <w:rFonts w:ascii="Times New Roman" w:hAnsi="Times New Roman" w:cs="Times New Roman"/>
                      <w:szCs w:val="21"/>
                      <w:lang w:val="en-US"/>
                    </w:rPr>
                    <w:t>2</w:t>
                  </w:r>
                  <w:bookmarkEnd w:id="29"/>
                  <w:r>
                    <w:rPr>
                      <w:rFonts w:ascii="Times New Roman" w:hAnsi="Times New Roman" w:cs="Times New Roman"/>
                      <w:szCs w:val="21"/>
                      <w:lang w:val="en-US"/>
                    </w:rPr>
                    <w:t>348</w:t>
                  </w:r>
                  <w:r>
                    <w:rPr>
                      <w:rFonts w:ascii="Times New Roman" w:hAnsi="Times New Roman" w:cs="Times New Roman"/>
                      <w:szCs w:val="21"/>
                    </w:rPr>
                    <w:t>-2008</w:t>
                  </w:r>
                  <w:r>
                    <w:rPr>
                      <w:rFonts w:hint="eastAsia" w:ascii="Times New Roman" w:hAnsi="Times New Roman" w:cs="Times New Roman"/>
                      <w:szCs w:val="21"/>
                      <w:lang w:eastAsia="zh-CN"/>
                    </w:rPr>
                    <w:t>）</w:t>
                  </w:r>
                </w:p>
              </w:tc>
            </w:tr>
          </w:tbl>
          <w:p w14:paraId="527A5D53">
            <w:pPr>
              <w:pStyle w:val="5"/>
              <w:keepNext/>
              <w:keepLines/>
              <w:pageBreakBefore w:val="0"/>
              <w:widowControl w:val="0"/>
              <w:kinsoku/>
              <w:wordWrap/>
              <w:overflowPunct/>
              <w:topLinePunct w:val="0"/>
              <w:autoSpaceDE/>
              <w:autoSpaceDN/>
              <w:bidi w:val="0"/>
              <w:adjustRightInd/>
              <w:snapToGrid/>
              <w:spacing w:before="313" w:beforeLines="100"/>
              <w:ind w:firstLine="482"/>
              <w:textAlignment w:val="auto"/>
              <w:rPr>
                <w:szCs w:val="24"/>
              </w:rPr>
            </w:pPr>
            <w:r>
              <w:rPr>
                <w:szCs w:val="24"/>
              </w:rPr>
              <w:t>4、固体废物影响分析</w:t>
            </w:r>
          </w:p>
          <w:p w14:paraId="46A11062">
            <w:pPr>
              <w:keepNext w:val="0"/>
              <w:keepLines w:val="0"/>
              <w:pageBreakBefore w:val="0"/>
              <w:widowControl w:val="0"/>
              <w:kinsoku/>
              <w:wordWrap/>
              <w:overflowPunct/>
              <w:topLinePunct w:val="0"/>
              <w:autoSpaceDE/>
              <w:autoSpaceDN/>
              <w:bidi w:val="0"/>
              <w:adjustRightInd/>
              <w:snapToGrid/>
              <w:spacing w:before="20" w:line="360" w:lineRule="auto"/>
              <w:ind w:left="0" w:firstLine="466" w:firstLineChars="200"/>
              <w:textAlignment w:val="auto"/>
              <w:rPr>
                <w:rFonts w:hint="eastAsia" w:ascii="宋体" w:hAnsi="宋体" w:eastAsia="宋体" w:cs="宋体"/>
                <w:b/>
                <w:bCs/>
                <w:sz w:val="24"/>
                <w:szCs w:val="24"/>
              </w:rPr>
            </w:pPr>
            <w:r>
              <w:rPr>
                <w:rFonts w:hint="eastAsia" w:ascii="宋体" w:hAnsi="宋体" w:eastAsia="宋体" w:cs="宋体"/>
                <w:b/>
                <w:bCs/>
                <w:spacing w:val="-4"/>
                <w:sz w:val="24"/>
                <w:szCs w:val="24"/>
                <w:lang w:val="en-US" w:eastAsia="zh-CN"/>
              </w:rPr>
              <w:t>4.1</w:t>
            </w:r>
            <w:r>
              <w:rPr>
                <w:rFonts w:hint="eastAsia" w:ascii="宋体" w:hAnsi="宋体" w:eastAsia="宋体" w:cs="宋体"/>
                <w:b/>
                <w:bCs/>
                <w:spacing w:val="-4"/>
                <w:sz w:val="24"/>
                <w:szCs w:val="24"/>
              </w:rPr>
              <w:t>固体废物</w:t>
            </w:r>
          </w:p>
          <w:p w14:paraId="51CF09D1">
            <w:pPr>
              <w:pStyle w:val="114"/>
              <w:spacing w:before="86" w:line="346" w:lineRule="auto"/>
              <w:ind w:left="137" w:right="227" w:firstLine="461"/>
              <w:rPr>
                <w:rFonts w:hint="default" w:eastAsia="宋体"/>
                <w:color w:val="auto"/>
                <w:lang w:val="en-US" w:eastAsia="zh-CN"/>
              </w:rPr>
            </w:pPr>
            <w:r>
              <w:rPr>
                <w:color w:val="auto"/>
              </w:rPr>
              <w:t>本项目运营期产生的固体废物主要</w:t>
            </w:r>
            <w:r>
              <w:rPr>
                <w:rFonts w:hint="eastAsia"/>
                <w:color w:val="auto"/>
                <w:lang w:val="en-US" w:eastAsia="zh-CN"/>
              </w:rPr>
              <w:t>包括一般固体废物</w:t>
            </w:r>
            <w:r>
              <w:rPr>
                <w:rFonts w:hint="eastAsia"/>
                <w:color w:val="auto"/>
                <w:lang w:eastAsia="zh-CN"/>
              </w:rPr>
              <w:t>、</w:t>
            </w:r>
            <w:r>
              <w:rPr>
                <w:color w:val="auto"/>
              </w:rPr>
              <w:t>生活垃圾</w:t>
            </w:r>
            <w:r>
              <w:rPr>
                <w:rFonts w:hint="eastAsia"/>
                <w:color w:val="auto"/>
                <w:lang w:val="en-US" w:eastAsia="zh-CN"/>
              </w:rPr>
              <w:t>和危险废物等</w:t>
            </w:r>
            <w:r>
              <w:rPr>
                <w:rFonts w:hint="eastAsia"/>
                <w:color w:val="auto"/>
                <w:lang w:eastAsia="zh-CN"/>
              </w:rPr>
              <w:t>。</w:t>
            </w:r>
            <w:r>
              <w:rPr>
                <w:rFonts w:hint="eastAsia"/>
                <w:color w:val="auto"/>
                <w:spacing w:val="-1"/>
                <w:lang w:val="en-US" w:eastAsia="zh-CN"/>
              </w:rPr>
              <w:t>一般工业固体废物</w:t>
            </w:r>
            <w:r>
              <w:rPr>
                <w:color w:val="auto"/>
                <w:spacing w:val="-1"/>
              </w:rPr>
              <w:t>包括：不合格产</w:t>
            </w:r>
            <w:r>
              <w:rPr>
                <w:color w:val="auto"/>
                <w:spacing w:val="-2"/>
              </w:rPr>
              <w:t>品、过期产品，包装固废、隔油池油污</w:t>
            </w:r>
            <w:r>
              <w:rPr>
                <w:rFonts w:hint="eastAsia"/>
                <w:color w:val="auto"/>
                <w:spacing w:val="-2"/>
                <w:lang w:eastAsia="zh-CN"/>
              </w:rPr>
              <w:t>、</w:t>
            </w:r>
            <w:r>
              <w:rPr>
                <w:rFonts w:hint="eastAsia"/>
                <w:color w:val="auto"/>
                <w:spacing w:val="-2"/>
                <w:lang w:val="en-US" w:eastAsia="zh-CN"/>
              </w:rPr>
              <w:t>豆渣、卤废渣、废RO膜、生牛乳废渣和污泥等；危险废物主要是废活性炭。</w:t>
            </w:r>
          </w:p>
          <w:p w14:paraId="5DB6AF48">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spacing w:val="-2"/>
                <w:lang w:eastAsia="zh-CN"/>
              </w:rPr>
              <w:t>（</w:t>
            </w:r>
            <w:r>
              <w:rPr>
                <w:rFonts w:hint="eastAsia" w:ascii="Times New Roman" w:hAnsi="Times New Roman" w:cs="Times New Roman"/>
                <w:b/>
                <w:bCs/>
                <w:color w:val="auto"/>
                <w:spacing w:val="-2"/>
                <w:lang w:val="en-US" w:eastAsia="zh-CN"/>
              </w:rPr>
              <w:t>1</w:t>
            </w:r>
            <w:r>
              <w:rPr>
                <w:rFonts w:hint="eastAsia" w:ascii="Times New Roman" w:hAnsi="Times New Roman" w:cs="Times New Roman"/>
                <w:b/>
                <w:bCs/>
                <w:color w:val="auto"/>
                <w:spacing w:val="-2"/>
                <w:lang w:eastAsia="zh-CN"/>
              </w:rPr>
              <w:t>）</w:t>
            </w:r>
            <w:r>
              <w:rPr>
                <w:rFonts w:hint="default" w:ascii="Times New Roman" w:hAnsi="Times New Roman" w:cs="Times New Roman"/>
                <w:b/>
                <w:bCs/>
                <w:color w:val="auto"/>
                <w:spacing w:val="-2"/>
                <w:lang w:val="en-US" w:eastAsia="zh-CN"/>
              </w:rPr>
              <w:t>一般固体废物</w:t>
            </w:r>
          </w:p>
          <w:p w14:paraId="6CBA27E0">
            <w:pPr>
              <w:pStyle w:val="114"/>
              <w:keepNext w:val="0"/>
              <w:keepLines w:val="0"/>
              <w:pageBreakBefore w:val="0"/>
              <w:widowControl w:val="0"/>
              <w:kinsoku/>
              <w:wordWrap/>
              <w:overflowPunct/>
              <w:topLinePunct w:val="0"/>
              <w:autoSpaceDE/>
              <w:autoSpaceDN/>
              <w:bidi w:val="0"/>
              <w:adjustRightInd/>
              <w:snapToGrid/>
              <w:spacing w:line="360" w:lineRule="auto"/>
              <w:ind w:left="0" w:firstLine="478" w:firstLineChars="200"/>
              <w:textAlignment w:val="auto"/>
              <w:rPr>
                <w:rFonts w:hint="default" w:ascii="Times New Roman" w:hAnsi="Times New Roman" w:eastAsia="宋体" w:cs="Times New Roman"/>
                <w:color w:val="auto"/>
              </w:rPr>
            </w:pPr>
            <w:r>
              <w:rPr>
                <w:rFonts w:hint="eastAsia" w:ascii="宋体" w:hAnsi="宋体" w:eastAsia="宋体" w:cs="宋体"/>
                <w:b/>
                <w:bCs/>
                <w:color w:val="auto"/>
                <w:spacing w:val="-1"/>
              </w:rPr>
              <w:t>不合格产品、过期产品</w:t>
            </w:r>
            <w:r>
              <w:rPr>
                <w:rFonts w:hint="eastAsia" w:ascii="宋体" w:hAnsi="宋体" w:eastAsia="宋体" w:cs="宋体"/>
                <w:color w:val="auto"/>
                <w:lang w:eastAsia="zh-CN"/>
              </w:rPr>
              <w:t>：</w:t>
            </w:r>
            <w:r>
              <w:rPr>
                <w:rFonts w:hint="default" w:ascii="Times New Roman" w:hAnsi="Times New Roman" w:eastAsia="宋体" w:cs="Times New Roman"/>
                <w:color w:val="auto"/>
                <w:spacing w:val="-1"/>
              </w:rPr>
              <w:t>本项目不合格产品、过期产品产生量约为0.2t/</w:t>
            </w:r>
            <w:r>
              <w:rPr>
                <w:rFonts w:hint="default" w:ascii="Times New Roman" w:hAnsi="Times New Roman" w:eastAsia="宋体" w:cs="Times New Roman"/>
                <w:color w:val="auto"/>
                <w:spacing w:val="-2"/>
              </w:rPr>
              <w:t>a，集中收集作为养殖饲料外售。</w:t>
            </w:r>
          </w:p>
          <w:p w14:paraId="3771F642">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lang w:val="en-US" w:eastAsia="zh-CN"/>
              </w:rPr>
              <w:t>废包装材料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pacing w:val="-2"/>
              </w:rPr>
              <w:t>本项目包装固废产生量约为0.5t/a，收集外售。</w:t>
            </w:r>
          </w:p>
          <w:p w14:paraId="61646EE8">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rPr>
              <w:t>隔油池油污</w:t>
            </w:r>
            <w:r>
              <w:rPr>
                <w:rFonts w:hint="default" w:ascii="Times New Roman" w:hAnsi="Times New Roman" w:eastAsia="宋体" w:cs="Times New Roman"/>
                <w:color w:val="auto"/>
                <w:spacing w:val="-2"/>
                <w:lang w:eastAsia="zh-CN"/>
              </w:rPr>
              <w:t>：</w:t>
            </w:r>
            <w:r>
              <w:rPr>
                <w:rFonts w:hint="default" w:ascii="Times New Roman" w:hAnsi="Times New Roman" w:eastAsia="宋体" w:cs="Times New Roman"/>
                <w:color w:val="auto"/>
                <w:spacing w:val="-1"/>
              </w:rPr>
              <w:t>项目清洗车间及设备时会产生油污，产生量约为0.2t/a，</w:t>
            </w:r>
            <w:r>
              <w:rPr>
                <w:rFonts w:hint="eastAsia"/>
                <w:lang w:val="en-US" w:eastAsia="zh-CN"/>
              </w:rPr>
              <w:t>收集后</w:t>
            </w:r>
            <w:r>
              <w:rPr>
                <w:rFonts w:hint="eastAsia"/>
                <w:lang w:eastAsia="zh-CN"/>
              </w:rPr>
              <w:t>定期外售至</w:t>
            </w:r>
            <w:r>
              <w:rPr>
                <w:rFonts w:hint="eastAsia"/>
                <w:lang w:val="en-US" w:eastAsia="zh-CN"/>
              </w:rPr>
              <w:t>肥料厂制造肥料</w:t>
            </w:r>
            <w:r>
              <w:rPr>
                <w:rFonts w:hint="default" w:ascii="Times New Roman" w:hAnsi="Times New Roman" w:eastAsia="宋体" w:cs="Times New Roman"/>
                <w:color w:val="auto"/>
                <w:spacing w:val="-9"/>
              </w:rPr>
              <w:t>。</w:t>
            </w:r>
          </w:p>
          <w:p w14:paraId="0CF1B0A9">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b/>
                <w:bCs/>
                <w:color w:val="auto"/>
                <w:spacing w:val="-2"/>
                <w:lang w:val="en-US" w:eastAsia="zh-CN"/>
              </w:rPr>
              <w:t>豆渣：</w:t>
            </w:r>
            <w:r>
              <w:rPr>
                <w:rFonts w:hint="default" w:ascii="Times New Roman" w:hAnsi="Times New Roman" w:eastAsia="宋体" w:cs="Times New Roman"/>
                <w:color w:val="auto"/>
                <w:spacing w:val="-2"/>
                <w:lang w:val="en-US" w:eastAsia="zh-CN"/>
              </w:rPr>
              <w:t>根据企业提供的经验系数，豆渣产生量按大豆用量20%计，产生量为</w:t>
            </w:r>
            <w:r>
              <w:rPr>
                <w:rFonts w:hint="default" w:ascii="Times New Roman" w:hAnsi="Times New Roman" w:cs="Times New Roman"/>
                <w:color w:val="auto"/>
                <w:spacing w:val="-2"/>
                <w:lang w:val="en-US" w:eastAsia="zh-CN"/>
              </w:rPr>
              <w:t>62.4</w:t>
            </w:r>
            <w:r>
              <w:rPr>
                <w:rFonts w:hint="default" w:ascii="Times New Roman" w:hAnsi="Times New Roman" w:eastAsia="宋体" w:cs="Times New Roman"/>
                <w:color w:val="auto"/>
                <w:spacing w:val="-2"/>
                <w:lang w:val="en-US" w:eastAsia="zh-CN"/>
              </w:rPr>
              <w:t>t/a。</w:t>
            </w:r>
          </w:p>
          <w:p w14:paraId="60B3299F">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lang w:val="en-US" w:eastAsia="zh-CN"/>
              </w:rPr>
              <w:t>卤废渣</w:t>
            </w:r>
            <w:r>
              <w:rPr>
                <w:rFonts w:hint="default" w:ascii="Times New Roman" w:hAnsi="Times New Roman" w:eastAsia="宋体" w:cs="Times New Roman"/>
                <w:color w:val="auto"/>
                <w:spacing w:val="-2"/>
                <w:lang w:val="en-US" w:eastAsia="zh-CN"/>
              </w:rPr>
              <w:t>：</w:t>
            </w:r>
            <w:r>
              <w:rPr>
                <w:rFonts w:hint="default" w:ascii="Times New Roman" w:hAnsi="Times New Roman" w:eastAsia="宋体" w:cs="Times New Roman"/>
                <w:color w:val="auto"/>
                <w:spacing w:val="-2"/>
              </w:rPr>
              <w:t>卤制品生产过程中会产生废卤渣，产生量为1t/a。</w:t>
            </w:r>
          </w:p>
          <w:p w14:paraId="195F886E">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spacing w:val="-2"/>
                <w:lang w:val="en-US" w:eastAsia="zh-CN"/>
              </w:rPr>
            </w:pPr>
            <w:r>
              <w:rPr>
                <w:rFonts w:hint="eastAsia" w:ascii="宋体" w:hAnsi="宋体" w:eastAsia="宋体" w:cs="宋体"/>
                <w:b/>
                <w:bCs/>
                <w:color w:val="auto"/>
                <w:spacing w:val="-2"/>
                <w:lang w:val="en-US" w:eastAsia="zh-CN"/>
              </w:rPr>
              <w:t>废RO膜</w:t>
            </w:r>
            <w:r>
              <w:rPr>
                <w:rFonts w:hint="eastAsia" w:ascii="宋体" w:hAnsi="宋体" w:eastAsia="宋体" w:cs="宋体"/>
                <w:color w:val="auto"/>
                <w:spacing w:val="-2"/>
                <w:lang w:val="en-US" w:eastAsia="zh-CN"/>
              </w:rPr>
              <w:t>：</w:t>
            </w:r>
            <w:r>
              <w:rPr>
                <w:rFonts w:hint="default" w:ascii="Times New Roman" w:hAnsi="Times New Roman" w:eastAsia="宋体" w:cs="Times New Roman"/>
                <w:color w:val="auto"/>
                <w:spacing w:val="-2"/>
                <w:lang w:val="en-US" w:eastAsia="zh-CN"/>
              </w:rPr>
              <w:t>软水制备系统和纯水制备系统采用反渗透工艺，运行过程中会产生少量废弃RO膜，产生量为0.1t/a，废RO膜定期更换时由厂家回收处置。</w:t>
            </w:r>
          </w:p>
          <w:p w14:paraId="3E2FE941">
            <w:pPr>
              <w:pStyle w:val="114"/>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b/>
                <w:bCs/>
                <w:color w:val="auto"/>
                <w:spacing w:val="-2"/>
                <w:lang w:val="en-US" w:eastAsia="zh-CN"/>
              </w:rPr>
              <w:t>生牛乳废渣：</w:t>
            </w:r>
            <w:r>
              <w:rPr>
                <w:rFonts w:hint="default" w:ascii="Times New Roman" w:hAnsi="Times New Roman" w:eastAsia="宋体" w:cs="Times New Roman"/>
                <w:color w:val="auto"/>
                <w:spacing w:val="-2"/>
                <w:lang w:val="en-US" w:eastAsia="zh-CN"/>
              </w:rPr>
              <w:t>生牛乳过滤、分离工序产生生牛乳废渣，主要为生牛乳内固体物质，废品率约为0.05%，生牛乳废渣收集后外售给附近养殖场。</w:t>
            </w:r>
          </w:p>
          <w:p w14:paraId="1FF721AA">
            <w:pPr>
              <w:adjustRightInd w:val="0"/>
              <w:snapToGrid w:val="0"/>
              <w:spacing w:line="360" w:lineRule="auto"/>
              <w:ind w:firstLine="474"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b/>
                <w:bCs/>
                <w:spacing w:val="-2"/>
                <w:sz w:val="24"/>
                <w:szCs w:val="24"/>
                <w:lang w:val="en-US" w:eastAsia="zh-CN"/>
              </w:rPr>
              <w:t>污水处理站污泥：</w:t>
            </w:r>
            <w:r>
              <w:rPr>
                <w:rFonts w:hint="default" w:ascii="Times New Roman" w:hAnsi="Times New Roman" w:eastAsia="宋体" w:cs="Times New Roman"/>
                <w:kern w:val="0"/>
                <w:sz w:val="24"/>
                <w:szCs w:val="24"/>
                <w:lang w:bidi="ar"/>
              </w:rPr>
              <w:t>本项目采用活性污泥对生产废水进行水质调节，</w:t>
            </w:r>
            <w:r>
              <w:rPr>
                <w:rFonts w:hint="default" w:ascii="Times New Roman" w:hAnsi="Times New Roman" w:eastAsia="宋体" w:cs="Times New Roman"/>
                <w:kern w:val="0"/>
                <w:sz w:val="24"/>
                <w:szCs w:val="24"/>
                <w:lang w:val="en-US" w:eastAsia="zh-CN" w:bidi="ar"/>
              </w:rPr>
              <w:t>部分污泥</w:t>
            </w:r>
            <w:r>
              <w:rPr>
                <w:rFonts w:hint="default" w:ascii="Times New Roman" w:hAnsi="Times New Roman" w:eastAsia="宋体" w:cs="Times New Roman"/>
                <w:kern w:val="0"/>
                <w:sz w:val="24"/>
                <w:szCs w:val="24"/>
                <w:lang w:bidi="ar"/>
              </w:rPr>
              <w:t>借助污泥泵实现动态回流平衡，</w:t>
            </w:r>
            <w:r>
              <w:rPr>
                <w:rFonts w:hint="default" w:ascii="Times New Roman" w:hAnsi="Times New Roman" w:eastAsia="宋体" w:cs="Times New Roman"/>
                <w:kern w:val="0"/>
                <w:sz w:val="24"/>
                <w:szCs w:val="24"/>
                <w:lang w:val="en-US" w:eastAsia="zh-CN" w:bidi="ar"/>
              </w:rPr>
              <w:t>剩余</w:t>
            </w:r>
            <w:r>
              <w:rPr>
                <w:rFonts w:hint="default" w:ascii="Times New Roman" w:hAnsi="Times New Roman" w:eastAsia="宋体" w:cs="Times New Roman"/>
                <w:kern w:val="0"/>
                <w:sz w:val="24"/>
                <w:szCs w:val="24"/>
                <w:lang w:bidi="ar"/>
              </w:rPr>
              <w:t>污泥通过加药浓缩和设备脱水后，将含水量降至60%，拉运至生活垃圾填埋场进行填埋处理。</w:t>
            </w:r>
            <w:r>
              <w:rPr>
                <w:rFonts w:hint="default" w:ascii="Times New Roman" w:hAnsi="Times New Roman" w:eastAsia="宋体" w:cs="Times New Roman"/>
                <w:kern w:val="0"/>
                <w:sz w:val="24"/>
                <w:szCs w:val="24"/>
                <w:lang w:val="en-US" w:eastAsia="zh-CN" w:bidi="ar"/>
              </w:rPr>
              <w:t>根据业主提供的资料，</w:t>
            </w:r>
            <w:r>
              <w:rPr>
                <w:rFonts w:hint="default" w:ascii="Times New Roman" w:hAnsi="Times New Roman" w:cs="Times New Roman" w:eastAsiaTheme="minorEastAsia"/>
                <w:bCs/>
                <w:color w:val="auto"/>
                <w:sz w:val="24"/>
                <w:szCs w:val="24"/>
              </w:rPr>
              <w:t>沉淀池</w:t>
            </w:r>
            <w:r>
              <w:rPr>
                <w:rFonts w:hint="default" w:ascii="Times New Roman" w:hAnsi="Times New Roman" w:cs="Times New Roman" w:eastAsiaTheme="minorEastAsia"/>
                <w:color w:val="auto"/>
                <w:sz w:val="24"/>
                <w:szCs w:val="24"/>
              </w:rPr>
              <w:t>污泥含量约为</w:t>
            </w:r>
            <w:r>
              <w:rPr>
                <w:rFonts w:hint="default" w:ascii="Times New Roman" w:hAnsi="Times New Roman" w:cs="Times New Roman" w:eastAsiaTheme="minorEastAsia"/>
                <w:color w:val="auto"/>
                <w:sz w:val="24"/>
                <w:szCs w:val="24"/>
                <w:lang w:val="en-US" w:eastAsia="zh-CN"/>
              </w:rPr>
              <w:t>6.75</w:t>
            </w:r>
            <w:r>
              <w:rPr>
                <w:rFonts w:hint="default" w:ascii="Times New Roman" w:hAnsi="Times New Roman" w:cs="Times New Roman" w:eastAsiaTheme="minorEastAsia"/>
                <w:color w:val="auto"/>
                <w:sz w:val="24"/>
                <w:szCs w:val="24"/>
              </w:rPr>
              <w:t>t/a，含水量约占80%，则项目污泥脱水后产生量为</w:t>
            </w:r>
            <w:r>
              <w:rPr>
                <w:rFonts w:hint="default" w:ascii="Times New Roman" w:hAnsi="Times New Roman" w:cs="Times New Roman" w:eastAsiaTheme="minorEastAsia"/>
                <w:color w:val="auto"/>
                <w:sz w:val="24"/>
                <w:szCs w:val="24"/>
                <w:lang w:val="en-US" w:eastAsia="zh-CN"/>
              </w:rPr>
              <w:t>1.35</w:t>
            </w:r>
            <w:r>
              <w:rPr>
                <w:rFonts w:hint="default" w:ascii="Times New Roman" w:hAnsi="Times New Roman" w:cs="Times New Roman" w:eastAsiaTheme="minorEastAsia"/>
                <w:color w:val="auto"/>
                <w:sz w:val="24"/>
                <w:szCs w:val="24"/>
              </w:rPr>
              <w:t>t/a（含水率应小于60%</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eastAsia="zh-CN"/>
              </w:rPr>
              <w:t>定期清掏交由环卫部门</w:t>
            </w:r>
            <w:r>
              <w:rPr>
                <w:rFonts w:hint="default" w:ascii="Times New Roman" w:hAnsi="Times New Roman" w:cs="Times New Roman" w:eastAsiaTheme="minorEastAsia"/>
                <w:color w:val="auto"/>
                <w:sz w:val="24"/>
                <w:szCs w:val="24"/>
                <w:lang w:val="en-US" w:eastAsia="zh-CN"/>
              </w:rPr>
              <w:t>处置。</w:t>
            </w:r>
          </w:p>
          <w:p w14:paraId="2B814834">
            <w:pPr>
              <w:adjustRightInd w:val="0"/>
              <w:snapToGrid w:val="0"/>
              <w:spacing w:line="360" w:lineRule="auto"/>
              <w:ind w:firstLine="482" w:firstLineChars="200"/>
              <w:rPr>
                <w:rFonts w:hint="default" w:ascii="Times New Roman" w:hAnsi="Times New Roman" w:cs="Times New Roman"/>
                <w:b/>
                <w:bCs/>
                <w:szCs w:val="21"/>
              </w:rPr>
            </w:pPr>
            <w:r>
              <w:rPr>
                <w:rFonts w:hint="default" w:ascii="Times New Roman" w:hAnsi="Times New Roman" w:cs="Times New Roman" w:eastAsiaTheme="minorEastAsia"/>
                <w:b/>
                <w:bCs/>
                <w:color w:val="auto"/>
                <w:sz w:val="24"/>
                <w:szCs w:val="24"/>
                <w:lang w:val="en-US" w:eastAsia="zh-CN"/>
              </w:rPr>
              <w:t>废活性炭：</w:t>
            </w:r>
            <w:r>
              <w:rPr>
                <w:rFonts w:hint="default" w:ascii="Times New Roman" w:hAnsi="Times New Roman" w:cs="Times New Roman"/>
                <w:kern w:val="0"/>
                <w:sz w:val="24"/>
                <w:lang w:bidi="ar"/>
              </w:rPr>
              <w:t>项目污水处理站恶臭气体治理过程中产生的废活性炭属于危险废物，</w:t>
            </w:r>
            <w:r>
              <w:rPr>
                <w:rFonts w:hint="default" w:ascii="Times New Roman" w:hAnsi="Times New Roman" w:cs="Times New Roman"/>
                <w:kern w:val="0"/>
                <w:sz w:val="24"/>
                <w:lang w:val="en-US" w:eastAsia="zh-CN" w:bidi="ar"/>
              </w:rPr>
              <w:t>危废</w:t>
            </w:r>
            <w:r>
              <w:rPr>
                <w:rFonts w:hint="default" w:ascii="Times New Roman" w:hAnsi="Times New Roman" w:cs="Times New Roman"/>
                <w:kern w:val="0"/>
                <w:sz w:val="24"/>
                <w:lang w:bidi="ar"/>
              </w:rPr>
              <w:t>代码为</w:t>
            </w:r>
            <w:r>
              <w:rPr>
                <w:rFonts w:hint="default" w:ascii="Times New Roman" w:hAnsi="Times New Roman" w:cs="Times New Roman"/>
                <w:kern w:val="0"/>
                <w:sz w:val="24"/>
                <w:lang w:val="en-US" w:eastAsia="zh-CN" w:bidi="ar"/>
              </w:rPr>
              <w:t>HW49  900-039-49</w:t>
            </w:r>
            <w:r>
              <w:rPr>
                <w:rFonts w:hint="default" w:ascii="Times New Roman" w:hAnsi="Times New Roman" w:cs="Times New Roman"/>
                <w:kern w:val="0"/>
                <w:sz w:val="24"/>
                <w:lang w:bidi="ar"/>
              </w:rPr>
              <w:t>，</w:t>
            </w:r>
            <w:r>
              <w:rPr>
                <w:rFonts w:hint="default" w:ascii="Times New Roman" w:hAnsi="Times New Roman" w:cs="Times New Roman"/>
                <w:sz w:val="24"/>
              </w:rPr>
              <w:t>产生量为</w:t>
            </w:r>
            <w:r>
              <w:rPr>
                <w:rFonts w:hint="default" w:ascii="Times New Roman" w:hAnsi="Times New Roman" w:cs="Times New Roman"/>
                <w:sz w:val="24"/>
                <w:lang w:val="en-US" w:eastAsia="zh-CN"/>
              </w:rPr>
              <w:t>0.</w:t>
            </w:r>
            <w:r>
              <w:rPr>
                <w:rFonts w:hint="default" w:ascii="Times New Roman" w:hAnsi="Times New Roman" w:cs="Times New Roman"/>
                <w:sz w:val="24"/>
              </w:rPr>
              <w:t>2t/a，</w:t>
            </w:r>
            <w:r>
              <w:rPr>
                <w:rFonts w:hint="default" w:ascii="Times New Roman" w:hAnsi="Times New Roman" w:cs="Times New Roman"/>
                <w:sz w:val="24"/>
                <w:lang w:val="en-US" w:eastAsia="zh-CN"/>
              </w:rPr>
              <w:t>集中收集后暂存于危废贮存间，定期交由有危废处置资质的单位处置</w:t>
            </w:r>
            <w:r>
              <w:rPr>
                <w:rFonts w:hint="default" w:ascii="Times New Roman" w:hAnsi="Times New Roman" w:cs="Times New Roman"/>
                <w:sz w:val="24"/>
              </w:rPr>
              <w:t>。</w:t>
            </w:r>
          </w:p>
          <w:p w14:paraId="166419CD">
            <w:pPr>
              <w:pStyle w:val="114"/>
              <w:spacing w:before="33" w:line="220" w:lineRule="auto"/>
              <w:ind w:left="597"/>
              <w:rPr>
                <w:rFonts w:hint="default" w:ascii="Times New Roman" w:hAnsi="Times New Roman" w:cs="Times New Roman"/>
                <w:b/>
                <w:bCs/>
              </w:rPr>
            </w:pPr>
            <w:r>
              <w:rPr>
                <w:rFonts w:hint="default" w:ascii="Times New Roman" w:hAnsi="Times New Roman" w:cs="Times New Roman"/>
                <w:b/>
                <w:bCs/>
                <w:spacing w:val="-2"/>
                <w:lang w:eastAsia="zh-CN"/>
              </w:rPr>
              <w:t>（</w:t>
            </w:r>
            <w:r>
              <w:rPr>
                <w:rFonts w:hint="default" w:ascii="Times New Roman" w:hAnsi="Times New Roman" w:cs="Times New Roman"/>
                <w:b/>
                <w:bCs/>
                <w:spacing w:val="-2"/>
                <w:lang w:val="en-US" w:eastAsia="zh-CN"/>
              </w:rPr>
              <w:t>2</w:t>
            </w:r>
            <w:r>
              <w:rPr>
                <w:rFonts w:hint="eastAsia" w:ascii="Times New Roman" w:hAnsi="Times New Roman" w:cs="Times New Roman"/>
                <w:b/>
                <w:bCs/>
                <w:spacing w:val="-2"/>
                <w:lang w:eastAsia="zh-CN"/>
              </w:rPr>
              <w:t>）</w:t>
            </w:r>
            <w:r>
              <w:rPr>
                <w:rFonts w:hint="default" w:ascii="Times New Roman" w:hAnsi="Times New Roman" w:cs="Times New Roman"/>
                <w:b/>
                <w:bCs/>
                <w:spacing w:val="-2"/>
              </w:rPr>
              <w:t>生活垃圾</w:t>
            </w:r>
          </w:p>
          <w:p w14:paraId="4922843A">
            <w:pPr>
              <w:pStyle w:val="114"/>
              <w:spacing w:before="181" w:line="335" w:lineRule="auto"/>
              <w:ind w:left="119" w:right="40" w:firstLine="487"/>
              <w:rPr>
                <w:rFonts w:hint="default" w:ascii="Times New Roman" w:hAnsi="Times New Roman" w:cs="Times New Roman"/>
              </w:rPr>
            </w:pPr>
            <w:r>
              <w:rPr>
                <w:rFonts w:hint="default" w:ascii="Times New Roman" w:hAnsi="Times New Roman" w:cs="Times New Roman"/>
                <w:spacing w:val="-7"/>
              </w:rPr>
              <w:t>员工生活垃圾产生量按每人</w:t>
            </w:r>
            <w:r>
              <w:rPr>
                <w:rFonts w:hint="default" w:ascii="Times New Roman" w:hAnsi="Times New Roman" w:eastAsia="Times New Roman" w:cs="Times New Roman"/>
                <w:spacing w:val="-7"/>
              </w:rPr>
              <w:t>0.5kg/d</w:t>
            </w:r>
            <w:r>
              <w:rPr>
                <w:rFonts w:hint="default" w:ascii="Times New Roman" w:hAnsi="Times New Roman" w:cs="Times New Roman"/>
                <w:spacing w:val="-7"/>
              </w:rPr>
              <w:t>计，则全厂</w:t>
            </w:r>
            <w:r>
              <w:rPr>
                <w:rFonts w:hint="default" w:ascii="Times New Roman" w:hAnsi="Times New Roman" w:eastAsia="宋体" w:cs="Times New Roman"/>
                <w:spacing w:val="-7"/>
                <w:lang w:val="en-US" w:eastAsia="zh-CN"/>
              </w:rPr>
              <w:t>90</w:t>
            </w:r>
            <w:r>
              <w:rPr>
                <w:rFonts w:hint="default" w:ascii="Times New Roman" w:hAnsi="Times New Roman" w:cs="Times New Roman"/>
                <w:spacing w:val="-8"/>
              </w:rPr>
              <w:t>人产生的生活垃圾量为</w:t>
            </w:r>
            <w:r>
              <w:rPr>
                <w:rFonts w:hint="default" w:ascii="Times New Roman" w:hAnsi="Times New Roman" w:eastAsia="宋体" w:cs="Times New Roman"/>
                <w:spacing w:val="-8"/>
                <w:lang w:val="en-US" w:eastAsia="zh-CN"/>
              </w:rPr>
              <w:t>45</w:t>
            </w:r>
            <w:r>
              <w:rPr>
                <w:rFonts w:hint="default" w:ascii="Times New Roman" w:hAnsi="Times New Roman" w:eastAsia="Times New Roman" w:cs="Times New Roman"/>
                <w:spacing w:val="-8"/>
              </w:rPr>
              <w:t>kg/d</w:t>
            </w:r>
            <w:r>
              <w:rPr>
                <w:rFonts w:hint="default" w:ascii="Times New Roman" w:hAnsi="Times New Roman" w:cs="Times New Roman"/>
                <w:spacing w:val="-8"/>
              </w:rPr>
              <w:t>，</w:t>
            </w:r>
            <w:r>
              <w:rPr>
                <w:rFonts w:hint="default" w:ascii="Times New Roman" w:hAnsi="Times New Roman" w:cs="Times New Roman"/>
                <w:spacing w:val="-8"/>
                <w:lang w:val="en-US" w:eastAsia="zh-CN"/>
              </w:rPr>
              <w:t>12</w:t>
            </w:r>
            <w:r>
              <w:rPr>
                <w:rFonts w:hint="default" w:ascii="Times New Roman" w:hAnsi="Times New Roman" w:eastAsia="Times New Roman" w:cs="Times New Roman"/>
                <w:spacing w:val="-8"/>
              </w:rPr>
              <w:t>t/a</w:t>
            </w:r>
            <w:r>
              <w:rPr>
                <w:rFonts w:hint="default" w:ascii="Times New Roman" w:hAnsi="Times New Roman" w:cs="Times New Roman"/>
                <w:spacing w:val="-8"/>
              </w:rPr>
              <w:t>，</w:t>
            </w:r>
            <w:r>
              <w:rPr>
                <w:rFonts w:hint="default" w:ascii="Times New Roman" w:hAnsi="Times New Roman" w:cs="Times New Roman"/>
                <w:spacing w:val="-3"/>
              </w:rPr>
              <w:t>经收集后</w:t>
            </w:r>
            <w:r>
              <w:rPr>
                <w:rFonts w:hint="default" w:ascii="Times New Roman" w:hAnsi="Times New Roman" w:cs="Times New Roman"/>
                <w:spacing w:val="-3"/>
                <w:lang w:val="en-US" w:eastAsia="zh-CN"/>
              </w:rPr>
              <w:t>交由</w:t>
            </w:r>
            <w:r>
              <w:rPr>
                <w:rFonts w:hint="default" w:ascii="Times New Roman" w:hAnsi="Times New Roman" w:cs="Times New Roman"/>
                <w:spacing w:val="-3"/>
              </w:rPr>
              <w:t>环卫部门清运</w:t>
            </w:r>
            <w:r>
              <w:rPr>
                <w:rFonts w:hint="default" w:ascii="Times New Roman" w:hAnsi="Times New Roman" w:cs="Times New Roman"/>
                <w:spacing w:val="-3"/>
                <w:lang w:val="en-US" w:eastAsia="zh-CN"/>
              </w:rPr>
              <w:t>处理</w:t>
            </w:r>
            <w:r>
              <w:rPr>
                <w:rFonts w:hint="default" w:ascii="Times New Roman" w:hAnsi="Times New Roman" w:cs="Times New Roman"/>
                <w:spacing w:val="-3"/>
              </w:rPr>
              <w:t>。</w:t>
            </w:r>
          </w:p>
          <w:p w14:paraId="7C6A463D">
            <w:pPr>
              <w:pStyle w:val="114"/>
              <w:spacing w:before="63" w:line="219" w:lineRule="auto"/>
              <w:ind w:left="598"/>
            </w:pPr>
            <w:r>
              <w:rPr>
                <w:spacing w:val="-3"/>
              </w:rPr>
              <w:t>本项目固废产生及处置情况见下表。</w:t>
            </w:r>
          </w:p>
          <w:p w14:paraId="76C693A6">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rPr>
            </w:pPr>
          </w:p>
          <w:p w14:paraId="363CE99C">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color w:val="auto"/>
              </w:rPr>
            </w:pPr>
            <w:r>
              <w:rPr>
                <w:rFonts w:hint="eastAsia" w:ascii="宋体" w:hAnsi="宋体" w:eastAsia="宋体" w:cs="宋体"/>
                <w:color w:val="auto"/>
              </w:rPr>
              <w:t>表4-1</w:t>
            </w:r>
            <w:r>
              <w:rPr>
                <w:rFonts w:hint="eastAsia" w:ascii="宋体" w:hAnsi="宋体" w:cs="宋体"/>
                <w:color w:val="auto"/>
                <w:lang w:val="en-US" w:eastAsia="zh-CN"/>
              </w:rPr>
              <w:t>4</w:t>
            </w:r>
            <w:r>
              <w:rPr>
                <w:rFonts w:hint="eastAsia" w:ascii="宋体" w:hAnsi="宋体" w:eastAsia="宋体" w:cs="宋体"/>
                <w:color w:val="auto"/>
              </w:rPr>
              <w:t>项目固废排放情况一览表</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493"/>
              <w:gridCol w:w="870"/>
              <w:gridCol w:w="846"/>
              <w:gridCol w:w="698"/>
              <w:gridCol w:w="843"/>
              <w:gridCol w:w="842"/>
              <w:gridCol w:w="2010"/>
              <w:gridCol w:w="941"/>
              <w:gridCol w:w="856"/>
            </w:tblGrid>
            <w:tr w14:paraId="66736299">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jc w:val="center"/>
              </w:trPr>
              <w:tc>
                <w:tcPr>
                  <w:tcW w:w="293" w:type="pct"/>
                  <w:vMerge w:val="restart"/>
                  <w:tcBorders>
                    <w:tl2br w:val="nil"/>
                    <w:tr2bl w:val="nil"/>
                  </w:tcBorders>
                  <w:vAlign w:val="center"/>
                </w:tcPr>
                <w:p w14:paraId="11525FD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序号</w:t>
                  </w:r>
                </w:p>
              </w:tc>
              <w:tc>
                <w:tcPr>
                  <w:tcW w:w="1021" w:type="pct"/>
                  <w:gridSpan w:val="2"/>
                  <w:tcBorders>
                    <w:tl2br w:val="nil"/>
                    <w:tr2bl w:val="nil"/>
                  </w:tcBorders>
                  <w:vAlign w:val="center"/>
                </w:tcPr>
                <w:p w14:paraId="36CD0DDD">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排放源</w:t>
                  </w:r>
                </w:p>
              </w:tc>
              <w:tc>
                <w:tcPr>
                  <w:tcW w:w="415" w:type="pct"/>
                  <w:vMerge w:val="restart"/>
                  <w:tcBorders>
                    <w:tl2br w:val="nil"/>
                    <w:tr2bl w:val="nil"/>
                  </w:tcBorders>
                  <w:vAlign w:val="center"/>
                </w:tcPr>
                <w:p w14:paraId="7CAFD6A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属性</w:t>
                  </w:r>
                </w:p>
              </w:tc>
              <w:tc>
                <w:tcPr>
                  <w:tcW w:w="501" w:type="pct"/>
                  <w:vMerge w:val="restart"/>
                  <w:tcBorders>
                    <w:tl2br w:val="nil"/>
                    <w:tr2bl w:val="nil"/>
                  </w:tcBorders>
                  <w:vAlign w:val="center"/>
                </w:tcPr>
                <w:p w14:paraId="0B4EACD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形态</w:t>
                  </w:r>
                </w:p>
              </w:tc>
              <w:tc>
                <w:tcPr>
                  <w:tcW w:w="501" w:type="pct"/>
                  <w:vMerge w:val="restart"/>
                  <w:tcBorders>
                    <w:tl2br w:val="nil"/>
                    <w:tr2bl w:val="nil"/>
                  </w:tcBorders>
                  <w:vAlign w:val="center"/>
                </w:tcPr>
                <w:p w14:paraId="3829BEE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eastAsia="zh-CN"/>
                    </w:rPr>
                  </w:pPr>
                  <w:r>
                    <w:t>产生量（t/a</w:t>
                  </w:r>
                  <w:r>
                    <w:rPr>
                      <w:rFonts w:hint="eastAsia"/>
                      <w:lang w:eastAsia="zh-CN"/>
                    </w:rPr>
                    <w:t>）</w:t>
                  </w:r>
                </w:p>
              </w:tc>
              <w:tc>
                <w:tcPr>
                  <w:tcW w:w="1196" w:type="pct"/>
                  <w:vMerge w:val="restart"/>
                  <w:tcBorders>
                    <w:tl2br w:val="nil"/>
                    <w:tr2bl w:val="nil"/>
                  </w:tcBorders>
                  <w:vAlign w:val="center"/>
                </w:tcPr>
                <w:p w14:paraId="5AF663B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处置及利用方式</w:t>
                  </w:r>
                </w:p>
              </w:tc>
              <w:tc>
                <w:tcPr>
                  <w:tcW w:w="560" w:type="pct"/>
                  <w:vMerge w:val="restart"/>
                  <w:tcBorders>
                    <w:tl2br w:val="nil"/>
                    <w:tr2bl w:val="nil"/>
                  </w:tcBorders>
                  <w:vAlign w:val="center"/>
                </w:tcPr>
                <w:p w14:paraId="5EE6286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贮存</w:t>
                  </w:r>
                </w:p>
                <w:p w14:paraId="7C73636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方式</w:t>
                  </w:r>
                </w:p>
              </w:tc>
              <w:tc>
                <w:tcPr>
                  <w:tcW w:w="509" w:type="pct"/>
                  <w:vMerge w:val="restart"/>
                  <w:tcBorders>
                    <w:tl2br w:val="nil"/>
                    <w:tr2bl w:val="nil"/>
                  </w:tcBorders>
                  <w:vAlign w:val="center"/>
                </w:tcPr>
                <w:p w14:paraId="2CE8121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贮存时间</w:t>
                  </w:r>
                </w:p>
              </w:tc>
            </w:tr>
            <w:tr w14:paraId="722F4DB5">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vMerge w:val="continue"/>
                  <w:tcBorders>
                    <w:tl2br w:val="nil"/>
                    <w:tr2bl w:val="nil"/>
                  </w:tcBorders>
                  <w:vAlign w:val="center"/>
                </w:tcPr>
                <w:p w14:paraId="30B60BE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17" w:type="pct"/>
                  <w:tcBorders>
                    <w:tl2br w:val="nil"/>
                    <w:tr2bl w:val="nil"/>
                  </w:tcBorders>
                  <w:vAlign w:val="center"/>
                </w:tcPr>
                <w:p w14:paraId="0D90A58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产污</w:t>
                  </w:r>
                </w:p>
                <w:p w14:paraId="7C800FA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环节</w:t>
                  </w:r>
                </w:p>
              </w:tc>
              <w:tc>
                <w:tcPr>
                  <w:tcW w:w="503" w:type="pct"/>
                  <w:tcBorders>
                    <w:tl2br w:val="nil"/>
                    <w:tr2bl w:val="nil"/>
                  </w:tcBorders>
                  <w:vAlign w:val="center"/>
                </w:tcPr>
                <w:p w14:paraId="70E38E3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污染物名称</w:t>
                  </w:r>
                </w:p>
              </w:tc>
              <w:tc>
                <w:tcPr>
                  <w:tcW w:w="415" w:type="pct"/>
                  <w:vMerge w:val="continue"/>
                  <w:tcBorders>
                    <w:tl2br w:val="nil"/>
                    <w:tr2bl w:val="nil"/>
                  </w:tcBorders>
                  <w:vAlign w:val="center"/>
                </w:tcPr>
                <w:p w14:paraId="5703B7C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01" w:type="pct"/>
                  <w:vMerge w:val="continue"/>
                  <w:tcBorders>
                    <w:tl2br w:val="nil"/>
                    <w:tr2bl w:val="nil"/>
                  </w:tcBorders>
                  <w:vAlign w:val="center"/>
                </w:tcPr>
                <w:p w14:paraId="767EBBE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01" w:type="pct"/>
                  <w:vMerge w:val="continue"/>
                  <w:tcBorders>
                    <w:tl2br w:val="nil"/>
                    <w:tr2bl w:val="nil"/>
                  </w:tcBorders>
                  <w:vAlign w:val="center"/>
                </w:tcPr>
                <w:p w14:paraId="5A4DA6C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1196" w:type="pct"/>
                  <w:vMerge w:val="continue"/>
                  <w:tcBorders>
                    <w:tl2br w:val="nil"/>
                    <w:tr2bl w:val="nil"/>
                  </w:tcBorders>
                  <w:vAlign w:val="center"/>
                </w:tcPr>
                <w:p w14:paraId="09F034D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60" w:type="pct"/>
                  <w:vMerge w:val="continue"/>
                  <w:tcBorders>
                    <w:tl2br w:val="nil"/>
                    <w:tr2bl w:val="nil"/>
                  </w:tcBorders>
                  <w:vAlign w:val="center"/>
                </w:tcPr>
                <w:p w14:paraId="053F8B6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09" w:type="pct"/>
                  <w:vMerge w:val="continue"/>
                  <w:tcBorders>
                    <w:tl2br w:val="nil"/>
                    <w:tr2bl w:val="nil"/>
                  </w:tcBorders>
                  <w:vAlign w:val="center"/>
                </w:tcPr>
                <w:p w14:paraId="664FF11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r>
            <w:tr w14:paraId="43B2716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vAlign w:val="center"/>
                </w:tcPr>
                <w:p w14:paraId="7C4C1E4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w:t>
                  </w:r>
                </w:p>
              </w:tc>
              <w:tc>
                <w:tcPr>
                  <w:tcW w:w="517" w:type="pct"/>
                  <w:tcBorders>
                    <w:tl2br w:val="nil"/>
                    <w:tr2bl w:val="nil"/>
                  </w:tcBorders>
                  <w:vAlign w:val="center"/>
                </w:tcPr>
                <w:p w14:paraId="33C3834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生活</w:t>
                  </w:r>
                </w:p>
              </w:tc>
              <w:tc>
                <w:tcPr>
                  <w:tcW w:w="503" w:type="pct"/>
                  <w:tcBorders>
                    <w:tl2br w:val="nil"/>
                    <w:tr2bl w:val="nil"/>
                  </w:tcBorders>
                  <w:vAlign w:val="center"/>
                </w:tcPr>
                <w:p w14:paraId="1AF0D10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生活垃圾</w:t>
                  </w:r>
                </w:p>
              </w:tc>
              <w:tc>
                <w:tcPr>
                  <w:tcW w:w="415" w:type="pct"/>
                  <w:tcBorders>
                    <w:tl2br w:val="nil"/>
                    <w:tr2bl w:val="nil"/>
                  </w:tcBorders>
                  <w:vAlign w:val="center"/>
                </w:tcPr>
                <w:p w14:paraId="017117D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74E1247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7C9EA50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12</w:t>
                  </w:r>
                </w:p>
              </w:tc>
              <w:tc>
                <w:tcPr>
                  <w:tcW w:w="1196" w:type="pct"/>
                  <w:tcBorders>
                    <w:tl2br w:val="nil"/>
                    <w:tr2bl w:val="nil"/>
                  </w:tcBorders>
                  <w:vAlign w:val="center"/>
                </w:tcPr>
                <w:p w14:paraId="724A2D9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委托环卫部门清运</w:t>
                  </w:r>
                </w:p>
              </w:tc>
              <w:tc>
                <w:tcPr>
                  <w:tcW w:w="560" w:type="pct"/>
                  <w:tcBorders>
                    <w:tl2br w:val="nil"/>
                    <w:tr2bl w:val="nil"/>
                  </w:tcBorders>
                  <w:vAlign w:val="center"/>
                </w:tcPr>
                <w:p w14:paraId="45EAABF2">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垃圾桶</w:t>
                  </w:r>
                </w:p>
              </w:tc>
              <w:tc>
                <w:tcPr>
                  <w:tcW w:w="509" w:type="pct"/>
                  <w:tcBorders>
                    <w:tl2br w:val="nil"/>
                    <w:tr2bl w:val="nil"/>
                  </w:tcBorders>
                  <w:vAlign w:val="center"/>
                </w:tcPr>
                <w:p w14:paraId="39BFD57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1日</w:t>
                  </w:r>
                </w:p>
              </w:tc>
            </w:tr>
            <w:tr w14:paraId="665DA916">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vMerge w:val="restart"/>
                  <w:tcBorders>
                    <w:tl2br w:val="nil"/>
                    <w:tr2bl w:val="nil"/>
                  </w:tcBorders>
                  <w:vAlign w:val="center"/>
                </w:tcPr>
                <w:p w14:paraId="406E408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2</w:t>
                  </w:r>
                </w:p>
              </w:tc>
              <w:tc>
                <w:tcPr>
                  <w:tcW w:w="517" w:type="pct"/>
                  <w:tcBorders>
                    <w:tl2br w:val="nil"/>
                    <w:tr2bl w:val="nil"/>
                  </w:tcBorders>
                  <w:vAlign w:val="center"/>
                </w:tcPr>
                <w:p w14:paraId="4CE0EEC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速冻食品加工</w:t>
                  </w:r>
                </w:p>
              </w:tc>
              <w:tc>
                <w:tcPr>
                  <w:tcW w:w="503" w:type="pct"/>
                  <w:tcBorders>
                    <w:tl2br w:val="nil"/>
                    <w:tr2bl w:val="nil"/>
                  </w:tcBorders>
                  <w:vAlign w:val="center"/>
                </w:tcPr>
                <w:p w14:paraId="615C2EC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rPr>
                    <w:t>不合格产品、过期产品</w:t>
                  </w:r>
                </w:p>
              </w:tc>
              <w:tc>
                <w:tcPr>
                  <w:tcW w:w="415" w:type="pct"/>
                  <w:tcBorders>
                    <w:tl2br w:val="nil"/>
                    <w:tr2bl w:val="nil"/>
                  </w:tcBorders>
                  <w:vAlign w:val="center"/>
                </w:tcPr>
                <w:p w14:paraId="3BB90F62">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62BA113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16B1945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0.2</w:t>
                  </w:r>
                </w:p>
              </w:tc>
              <w:tc>
                <w:tcPr>
                  <w:tcW w:w="1196" w:type="pct"/>
                  <w:tcBorders>
                    <w:tl2br w:val="nil"/>
                    <w:tr2bl w:val="nil"/>
                  </w:tcBorders>
                  <w:vAlign w:val="center"/>
                </w:tcPr>
                <w:p w14:paraId="2925D6B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收集后</w:t>
                  </w:r>
                  <w:r>
                    <w:rPr>
                      <w:rFonts w:hint="eastAsia"/>
                      <w:lang w:eastAsia="zh-CN"/>
                    </w:rPr>
                    <w:t>定期外售至</w:t>
                  </w:r>
                  <w:r>
                    <w:rPr>
                      <w:rFonts w:hint="eastAsia"/>
                      <w:lang w:val="en-US" w:eastAsia="zh-CN"/>
                    </w:rPr>
                    <w:t>肥料厂制造肥料</w:t>
                  </w:r>
                </w:p>
              </w:tc>
              <w:tc>
                <w:tcPr>
                  <w:tcW w:w="560" w:type="pct"/>
                  <w:tcBorders>
                    <w:tl2br w:val="nil"/>
                    <w:tr2bl w:val="nil"/>
                  </w:tcBorders>
                  <w:vAlign w:val="center"/>
                </w:tcPr>
                <w:p w14:paraId="41DF666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w:t>
                  </w:r>
                </w:p>
              </w:tc>
              <w:tc>
                <w:tcPr>
                  <w:tcW w:w="509" w:type="pct"/>
                  <w:tcBorders>
                    <w:tl2br w:val="nil"/>
                    <w:tr2bl w:val="nil"/>
                  </w:tcBorders>
                  <w:vAlign w:val="center"/>
                </w:tcPr>
                <w:p w14:paraId="25D9847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1日</w:t>
                  </w:r>
                </w:p>
              </w:tc>
            </w:tr>
            <w:tr w14:paraId="252A0A8B">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vMerge w:val="continue"/>
                  <w:tcBorders>
                    <w:tl2br w:val="nil"/>
                    <w:tr2bl w:val="nil"/>
                  </w:tcBorders>
                  <w:vAlign w:val="center"/>
                </w:tcPr>
                <w:p w14:paraId="1D950EB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17" w:type="pct"/>
                  <w:tcBorders>
                    <w:tl2br w:val="nil"/>
                    <w:tr2bl w:val="nil"/>
                  </w:tcBorders>
                  <w:vAlign w:val="center"/>
                </w:tcPr>
                <w:p w14:paraId="666FAC9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包装</w:t>
                  </w:r>
                </w:p>
              </w:tc>
              <w:tc>
                <w:tcPr>
                  <w:tcW w:w="503" w:type="pct"/>
                  <w:tcBorders>
                    <w:tl2br w:val="nil"/>
                    <w:tr2bl w:val="nil"/>
                  </w:tcBorders>
                  <w:vAlign w:val="center"/>
                </w:tcPr>
                <w:p w14:paraId="04033CC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lang w:val="en-US" w:eastAsia="zh-CN"/>
                    </w:rPr>
                    <w:t>废包装材料</w:t>
                  </w:r>
                </w:p>
              </w:tc>
              <w:tc>
                <w:tcPr>
                  <w:tcW w:w="415" w:type="pct"/>
                  <w:tcBorders>
                    <w:tl2br w:val="nil"/>
                    <w:tr2bl w:val="nil"/>
                  </w:tcBorders>
                  <w:vAlign w:val="center"/>
                </w:tcPr>
                <w:p w14:paraId="385FEE0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070AAC4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14199FE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0.5</w:t>
                  </w:r>
                </w:p>
              </w:tc>
              <w:tc>
                <w:tcPr>
                  <w:tcW w:w="1196" w:type="pct"/>
                  <w:tcBorders>
                    <w:tl2br w:val="nil"/>
                    <w:tr2bl w:val="nil"/>
                  </w:tcBorders>
                  <w:vAlign w:val="center"/>
                </w:tcPr>
                <w:p w14:paraId="3B5EE63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color w:val="auto"/>
                      <w:lang w:val="en-US" w:eastAsia="zh-CN"/>
                    </w:rPr>
                  </w:pPr>
                  <w:r>
                    <w:rPr>
                      <w:rFonts w:hint="eastAsia"/>
                      <w:color w:val="auto"/>
                      <w:lang w:val="en-US" w:eastAsia="zh-CN"/>
                    </w:rPr>
                    <w:t>收集后外售废废品收购站综合利用</w:t>
                  </w:r>
                </w:p>
              </w:tc>
              <w:tc>
                <w:tcPr>
                  <w:tcW w:w="560" w:type="pct"/>
                  <w:tcBorders>
                    <w:tl2br w:val="nil"/>
                    <w:tr2bl w:val="nil"/>
                  </w:tcBorders>
                  <w:vAlign w:val="center"/>
                </w:tcPr>
                <w:p w14:paraId="572C087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w:t>
                  </w:r>
                </w:p>
              </w:tc>
              <w:tc>
                <w:tcPr>
                  <w:tcW w:w="509" w:type="pct"/>
                  <w:tcBorders>
                    <w:tl2br w:val="nil"/>
                    <w:tr2bl w:val="nil"/>
                  </w:tcBorders>
                  <w:vAlign w:val="center"/>
                </w:tcPr>
                <w:p w14:paraId="323D9BF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1日</w:t>
                  </w:r>
                </w:p>
              </w:tc>
            </w:tr>
            <w:tr w14:paraId="7BD64062">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vMerge w:val="restart"/>
                  <w:tcBorders>
                    <w:tl2br w:val="nil"/>
                    <w:tr2bl w:val="nil"/>
                  </w:tcBorders>
                  <w:vAlign w:val="center"/>
                </w:tcPr>
                <w:p w14:paraId="521AC07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2</w:t>
                  </w:r>
                </w:p>
              </w:tc>
              <w:tc>
                <w:tcPr>
                  <w:tcW w:w="517" w:type="pct"/>
                  <w:vMerge w:val="restart"/>
                  <w:tcBorders>
                    <w:tl2br w:val="nil"/>
                    <w:tr2bl w:val="nil"/>
                  </w:tcBorders>
                  <w:vAlign w:val="center"/>
                </w:tcPr>
                <w:p w14:paraId="1251361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卤制品加工</w:t>
                  </w:r>
                </w:p>
              </w:tc>
              <w:tc>
                <w:tcPr>
                  <w:tcW w:w="503" w:type="pct"/>
                  <w:tcBorders>
                    <w:tl2br w:val="nil"/>
                    <w:tr2bl w:val="nil"/>
                  </w:tcBorders>
                  <w:vAlign w:val="center"/>
                </w:tcPr>
                <w:p w14:paraId="785496E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rPr>
                    <w:t>隔油池油污</w:t>
                  </w:r>
                </w:p>
              </w:tc>
              <w:tc>
                <w:tcPr>
                  <w:tcW w:w="415" w:type="pct"/>
                  <w:tcBorders>
                    <w:tl2br w:val="nil"/>
                    <w:tr2bl w:val="nil"/>
                  </w:tcBorders>
                  <w:vAlign w:val="center"/>
                </w:tcPr>
                <w:p w14:paraId="08DE57E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4D4523F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0B611CBD">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0.2</w:t>
                  </w:r>
                </w:p>
              </w:tc>
              <w:tc>
                <w:tcPr>
                  <w:tcW w:w="1196" w:type="pct"/>
                  <w:tcBorders>
                    <w:tl2br w:val="nil"/>
                    <w:tr2bl w:val="nil"/>
                  </w:tcBorders>
                  <w:vAlign w:val="center"/>
                </w:tcPr>
                <w:p w14:paraId="5448326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color w:val="auto"/>
                    </w:rPr>
                  </w:pPr>
                  <w:r>
                    <w:rPr>
                      <w:rFonts w:hint="eastAsia"/>
                      <w:color w:val="auto"/>
                      <w:lang w:val="en-US" w:eastAsia="zh-CN"/>
                    </w:rPr>
                    <w:t>收集后</w:t>
                  </w:r>
                  <w:r>
                    <w:rPr>
                      <w:rFonts w:hint="eastAsia"/>
                      <w:color w:val="auto"/>
                      <w:lang w:eastAsia="zh-CN"/>
                    </w:rPr>
                    <w:t>定期外售至</w:t>
                  </w:r>
                  <w:r>
                    <w:rPr>
                      <w:rFonts w:hint="eastAsia"/>
                      <w:color w:val="auto"/>
                      <w:lang w:val="en-US" w:eastAsia="zh-CN"/>
                    </w:rPr>
                    <w:t>肥料厂制造肥料</w:t>
                  </w:r>
                </w:p>
              </w:tc>
              <w:tc>
                <w:tcPr>
                  <w:tcW w:w="560" w:type="pct"/>
                  <w:tcBorders>
                    <w:tl2br w:val="nil"/>
                    <w:tr2bl w:val="nil"/>
                  </w:tcBorders>
                  <w:vAlign w:val="center"/>
                </w:tcPr>
                <w:p w14:paraId="630EA3B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废油脂桶</w:t>
                  </w:r>
                </w:p>
              </w:tc>
              <w:tc>
                <w:tcPr>
                  <w:tcW w:w="509" w:type="pct"/>
                  <w:tcBorders>
                    <w:tl2br w:val="nil"/>
                    <w:tr2bl w:val="nil"/>
                  </w:tcBorders>
                  <w:vAlign w:val="center"/>
                </w:tcPr>
                <w:p w14:paraId="6752D23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eastAsia="zh-CN"/>
                    </w:rPr>
                  </w:pPr>
                  <w:r>
                    <w:t>1</w:t>
                  </w:r>
                  <w:r>
                    <w:rPr>
                      <w:rFonts w:hint="eastAsia"/>
                      <w:lang w:val="en-US" w:eastAsia="zh-CN"/>
                    </w:rPr>
                    <w:t>周</w:t>
                  </w:r>
                </w:p>
              </w:tc>
            </w:tr>
            <w:tr w14:paraId="707EAF74">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vMerge w:val="continue"/>
                  <w:tcBorders>
                    <w:tl2br w:val="nil"/>
                    <w:tr2bl w:val="nil"/>
                  </w:tcBorders>
                  <w:vAlign w:val="center"/>
                </w:tcPr>
                <w:p w14:paraId="41EB0CF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17" w:type="pct"/>
                  <w:vMerge w:val="continue"/>
                  <w:tcBorders>
                    <w:tl2br w:val="nil"/>
                    <w:tr2bl w:val="nil"/>
                  </w:tcBorders>
                  <w:vAlign w:val="center"/>
                </w:tcPr>
                <w:p w14:paraId="482FFE8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p>
              </w:tc>
              <w:tc>
                <w:tcPr>
                  <w:tcW w:w="503" w:type="pct"/>
                  <w:tcBorders>
                    <w:tl2br w:val="nil"/>
                    <w:tr2bl w:val="nil"/>
                  </w:tcBorders>
                  <w:vAlign w:val="center"/>
                </w:tcPr>
                <w:p w14:paraId="53F211D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lang w:val="en-US" w:eastAsia="zh-CN"/>
                    </w:rPr>
                    <w:t>卤废渣</w:t>
                  </w:r>
                </w:p>
              </w:tc>
              <w:tc>
                <w:tcPr>
                  <w:tcW w:w="415" w:type="pct"/>
                  <w:tcBorders>
                    <w:tl2br w:val="nil"/>
                    <w:tr2bl w:val="nil"/>
                  </w:tcBorders>
                  <w:vAlign w:val="center"/>
                </w:tcPr>
                <w:p w14:paraId="724EA9B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36F44DC2">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7ECDAF9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1</w:t>
                  </w:r>
                </w:p>
              </w:tc>
              <w:tc>
                <w:tcPr>
                  <w:tcW w:w="1196" w:type="pct"/>
                  <w:tcBorders>
                    <w:tl2br w:val="nil"/>
                    <w:tr2bl w:val="nil"/>
                  </w:tcBorders>
                  <w:vAlign w:val="center"/>
                </w:tcPr>
                <w:p w14:paraId="3121C48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color w:val="auto"/>
                      <w:lang w:val="en-US" w:eastAsia="zh-CN"/>
                    </w:rPr>
                  </w:pPr>
                  <w:r>
                    <w:rPr>
                      <w:rFonts w:hint="eastAsia"/>
                      <w:color w:val="auto"/>
                      <w:lang w:val="en-US" w:eastAsia="zh-CN"/>
                    </w:rPr>
                    <w:t>收集后同生活垃圾交由环卫部门处置</w:t>
                  </w:r>
                </w:p>
              </w:tc>
              <w:tc>
                <w:tcPr>
                  <w:tcW w:w="560" w:type="pct"/>
                  <w:tcBorders>
                    <w:tl2br w:val="nil"/>
                    <w:tr2bl w:val="nil"/>
                  </w:tcBorders>
                  <w:vAlign w:val="center"/>
                </w:tcPr>
                <w:p w14:paraId="6861C895">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专用垃圾桶</w:t>
                  </w:r>
                </w:p>
              </w:tc>
              <w:tc>
                <w:tcPr>
                  <w:tcW w:w="509" w:type="pct"/>
                  <w:tcBorders>
                    <w:tl2br w:val="nil"/>
                    <w:tr2bl w:val="nil"/>
                  </w:tcBorders>
                  <w:vAlign w:val="center"/>
                </w:tcPr>
                <w:p w14:paraId="14AA6E8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1日</w:t>
                  </w:r>
                </w:p>
              </w:tc>
            </w:tr>
            <w:tr w14:paraId="1CCBF739">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shd w:val="clear" w:color="auto" w:fill="auto"/>
                  <w:vAlign w:val="center"/>
                </w:tcPr>
                <w:p w14:paraId="451C727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3</w:t>
                  </w:r>
                </w:p>
              </w:tc>
              <w:tc>
                <w:tcPr>
                  <w:tcW w:w="517" w:type="pct"/>
                  <w:tcBorders>
                    <w:tl2br w:val="nil"/>
                    <w:tr2bl w:val="nil"/>
                  </w:tcBorders>
                  <w:shd w:val="clear" w:color="auto" w:fill="auto"/>
                  <w:vAlign w:val="center"/>
                </w:tcPr>
                <w:p w14:paraId="75F7613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豆制品加工</w:t>
                  </w:r>
                </w:p>
              </w:tc>
              <w:tc>
                <w:tcPr>
                  <w:tcW w:w="503" w:type="pct"/>
                  <w:tcBorders>
                    <w:tl2br w:val="nil"/>
                    <w:tr2bl w:val="nil"/>
                  </w:tcBorders>
                  <w:shd w:val="clear" w:color="auto" w:fill="auto"/>
                  <w:vAlign w:val="center"/>
                </w:tcPr>
                <w:p w14:paraId="0578AB1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豆渣</w:t>
                  </w:r>
                </w:p>
              </w:tc>
              <w:tc>
                <w:tcPr>
                  <w:tcW w:w="415" w:type="pct"/>
                  <w:tcBorders>
                    <w:tl2br w:val="nil"/>
                    <w:tr2bl w:val="nil"/>
                  </w:tcBorders>
                  <w:shd w:val="clear" w:color="auto" w:fill="auto"/>
                  <w:vAlign w:val="center"/>
                </w:tcPr>
                <w:p w14:paraId="5BE795F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一般固废</w:t>
                  </w:r>
                </w:p>
              </w:tc>
              <w:tc>
                <w:tcPr>
                  <w:tcW w:w="501" w:type="pct"/>
                  <w:tcBorders>
                    <w:tl2br w:val="nil"/>
                    <w:tr2bl w:val="nil"/>
                  </w:tcBorders>
                  <w:shd w:val="clear" w:color="auto" w:fill="auto"/>
                  <w:vAlign w:val="center"/>
                </w:tcPr>
                <w:p w14:paraId="774D654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固态</w:t>
                  </w:r>
                </w:p>
              </w:tc>
              <w:tc>
                <w:tcPr>
                  <w:tcW w:w="501" w:type="pct"/>
                  <w:tcBorders>
                    <w:tl2br w:val="nil"/>
                    <w:tr2bl w:val="nil"/>
                  </w:tcBorders>
                  <w:shd w:val="clear" w:color="auto" w:fill="auto"/>
                  <w:vAlign w:val="center"/>
                </w:tcPr>
                <w:p w14:paraId="1CA93E72">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62.4</w:t>
                  </w:r>
                </w:p>
              </w:tc>
              <w:tc>
                <w:tcPr>
                  <w:tcW w:w="1196" w:type="pct"/>
                  <w:tcBorders>
                    <w:tl2br w:val="nil"/>
                    <w:tr2bl w:val="nil"/>
                  </w:tcBorders>
                  <w:shd w:val="clear" w:color="auto" w:fill="auto"/>
                  <w:vAlign w:val="center"/>
                </w:tcPr>
                <w:p w14:paraId="6D8A59D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color w:val="auto"/>
                      <w:lang w:val="en-US" w:eastAsia="zh-CN"/>
                    </w:rPr>
                  </w:pPr>
                  <w:r>
                    <w:rPr>
                      <w:rFonts w:hint="eastAsia"/>
                      <w:color w:val="auto"/>
                      <w:lang w:val="en-US" w:eastAsia="zh-CN"/>
                    </w:rPr>
                    <w:t>收集后</w:t>
                  </w:r>
                  <w:r>
                    <w:rPr>
                      <w:rFonts w:hint="eastAsia"/>
                      <w:color w:val="auto"/>
                      <w:lang w:eastAsia="zh-CN"/>
                    </w:rPr>
                    <w:t>定期外售至</w:t>
                  </w:r>
                  <w:r>
                    <w:rPr>
                      <w:rFonts w:hint="eastAsia"/>
                      <w:color w:val="auto"/>
                      <w:lang w:val="en-US" w:eastAsia="zh-CN"/>
                    </w:rPr>
                    <w:t>肥料厂制造肥料</w:t>
                  </w:r>
                </w:p>
              </w:tc>
              <w:tc>
                <w:tcPr>
                  <w:tcW w:w="560" w:type="pct"/>
                  <w:tcBorders>
                    <w:tl2br w:val="nil"/>
                    <w:tr2bl w:val="nil"/>
                  </w:tcBorders>
                  <w:shd w:val="clear" w:color="auto" w:fill="auto"/>
                  <w:vAlign w:val="center"/>
                </w:tcPr>
                <w:p w14:paraId="1DE216E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专用垃圾桶</w:t>
                  </w:r>
                </w:p>
              </w:tc>
              <w:tc>
                <w:tcPr>
                  <w:tcW w:w="509" w:type="pct"/>
                  <w:tcBorders>
                    <w:tl2br w:val="nil"/>
                    <w:tr2bl w:val="nil"/>
                  </w:tcBorders>
                  <w:shd w:val="clear" w:color="auto" w:fill="auto"/>
                  <w:vAlign w:val="center"/>
                </w:tcPr>
                <w:p w14:paraId="2C46839B">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1日</w:t>
                  </w:r>
                </w:p>
              </w:tc>
            </w:tr>
            <w:tr w14:paraId="62CC8481">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vAlign w:val="center"/>
                </w:tcPr>
                <w:p w14:paraId="797E87E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4</w:t>
                  </w:r>
                </w:p>
              </w:tc>
              <w:tc>
                <w:tcPr>
                  <w:tcW w:w="517" w:type="pct"/>
                  <w:tcBorders>
                    <w:tl2br w:val="nil"/>
                    <w:tr2bl w:val="nil"/>
                  </w:tcBorders>
                  <w:vAlign w:val="center"/>
                </w:tcPr>
                <w:p w14:paraId="0B42679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纯水制备系统</w:t>
                  </w:r>
                </w:p>
              </w:tc>
              <w:tc>
                <w:tcPr>
                  <w:tcW w:w="503" w:type="pct"/>
                  <w:tcBorders>
                    <w:tl2br w:val="nil"/>
                    <w:tr2bl w:val="nil"/>
                  </w:tcBorders>
                  <w:vAlign w:val="center"/>
                </w:tcPr>
                <w:p w14:paraId="215DFAB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lang w:val="en-US" w:eastAsia="zh-CN"/>
                    </w:rPr>
                    <w:t>废RO膜</w:t>
                  </w:r>
                </w:p>
              </w:tc>
              <w:tc>
                <w:tcPr>
                  <w:tcW w:w="415" w:type="pct"/>
                  <w:tcBorders>
                    <w:tl2br w:val="nil"/>
                    <w:tr2bl w:val="nil"/>
                  </w:tcBorders>
                  <w:vAlign w:val="center"/>
                </w:tcPr>
                <w:p w14:paraId="2FC0462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6AA35ED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302B21B0">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0.1</w:t>
                  </w:r>
                </w:p>
              </w:tc>
              <w:tc>
                <w:tcPr>
                  <w:tcW w:w="1196" w:type="pct"/>
                  <w:tcBorders>
                    <w:tl2br w:val="nil"/>
                    <w:tr2bl w:val="nil"/>
                  </w:tcBorders>
                  <w:vAlign w:val="center"/>
                </w:tcPr>
                <w:p w14:paraId="0606E1CD">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color w:val="auto"/>
                      <w:lang w:val="en-US" w:eastAsia="zh-CN"/>
                    </w:rPr>
                  </w:pPr>
                  <w:r>
                    <w:rPr>
                      <w:rFonts w:hint="eastAsia"/>
                      <w:color w:val="auto"/>
                      <w:lang w:val="en-US" w:eastAsia="zh-CN"/>
                    </w:rPr>
                    <w:t>定期更换时由厂家回收</w:t>
                  </w:r>
                </w:p>
              </w:tc>
              <w:tc>
                <w:tcPr>
                  <w:tcW w:w="560" w:type="pct"/>
                  <w:tcBorders>
                    <w:tl2br w:val="nil"/>
                    <w:tr2bl w:val="nil"/>
                  </w:tcBorders>
                  <w:vAlign w:val="center"/>
                </w:tcPr>
                <w:p w14:paraId="67CDC4C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w:t>
                  </w:r>
                </w:p>
              </w:tc>
              <w:tc>
                <w:tcPr>
                  <w:tcW w:w="509" w:type="pct"/>
                  <w:tcBorders>
                    <w:tl2br w:val="nil"/>
                    <w:tr2bl w:val="nil"/>
                  </w:tcBorders>
                  <w:vAlign w:val="center"/>
                </w:tcPr>
                <w:p w14:paraId="2D63694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eastAsia="zh-CN"/>
                    </w:rPr>
                  </w:pPr>
                  <w:r>
                    <w:rPr>
                      <w:rFonts w:hint="eastAsia"/>
                      <w:lang w:val="en-US" w:eastAsia="zh-CN"/>
                    </w:rPr>
                    <w:t>即时</w:t>
                  </w:r>
                </w:p>
              </w:tc>
            </w:tr>
            <w:tr w14:paraId="65B5CC6E">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90" w:hRule="atLeast"/>
                <w:jc w:val="center"/>
              </w:trPr>
              <w:tc>
                <w:tcPr>
                  <w:tcW w:w="293" w:type="pct"/>
                  <w:tcBorders>
                    <w:tl2br w:val="nil"/>
                    <w:tr2bl w:val="nil"/>
                  </w:tcBorders>
                  <w:vAlign w:val="center"/>
                </w:tcPr>
                <w:p w14:paraId="3589FC5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5</w:t>
                  </w:r>
                </w:p>
              </w:tc>
              <w:tc>
                <w:tcPr>
                  <w:tcW w:w="517" w:type="pct"/>
                  <w:tcBorders>
                    <w:tl2br w:val="nil"/>
                    <w:tr2bl w:val="nil"/>
                  </w:tcBorders>
                  <w:vAlign w:val="center"/>
                </w:tcPr>
                <w:p w14:paraId="4B13C96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酸奶、乳制品</w:t>
                  </w:r>
                </w:p>
              </w:tc>
              <w:tc>
                <w:tcPr>
                  <w:tcW w:w="503" w:type="pct"/>
                  <w:tcBorders>
                    <w:tl2br w:val="nil"/>
                    <w:tr2bl w:val="nil"/>
                  </w:tcBorders>
                  <w:vAlign w:val="center"/>
                </w:tcPr>
                <w:p w14:paraId="1FABBAA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lang w:val="en-US" w:eastAsia="zh-CN"/>
                    </w:rPr>
                    <w:t>生牛乳废渣</w:t>
                  </w:r>
                </w:p>
              </w:tc>
              <w:tc>
                <w:tcPr>
                  <w:tcW w:w="415" w:type="pct"/>
                  <w:tcBorders>
                    <w:tl2br w:val="nil"/>
                    <w:tr2bl w:val="nil"/>
                  </w:tcBorders>
                  <w:vAlign w:val="center"/>
                </w:tcPr>
                <w:p w14:paraId="6F4A272C">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一般固废</w:t>
                  </w:r>
                </w:p>
              </w:tc>
              <w:tc>
                <w:tcPr>
                  <w:tcW w:w="501" w:type="pct"/>
                  <w:tcBorders>
                    <w:tl2br w:val="nil"/>
                    <w:tr2bl w:val="nil"/>
                  </w:tcBorders>
                  <w:vAlign w:val="center"/>
                </w:tcPr>
                <w:p w14:paraId="7AFDBFC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固态</w:t>
                  </w:r>
                </w:p>
              </w:tc>
              <w:tc>
                <w:tcPr>
                  <w:tcW w:w="501" w:type="pct"/>
                  <w:tcBorders>
                    <w:tl2br w:val="nil"/>
                    <w:tr2bl w:val="nil"/>
                  </w:tcBorders>
                  <w:vAlign w:val="center"/>
                </w:tcPr>
                <w:p w14:paraId="764B960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30</w:t>
                  </w:r>
                </w:p>
              </w:tc>
              <w:tc>
                <w:tcPr>
                  <w:tcW w:w="1196" w:type="pct"/>
                  <w:tcBorders>
                    <w:tl2br w:val="nil"/>
                    <w:tr2bl w:val="nil"/>
                  </w:tcBorders>
                  <w:vAlign w:val="center"/>
                </w:tcPr>
                <w:p w14:paraId="7428398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color w:val="auto"/>
                    </w:rPr>
                  </w:pPr>
                  <w:r>
                    <w:rPr>
                      <w:rFonts w:hint="eastAsia"/>
                      <w:color w:val="auto"/>
                      <w:lang w:val="en-US" w:eastAsia="zh-CN"/>
                    </w:rPr>
                    <w:t>收集后</w:t>
                  </w:r>
                  <w:r>
                    <w:rPr>
                      <w:rFonts w:hint="eastAsia"/>
                      <w:color w:val="auto"/>
                      <w:lang w:eastAsia="zh-CN"/>
                    </w:rPr>
                    <w:t>定期外售至</w:t>
                  </w:r>
                  <w:r>
                    <w:rPr>
                      <w:rFonts w:hint="eastAsia"/>
                      <w:color w:val="auto"/>
                      <w:lang w:val="en-US" w:eastAsia="zh-CN"/>
                    </w:rPr>
                    <w:t>肥料厂制造肥料</w:t>
                  </w:r>
                </w:p>
              </w:tc>
              <w:tc>
                <w:tcPr>
                  <w:tcW w:w="560" w:type="pct"/>
                  <w:tcBorders>
                    <w:tl2br w:val="nil"/>
                    <w:tr2bl w:val="nil"/>
                  </w:tcBorders>
                  <w:vAlign w:val="center"/>
                </w:tcPr>
                <w:p w14:paraId="169C985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w:t>
                  </w:r>
                </w:p>
              </w:tc>
              <w:tc>
                <w:tcPr>
                  <w:tcW w:w="509" w:type="pct"/>
                  <w:tcBorders>
                    <w:tl2br w:val="nil"/>
                    <w:tr2bl w:val="nil"/>
                  </w:tcBorders>
                  <w:vAlign w:val="center"/>
                </w:tcPr>
                <w:p w14:paraId="52BE45B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1日</w:t>
                  </w:r>
                </w:p>
              </w:tc>
            </w:tr>
            <w:tr w14:paraId="05E2E775">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vAlign w:val="center"/>
                </w:tcPr>
                <w:p w14:paraId="5C296F0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6</w:t>
                  </w:r>
                </w:p>
              </w:tc>
              <w:tc>
                <w:tcPr>
                  <w:tcW w:w="517" w:type="pct"/>
                  <w:tcBorders>
                    <w:tl2br w:val="nil"/>
                    <w:tr2bl w:val="nil"/>
                  </w:tcBorders>
                  <w:vAlign w:val="center"/>
                </w:tcPr>
                <w:p w14:paraId="285B59F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软化水</w:t>
                  </w:r>
                  <w:r>
                    <w:rPr>
                      <w:rFonts w:hint="eastAsia"/>
                      <w:lang w:val="en-US" w:eastAsia="zh-CN"/>
                    </w:rPr>
                    <w:t>制备</w:t>
                  </w:r>
                  <w:r>
                    <w:t>系统</w:t>
                  </w:r>
                </w:p>
              </w:tc>
              <w:tc>
                <w:tcPr>
                  <w:tcW w:w="503" w:type="pct"/>
                  <w:tcBorders>
                    <w:tl2br w:val="nil"/>
                    <w:tr2bl w:val="nil"/>
                  </w:tcBorders>
                  <w:vAlign w:val="center"/>
                </w:tcPr>
                <w:p w14:paraId="60558A1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t>废离子交换树脂</w:t>
                  </w:r>
                </w:p>
              </w:tc>
              <w:tc>
                <w:tcPr>
                  <w:tcW w:w="415" w:type="pct"/>
                  <w:tcBorders>
                    <w:tl2br w:val="nil"/>
                    <w:tr2bl w:val="nil"/>
                  </w:tcBorders>
                  <w:shd w:val="clear" w:color="auto" w:fill="auto"/>
                  <w:vAlign w:val="center"/>
                </w:tcPr>
                <w:p w14:paraId="6FA8C73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一般固废</w:t>
                  </w:r>
                </w:p>
              </w:tc>
              <w:tc>
                <w:tcPr>
                  <w:tcW w:w="501" w:type="pct"/>
                  <w:tcBorders>
                    <w:tl2br w:val="nil"/>
                    <w:tr2bl w:val="nil"/>
                  </w:tcBorders>
                  <w:shd w:val="clear" w:color="auto" w:fill="auto"/>
                  <w:vAlign w:val="center"/>
                </w:tcPr>
                <w:p w14:paraId="02315DB9">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固态</w:t>
                  </w:r>
                </w:p>
              </w:tc>
              <w:tc>
                <w:tcPr>
                  <w:tcW w:w="501" w:type="pct"/>
                  <w:tcBorders>
                    <w:tl2br w:val="nil"/>
                    <w:tr2bl w:val="nil"/>
                  </w:tcBorders>
                  <w:shd w:val="clear" w:color="auto" w:fill="auto"/>
                  <w:vAlign w:val="center"/>
                </w:tcPr>
                <w:p w14:paraId="2A1B9BC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t>0.05</w:t>
                  </w:r>
                </w:p>
              </w:tc>
              <w:tc>
                <w:tcPr>
                  <w:tcW w:w="1196" w:type="pct"/>
                  <w:tcBorders>
                    <w:tl2br w:val="nil"/>
                    <w:tr2bl w:val="nil"/>
                  </w:tcBorders>
                  <w:vAlign w:val="center"/>
                </w:tcPr>
                <w:p w14:paraId="74F2289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t>由厂家更换时回收处理</w:t>
                  </w:r>
                </w:p>
              </w:tc>
              <w:tc>
                <w:tcPr>
                  <w:tcW w:w="560" w:type="pct"/>
                  <w:tcBorders>
                    <w:tl2br w:val="nil"/>
                    <w:tr2bl w:val="nil"/>
                  </w:tcBorders>
                  <w:vAlign w:val="center"/>
                </w:tcPr>
                <w:p w14:paraId="17397BB3">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w:t>
                  </w:r>
                </w:p>
              </w:tc>
              <w:tc>
                <w:tcPr>
                  <w:tcW w:w="509" w:type="pct"/>
                  <w:tcBorders>
                    <w:tl2br w:val="nil"/>
                    <w:tr2bl w:val="nil"/>
                  </w:tcBorders>
                  <w:vAlign w:val="center"/>
                </w:tcPr>
                <w:p w14:paraId="72E6403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即时</w:t>
                  </w:r>
                </w:p>
              </w:tc>
            </w:tr>
            <w:tr w14:paraId="35715FD7">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vAlign w:val="center"/>
                </w:tcPr>
                <w:p w14:paraId="78E69BB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lang w:val="en-US" w:eastAsia="zh-CN"/>
                    </w:rPr>
                    <w:t>7</w:t>
                  </w:r>
                </w:p>
              </w:tc>
              <w:tc>
                <w:tcPr>
                  <w:tcW w:w="517" w:type="pct"/>
                  <w:vMerge w:val="restart"/>
                  <w:tcBorders>
                    <w:tl2br w:val="nil"/>
                    <w:tr2bl w:val="nil"/>
                  </w:tcBorders>
                  <w:vAlign w:val="center"/>
                </w:tcPr>
                <w:p w14:paraId="4915B22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配套污水处理站</w:t>
                  </w:r>
                </w:p>
              </w:tc>
              <w:tc>
                <w:tcPr>
                  <w:tcW w:w="503" w:type="pct"/>
                  <w:tcBorders>
                    <w:tl2br w:val="nil"/>
                    <w:tr2bl w:val="nil"/>
                  </w:tcBorders>
                  <w:shd w:val="clear" w:color="auto" w:fill="auto"/>
                  <w:vAlign w:val="center"/>
                </w:tcPr>
                <w:p w14:paraId="065CEA5D">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污泥</w:t>
                  </w:r>
                </w:p>
              </w:tc>
              <w:tc>
                <w:tcPr>
                  <w:tcW w:w="415" w:type="pct"/>
                  <w:tcBorders>
                    <w:tl2br w:val="nil"/>
                    <w:tr2bl w:val="nil"/>
                  </w:tcBorders>
                  <w:shd w:val="clear" w:color="auto" w:fill="auto"/>
                  <w:vAlign w:val="center"/>
                </w:tcPr>
                <w:p w14:paraId="0C1C63A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一般固废</w:t>
                  </w:r>
                </w:p>
              </w:tc>
              <w:tc>
                <w:tcPr>
                  <w:tcW w:w="501" w:type="pct"/>
                  <w:tcBorders>
                    <w:tl2br w:val="nil"/>
                    <w:tr2bl w:val="nil"/>
                  </w:tcBorders>
                  <w:shd w:val="clear" w:color="auto" w:fill="auto"/>
                  <w:vAlign w:val="center"/>
                </w:tcPr>
                <w:p w14:paraId="67517A16">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半固态</w:t>
                  </w:r>
                </w:p>
              </w:tc>
              <w:tc>
                <w:tcPr>
                  <w:tcW w:w="501" w:type="pct"/>
                  <w:tcBorders>
                    <w:tl2br w:val="nil"/>
                    <w:tr2bl w:val="nil"/>
                  </w:tcBorders>
                  <w:shd w:val="clear" w:color="auto" w:fill="auto"/>
                  <w:vAlign w:val="center"/>
                </w:tcPr>
                <w:p w14:paraId="6C3810E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1.35</w:t>
                  </w:r>
                </w:p>
              </w:tc>
              <w:tc>
                <w:tcPr>
                  <w:tcW w:w="1196" w:type="pct"/>
                  <w:tcBorders>
                    <w:tl2br w:val="nil"/>
                    <w:tr2bl w:val="nil"/>
                  </w:tcBorders>
                  <w:shd w:val="clear" w:color="auto" w:fill="auto"/>
                  <w:vAlign w:val="center"/>
                </w:tcPr>
                <w:p w14:paraId="5D85A64F">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rPr>
                      <w:rFonts w:hint="eastAsia"/>
                      <w:lang w:val="en-US" w:eastAsia="zh-CN"/>
                    </w:rPr>
                    <w:t>脱水处理后</w:t>
                  </w:r>
                  <w:r>
                    <w:t>拉运至生活垃圾填埋场填埋处理</w:t>
                  </w:r>
                </w:p>
              </w:tc>
              <w:tc>
                <w:tcPr>
                  <w:tcW w:w="560" w:type="pct"/>
                  <w:tcBorders>
                    <w:tl2br w:val="nil"/>
                    <w:tr2bl w:val="nil"/>
                  </w:tcBorders>
                  <w:shd w:val="clear" w:color="auto" w:fill="auto"/>
                  <w:vAlign w:val="center"/>
                </w:tcPr>
                <w:p w14:paraId="3D4DBB47">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w:t>
                  </w:r>
                </w:p>
              </w:tc>
              <w:tc>
                <w:tcPr>
                  <w:tcW w:w="509" w:type="pct"/>
                  <w:tcBorders>
                    <w:tl2br w:val="nil"/>
                    <w:tr2bl w:val="nil"/>
                  </w:tcBorders>
                  <w:shd w:val="clear" w:color="auto" w:fill="auto"/>
                  <w:vAlign w:val="center"/>
                </w:tcPr>
                <w:p w14:paraId="07DB514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lang w:val="en-US" w:eastAsia="zh-CN"/>
                    </w:rPr>
                  </w:pPr>
                  <w:r>
                    <w:t>1周</w:t>
                  </w:r>
                </w:p>
              </w:tc>
            </w:tr>
            <w:tr w14:paraId="4202BE5E">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68" w:hRule="atLeast"/>
                <w:jc w:val="center"/>
              </w:trPr>
              <w:tc>
                <w:tcPr>
                  <w:tcW w:w="293" w:type="pct"/>
                  <w:tcBorders>
                    <w:tl2br w:val="nil"/>
                    <w:tr2bl w:val="nil"/>
                  </w:tcBorders>
                  <w:vAlign w:val="center"/>
                </w:tcPr>
                <w:p w14:paraId="711FB14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8</w:t>
                  </w:r>
                </w:p>
              </w:tc>
              <w:tc>
                <w:tcPr>
                  <w:tcW w:w="517" w:type="pct"/>
                  <w:vMerge w:val="continue"/>
                  <w:tcBorders>
                    <w:tl2br w:val="nil"/>
                    <w:tr2bl w:val="nil"/>
                  </w:tcBorders>
                  <w:vAlign w:val="center"/>
                </w:tcPr>
                <w:p w14:paraId="7D06DAE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p>
              </w:tc>
              <w:tc>
                <w:tcPr>
                  <w:tcW w:w="503" w:type="pct"/>
                  <w:tcBorders>
                    <w:tl2br w:val="nil"/>
                    <w:tr2bl w:val="nil"/>
                  </w:tcBorders>
                  <w:shd w:val="clear" w:color="auto" w:fill="auto"/>
                  <w:vAlign w:val="center"/>
                </w:tcPr>
                <w:p w14:paraId="47C7B7C4">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pPr>
                  <w:r>
                    <w:rPr>
                      <w:rFonts w:hint="eastAsia"/>
                      <w:lang w:val="en-US" w:eastAsia="zh-CN"/>
                    </w:rPr>
                    <w:t>废活性炭</w:t>
                  </w:r>
                </w:p>
              </w:tc>
              <w:tc>
                <w:tcPr>
                  <w:tcW w:w="415" w:type="pct"/>
                  <w:tcBorders>
                    <w:tl2br w:val="nil"/>
                    <w:tr2bl w:val="nil"/>
                  </w:tcBorders>
                  <w:shd w:val="clear" w:color="auto" w:fill="auto"/>
                  <w:vAlign w:val="center"/>
                </w:tcPr>
                <w:p w14:paraId="1692DB7A">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危险废物</w:t>
                  </w:r>
                </w:p>
              </w:tc>
              <w:tc>
                <w:tcPr>
                  <w:tcW w:w="501" w:type="pct"/>
                  <w:tcBorders>
                    <w:tl2br w:val="nil"/>
                    <w:tr2bl w:val="nil"/>
                  </w:tcBorders>
                  <w:shd w:val="clear" w:color="auto" w:fill="auto"/>
                  <w:vAlign w:val="center"/>
                </w:tcPr>
                <w:p w14:paraId="08616B3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ascii="Times New Roman" w:hAnsi="Times New Roman" w:eastAsia="宋体" w:cs="Times New Roman"/>
                      <w:kern w:val="2"/>
                      <w:sz w:val="21"/>
                      <w:szCs w:val="24"/>
                      <w:lang w:val="en-US" w:eastAsia="zh-CN" w:bidi="ar-SA"/>
                    </w:rPr>
                  </w:pPr>
                  <w:r>
                    <w:t>固态</w:t>
                  </w:r>
                </w:p>
              </w:tc>
              <w:tc>
                <w:tcPr>
                  <w:tcW w:w="501" w:type="pct"/>
                  <w:tcBorders>
                    <w:tl2br w:val="nil"/>
                    <w:tr2bl w:val="nil"/>
                  </w:tcBorders>
                  <w:shd w:val="clear" w:color="auto" w:fill="auto"/>
                  <w:vAlign w:val="center"/>
                </w:tcPr>
                <w:p w14:paraId="38282141">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lang w:val="en-US" w:eastAsia="zh-CN"/>
                    </w:rPr>
                  </w:pPr>
                  <w:r>
                    <w:rPr>
                      <w:rFonts w:hint="eastAsia"/>
                      <w:lang w:val="en-US" w:eastAsia="zh-CN"/>
                    </w:rPr>
                    <w:t>0.2</w:t>
                  </w:r>
                </w:p>
              </w:tc>
              <w:tc>
                <w:tcPr>
                  <w:tcW w:w="1196" w:type="pct"/>
                  <w:tcBorders>
                    <w:tl2br w:val="nil"/>
                    <w:tr2bl w:val="nil"/>
                  </w:tcBorders>
                  <w:shd w:val="clear" w:color="auto" w:fill="auto"/>
                  <w:vAlign w:val="center"/>
                </w:tcPr>
                <w:p w14:paraId="7BAB5198">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lang w:val="en-US" w:eastAsia="zh-CN"/>
                    </w:rPr>
                  </w:pPr>
                  <w:r>
                    <w:rPr>
                      <w:rFonts w:hint="eastAsia"/>
                      <w:color w:val="auto"/>
                      <w:lang w:val="en-US" w:eastAsia="zh-CN"/>
                    </w:rPr>
                    <w:t>收集后暂存于危废贮存间定期交由有危废处置资质的单位处置</w:t>
                  </w:r>
                </w:p>
              </w:tc>
              <w:tc>
                <w:tcPr>
                  <w:tcW w:w="560" w:type="pct"/>
                  <w:tcBorders>
                    <w:tl2br w:val="nil"/>
                    <w:tr2bl w:val="nil"/>
                  </w:tcBorders>
                  <w:shd w:val="clear" w:color="auto" w:fill="auto"/>
                  <w:vAlign w:val="center"/>
                </w:tcPr>
                <w:p w14:paraId="25219102">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eastAsia="宋体"/>
                      <w:lang w:val="en-US" w:eastAsia="zh-CN"/>
                    </w:rPr>
                  </w:pPr>
                  <w:r>
                    <w:rPr>
                      <w:rFonts w:hint="eastAsia"/>
                      <w:lang w:val="en-US" w:eastAsia="zh-CN"/>
                    </w:rPr>
                    <w:t>/</w:t>
                  </w:r>
                </w:p>
              </w:tc>
              <w:tc>
                <w:tcPr>
                  <w:tcW w:w="509" w:type="pct"/>
                  <w:tcBorders>
                    <w:tl2br w:val="nil"/>
                    <w:tr2bl w:val="nil"/>
                  </w:tcBorders>
                  <w:shd w:val="clear" w:color="auto" w:fill="auto"/>
                  <w:vAlign w:val="center"/>
                </w:tcPr>
                <w:p w14:paraId="6409F7BE">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default" w:eastAsia="宋体"/>
                      <w:lang w:val="en-US" w:eastAsia="zh-CN"/>
                    </w:rPr>
                  </w:pPr>
                  <w:r>
                    <w:rPr>
                      <w:rFonts w:hint="eastAsia"/>
                      <w:lang w:val="en-US" w:eastAsia="zh-CN"/>
                    </w:rPr>
                    <w:t>一年更换一次</w:t>
                  </w:r>
                </w:p>
              </w:tc>
            </w:tr>
          </w:tbl>
          <w:p w14:paraId="2777DB49">
            <w:pPr>
              <w:pStyle w:val="91"/>
              <w:keepNext w:val="0"/>
              <w:keepLines w:val="0"/>
              <w:pageBreakBefore w:val="0"/>
              <w:widowControl w:val="0"/>
              <w:kinsoku/>
              <w:wordWrap/>
              <w:overflowPunct/>
              <w:topLinePunct w:val="0"/>
              <w:autoSpaceDE/>
              <w:autoSpaceDN/>
              <w:bidi w:val="0"/>
              <w:adjustRightInd w:val="0"/>
              <w:snapToGrid w:val="0"/>
              <w:spacing w:before="313" w:beforeLines="100" w:line="240" w:lineRule="auto"/>
              <w:textAlignment w:val="auto"/>
              <w:rPr>
                <w:b/>
                <w:bCs w:val="0"/>
                <w:color w:val="auto"/>
              </w:rPr>
            </w:pPr>
            <w:r>
              <w:rPr>
                <w:b/>
                <w:bCs w:val="0"/>
                <w:color w:val="auto"/>
              </w:rPr>
              <w:t>表4-1</w:t>
            </w:r>
            <w:r>
              <w:rPr>
                <w:rFonts w:hint="eastAsia"/>
                <w:b/>
                <w:bCs w:val="0"/>
                <w:color w:val="auto"/>
                <w:lang w:val="en-US" w:eastAsia="zh-CN"/>
              </w:rPr>
              <w:t>5</w:t>
            </w:r>
            <w:r>
              <w:rPr>
                <w:b/>
                <w:bCs w:val="0"/>
                <w:color w:val="auto"/>
              </w:rPr>
              <w:t>项目固废代码表</w:t>
            </w:r>
          </w:p>
          <w:tbl>
            <w:tblPr>
              <w:tblStyle w:val="30"/>
              <w:tblW w:w="4998"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932"/>
              <w:gridCol w:w="1124"/>
              <w:gridCol w:w="2174"/>
              <w:gridCol w:w="2401"/>
            </w:tblGrid>
            <w:tr w14:paraId="7FC3C94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4" w:type="pct"/>
                  <w:tcBorders>
                    <w:tl2br w:val="nil"/>
                    <w:tr2bl w:val="nil"/>
                  </w:tcBorders>
                  <w:vAlign w:val="center"/>
                </w:tcPr>
                <w:p w14:paraId="07228D4D">
                  <w:pPr>
                    <w:adjustRightInd w:val="0"/>
                    <w:snapToGrid w:val="0"/>
                    <w:jc w:val="center"/>
                    <w:rPr>
                      <w:b w:val="0"/>
                      <w:bCs w:val="0"/>
                      <w:color w:val="auto"/>
                      <w:kern w:val="0"/>
                      <w:szCs w:val="21"/>
                      <w:lang w:bidi="ar"/>
                    </w:rPr>
                  </w:pPr>
                  <w:r>
                    <w:rPr>
                      <w:b w:val="0"/>
                      <w:bCs w:val="0"/>
                      <w:color w:val="auto"/>
                      <w:kern w:val="0"/>
                      <w:szCs w:val="21"/>
                      <w:lang w:bidi="ar"/>
                    </w:rPr>
                    <w:t>序号</w:t>
                  </w:r>
                </w:p>
              </w:tc>
              <w:tc>
                <w:tcPr>
                  <w:tcW w:w="1150" w:type="pct"/>
                  <w:tcBorders>
                    <w:tl2br w:val="nil"/>
                    <w:tr2bl w:val="nil"/>
                  </w:tcBorders>
                  <w:vAlign w:val="center"/>
                </w:tcPr>
                <w:p w14:paraId="604CAA04">
                  <w:pPr>
                    <w:adjustRightInd w:val="0"/>
                    <w:snapToGrid w:val="0"/>
                    <w:jc w:val="center"/>
                    <w:rPr>
                      <w:b w:val="0"/>
                      <w:bCs w:val="0"/>
                      <w:color w:val="auto"/>
                      <w:kern w:val="0"/>
                      <w:szCs w:val="21"/>
                      <w:lang w:bidi="ar"/>
                    </w:rPr>
                  </w:pPr>
                  <w:r>
                    <w:rPr>
                      <w:b w:val="0"/>
                      <w:bCs w:val="0"/>
                      <w:color w:val="auto"/>
                      <w:kern w:val="0"/>
                      <w:szCs w:val="21"/>
                      <w:lang w:bidi="ar"/>
                    </w:rPr>
                    <w:t>污染物名称</w:t>
                  </w:r>
                </w:p>
              </w:tc>
              <w:tc>
                <w:tcPr>
                  <w:tcW w:w="669" w:type="pct"/>
                  <w:tcBorders>
                    <w:tl2br w:val="nil"/>
                    <w:tr2bl w:val="nil"/>
                  </w:tcBorders>
                  <w:vAlign w:val="center"/>
                </w:tcPr>
                <w:p w14:paraId="2C86B71A">
                  <w:pPr>
                    <w:adjustRightInd w:val="0"/>
                    <w:snapToGrid w:val="0"/>
                    <w:jc w:val="center"/>
                    <w:rPr>
                      <w:b w:val="0"/>
                      <w:bCs w:val="0"/>
                      <w:color w:val="auto"/>
                      <w:kern w:val="0"/>
                      <w:szCs w:val="21"/>
                      <w:lang w:bidi="ar"/>
                    </w:rPr>
                  </w:pPr>
                  <w:r>
                    <w:rPr>
                      <w:b w:val="0"/>
                      <w:bCs w:val="0"/>
                      <w:color w:val="auto"/>
                      <w:kern w:val="0"/>
                      <w:szCs w:val="21"/>
                      <w:lang w:bidi="ar"/>
                    </w:rPr>
                    <w:t>属性</w:t>
                  </w:r>
                </w:p>
              </w:tc>
              <w:tc>
                <w:tcPr>
                  <w:tcW w:w="1295" w:type="pct"/>
                  <w:tcBorders>
                    <w:tl2br w:val="nil"/>
                    <w:tr2bl w:val="nil"/>
                  </w:tcBorders>
                  <w:vAlign w:val="center"/>
                </w:tcPr>
                <w:p w14:paraId="611DD3B1">
                  <w:pPr>
                    <w:adjustRightInd w:val="0"/>
                    <w:snapToGrid w:val="0"/>
                    <w:jc w:val="center"/>
                    <w:rPr>
                      <w:b w:val="0"/>
                      <w:bCs w:val="0"/>
                      <w:color w:val="auto"/>
                      <w:kern w:val="0"/>
                      <w:szCs w:val="21"/>
                      <w:lang w:bidi="ar"/>
                    </w:rPr>
                  </w:pPr>
                  <w:r>
                    <w:rPr>
                      <w:b w:val="0"/>
                      <w:bCs w:val="0"/>
                      <w:color w:val="auto"/>
                      <w:kern w:val="0"/>
                      <w:szCs w:val="21"/>
                      <w:lang w:bidi="ar"/>
                    </w:rPr>
                    <w:t>代码</w:t>
                  </w:r>
                </w:p>
              </w:tc>
              <w:tc>
                <w:tcPr>
                  <w:tcW w:w="1430" w:type="pct"/>
                  <w:tcBorders>
                    <w:tl2br w:val="nil"/>
                    <w:tr2bl w:val="nil"/>
                  </w:tcBorders>
                  <w:vAlign w:val="center"/>
                </w:tcPr>
                <w:p w14:paraId="4F11FA04">
                  <w:pPr>
                    <w:adjustRightInd w:val="0"/>
                    <w:snapToGrid w:val="0"/>
                    <w:jc w:val="center"/>
                    <w:rPr>
                      <w:b w:val="0"/>
                      <w:bCs w:val="0"/>
                      <w:color w:val="auto"/>
                      <w:kern w:val="0"/>
                      <w:szCs w:val="21"/>
                      <w:lang w:bidi="ar"/>
                    </w:rPr>
                  </w:pPr>
                  <w:r>
                    <w:rPr>
                      <w:b w:val="0"/>
                      <w:bCs w:val="0"/>
                      <w:color w:val="auto"/>
                      <w:kern w:val="0"/>
                      <w:szCs w:val="21"/>
                      <w:lang w:bidi="ar"/>
                    </w:rPr>
                    <w:t>最终去向</w:t>
                  </w:r>
                </w:p>
              </w:tc>
            </w:tr>
            <w:tr w14:paraId="25CD5E4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54" w:type="pct"/>
                  <w:tcBorders>
                    <w:tl2br w:val="nil"/>
                    <w:tr2bl w:val="nil"/>
                  </w:tcBorders>
                  <w:shd w:val="clear" w:color="auto" w:fill="auto"/>
                  <w:vAlign w:val="center"/>
                </w:tcPr>
                <w:p w14:paraId="7E649E8B">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1</w:t>
                  </w:r>
                </w:p>
              </w:tc>
              <w:tc>
                <w:tcPr>
                  <w:tcW w:w="1150" w:type="pct"/>
                  <w:tcBorders>
                    <w:tl2br w:val="nil"/>
                    <w:tr2bl w:val="nil"/>
                  </w:tcBorders>
                  <w:shd w:val="clear" w:color="auto" w:fill="auto"/>
                  <w:vAlign w:val="center"/>
                </w:tcPr>
                <w:p w14:paraId="25D70CB6">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b w:val="0"/>
                      <w:bCs w:val="0"/>
                      <w:color w:val="auto"/>
                    </w:rPr>
                    <w:t>生活垃圾</w:t>
                  </w:r>
                </w:p>
              </w:tc>
              <w:tc>
                <w:tcPr>
                  <w:tcW w:w="669" w:type="pct"/>
                  <w:tcBorders>
                    <w:tl2br w:val="nil"/>
                    <w:tr2bl w:val="nil"/>
                  </w:tcBorders>
                  <w:shd w:val="clear" w:color="auto" w:fill="auto"/>
                  <w:vAlign w:val="center"/>
                </w:tcPr>
                <w:p w14:paraId="1225B99F">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3A7BB0F4">
                  <w:pPr>
                    <w:adjustRightInd w:val="0"/>
                    <w:snapToGrid w:val="0"/>
                    <w:jc w:val="center"/>
                    <w:rPr>
                      <w:rFonts w:hint="default"/>
                      <w:b w:val="0"/>
                      <w:bCs w:val="0"/>
                      <w:color w:val="auto"/>
                      <w:kern w:val="0"/>
                      <w:szCs w:val="21"/>
                      <w:lang w:val="en-US"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79E73768">
                  <w:pPr>
                    <w:adjustRightInd w:val="0"/>
                    <w:snapToGrid w:val="0"/>
                    <w:jc w:val="center"/>
                    <w:rPr>
                      <w:b w:val="0"/>
                      <w:bCs w:val="0"/>
                      <w:color w:val="auto"/>
                      <w:kern w:val="0"/>
                      <w:szCs w:val="21"/>
                      <w:lang w:bidi="ar"/>
                    </w:rPr>
                  </w:pPr>
                  <w:r>
                    <w:t>委托环卫部门清运</w:t>
                  </w:r>
                </w:p>
              </w:tc>
            </w:tr>
            <w:tr w14:paraId="0C840BA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28FF6112">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2</w:t>
                  </w:r>
                </w:p>
              </w:tc>
              <w:tc>
                <w:tcPr>
                  <w:tcW w:w="1150" w:type="pct"/>
                  <w:tcBorders>
                    <w:tl2br w:val="nil"/>
                    <w:tr2bl w:val="nil"/>
                  </w:tcBorders>
                  <w:shd w:val="clear" w:color="auto" w:fill="auto"/>
                  <w:vAlign w:val="center"/>
                </w:tcPr>
                <w:p w14:paraId="2B1692B3">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1"/>
                    </w:rPr>
                    <w:t>不合格产品、过期产品</w:t>
                  </w:r>
                </w:p>
              </w:tc>
              <w:tc>
                <w:tcPr>
                  <w:tcW w:w="669" w:type="pct"/>
                  <w:tcBorders>
                    <w:tl2br w:val="nil"/>
                    <w:tr2bl w:val="nil"/>
                  </w:tcBorders>
                  <w:shd w:val="clear" w:color="auto" w:fill="auto"/>
                  <w:vAlign w:val="center"/>
                </w:tcPr>
                <w:p w14:paraId="2E95F40B">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53182298">
                  <w:pPr>
                    <w:adjustRightInd w:val="0"/>
                    <w:snapToGrid w:val="0"/>
                    <w:jc w:val="center"/>
                    <w:rPr>
                      <w:b w:val="0"/>
                      <w:bCs w:val="0"/>
                      <w:color w:val="auto"/>
                      <w:kern w:val="0"/>
                      <w:szCs w:val="21"/>
                      <w:lang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09C14D38">
                  <w:pPr>
                    <w:adjustRightInd w:val="0"/>
                    <w:snapToGrid w:val="0"/>
                    <w:jc w:val="center"/>
                    <w:rPr>
                      <w:rFonts w:hint="default"/>
                      <w:b w:val="0"/>
                      <w:bCs w:val="0"/>
                      <w:color w:val="auto"/>
                      <w:kern w:val="0"/>
                      <w:szCs w:val="21"/>
                      <w:lang w:val="en-US" w:bidi="ar"/>
                    </w:rPr>
                  </w:pPr>
                  <w:r>
                    <w:rPr>
                      <w:rFonts w:hint="eastAsia"/>
                      <w:lang w:val="en-US" w:eastAsia="zh-CN"/>
                    </w:rPr>
                    <w:t>收集后</w:t>
                  </w:r>
                  <w:r>
                    <w:rPr>
                      <w:rFonts w:hint="eastAsia"/>
                      <w:lang w:eastAsia="zh-CN"/>
                    </w:rPr>
                    <w:t>定期外售至</w:t>
                  </w:r>
                  <w:r>
                    <w:rPr>
                      <w:rFonts w:hint="eastAsia"/>
                      <w:lang w:val="en-US" w:eastAsia="zh-CN"/>
                    </w:rPr>
                    <w:t>新疆根力多生物科技有限公司制作肥料</w:t>
                  </w:r>
                </w:p>
              </w:tc>
            </w:tr>
            <w:tr w14:paraId="139E2C9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28874526">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3</w:t>
                  </w:r>
                </w:p>
              </w:tc>
              <w:tc>
                <w:tcPr>
                  <w:tcW w:w="1150" w:type="pct"/>
                  <w:tcBorders>
                    <w:tl2br w:val="nil"/>
                    <w:tr2bl w:val="nil"/>
                  </w:tcBorders>
                  <w:shd w:val="clear" w:color="auto" w:fill="auto"/>
                  <w:vAlign w:val="center"/>
                </w:tcPr>
                <w:p w14:paraId="1B58EC23">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lang w:val="en-US" w:eastAsia="zh-CN"/>
                    </w:rPr>
                    <w:t>废包装材料</w:t>
                  </w:r>
                </w:p>
              </w:tc>
              <w:tc>
                <w:tcPr>
                  <w:tcW w:w="669" w:type="pct"/>
                  <w:tcBorders>
                    <w:tl2br w:val="nil"/>
                    <w:tr2bl w:val="nil"/>
                  </w:tcBorders>
                  <w:shd w:val="clear" w:color="auto" w:fill="auto"/>
                  <w:vAlign w:val="center"/>
                </w:tcPr>
                <w:p w14:paraId="73F9AA20">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4A3FCA23">
                  <w:pPr>
                    <w:adjustRightInd w:val="0"/>
                    <w:snapToGrid w:val="0"/>
                    <w:jc w:val="center"/>
                    <w:rPr>
                      <w:b w:val="0"/>
                      <w:bCs w:val="0"/>
                      <w:color w:val="auto"/>
                      <w:kern w:val="0"/>
                      <w:szCs w:val="21"/>
                      <w:lang w:bidi="ar"/>
                    </w:rPr>
                  </w:pPr>
                  <w:r>
                    <w:rPr>
                      <w:rFonts w:hint="eastAsia"/>
                      <w:color w:val="000000"/>
                      <w:szCs w:val="21"/>
                      <w:lang w:val="en-US" w:eastAsia="zh-CN"/>
                    </w:rPr>
                    <w:t>SW17  900-003-S17</w:t>
                  </w:r>
                </w:p>
              </w:tc>
              <w:tc>
                <w:tcPr>
                  <w:tcW w:w="1430" w:type="pct"/>
                  <w:tcBorders>
                    <w:tl2br w:val="nil"/>
                    <w:tr2bl w:val="nil"/>
                  </w:tcBorders>
                  <w:vAlign w:val="center"/>
                </w:tcPr>
                <w:p w14:paraId="4BC7735B">
                  <w:pPr>
                    <w:adjustRightInd w:val="0"/>
                    <w:snapToGrid w:val="0"/>
                    <w:jc w:val="center"/>
                    <w:rPr>
                      <w:b w:val="0"/>
                      <w:bCs w:val="0"/>
                      <w:color w:val="auto"/>
                      <w:kern w:val="0"/>
                      <w:szCs w:val="21"/>
                      <w:lang w:bidi="ar"/>
                    </w:rPr>
                  </w:pPr>
                  <w:r>
                    <w:rPr>
                      <w:rFonts w:hint="eastAsia"/>
                      <w:lang w:val="en-US" w:eastAsia="zh-CN"/>
                    </w:rPr>
                    <w:t>收集后外售废废品收购站综合利用</w:t>
                  </w:r>
                </w:p>
              </w:tc>
            </w:tr>
            <w:tr w14:paraId="772DE7F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02B5607B">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4</w:t>
                  </w:r>
                </w:p>
              </w:tc>
              <w:tc>
                <w:tcPr>
                  <w:tcW w:w="1150" w:type="pct"/>
                  <w:tcBorders>
                    <w:tl2br w:val="nil"/>
                    <w:tr2bl w:val="nil"/>
                  </w:tcBorders>
                  <w:shd w:val="clear" w:color="auto" w:fill="auto"/>
                  <w:vAlign w:val="center"/>
                </w:tcPr>
                <w:p w14:paraId="1BC0EE91">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rPr>
                    <w:t>隔油池油污</w:t>
                  </w:r>
                </w:p>
              </w:tc>
              <w:tc>
                <w:tcPr>
                  <w:tcW w:w="669" w:type="pct"/>
                  <w:tcBorders>
                    <w:tl2br w:val="nil"/>
                    <w:tr2bl w:val="nil"/>
                  </w:tcBorders>
                  <w:shd w:val="clear" w:color="auto" w:fill="auto"/>
                  <w:vAlign w:val="center"/>
                </w:tcPr>
                <w:p w14:paraId="636EE2AF">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234AF9D0">
                  <w:pPr>
                    <w:adjustRightInd w:val="0"/>
                    <w:snapToGrid w:val="0"/>
                    <w:jc w:val="center"/>
                    <w:rPr>
                      <w:b w:val="0"/>
                      <w:bCs w:val="0"/>
                      <w:color w:val="auto"/>
                      <w:kern w:val="0"/>
                      <w:szCs w:val="21"/>
                      <w:lang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50B00DFB">
                  <w:pPr>
                    <w:adjustRightInd w:val="0"/>
                    <w:snapToGrid w:val="0"/>
                    <w:jc w:val="center"/>
                    <w:rPr>
                      <w:b w:val="0"/>
                      <w:bCs w:val="0"/>
                      <w:color w:val="auto"/>
                      <w:kern w:val="0"/>
                      <w:szCs w:val="21"/>
                      <w:lang w:bidi="ar"/>
                    </w:rPr>
                  </w:pPr>
                  <w:r>
                    <w:rPr>
                      <w:rFonts w:hint="eastAsia"/>
                      <w:lang w:val="en-US" w:eastAsia="zh-CN"/>
                    </w:rPr>
                    <w:t>收集后</w:t>
                  </w:r>
                  <w:r>
                    <w:rPr>
                      <w:rFonts w:hint="eastAsia"/>
                      <w:lang w:eastAsia="zh-CN"/>
                    </w:rPr>
                    <w:t>定期外售至</w:t>
                  </w:r>
                  <w:r>
                    <w:rPr>
                      <w:rFonts w:hint="eastAsia"/>
                      <w:lang w:val="en-US" w:eastAsia="zh-CN"/>
                    </w:rPr>
                    <w:t>新疆根力多生物科技有限公司制作肥料</w:t>
                  </w:r>
                </w:p>
              </w:tc>
            </w:tr>
            <w:tr w14:paraId="19E824B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7CE2CBA8">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5</w:t>
                  </w:r>
                </w:p>
              </w:tc>
              <w:tc>
                <w:tcPr>
                  <w:tcW w:w="1150" w:type="pct"/>
                  <w:tcBorders>
                    <w:tl2br w:val="nil"/>
                    <w:tr2bl w:val="nil"/>
                  </w:tcBorders>
                  <w:shd w:val="clear" w:color="auto" w:fill="auto"/>
                  <w:vAlign w:val="center"/>
                </w:tcPr>
                <w:p w14:paraId="32EB4476">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lang w:val="en-US" w:eastAsia="zh-CN"/>
                    </w:rPr>
                    <w:t>废卤渣</w:t>
                  </w:r>
                </w:p>
              </w:tc>
              <w:tc>
                <w:tcPr>
                  <w:tcW w:w="669" w:type="pct"/>
                  <w:tcBorders>
                    <w:tl2br w:val="nil"/>
                    <w:tr2bl w:val="nil"/>
                  </w:tcBorders>
                  <w:shd w:val="clear" w:color="auto" w:fill="auto"/>
                  <w:vAlign w:val="center"/>
                </w:tcPr>
                <w:p w14:paraId="6703CD07">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30433E52">
                  <w:pPr>
                    <w:adjustRightInd w:val="0"/>
                    <w:snapToGrid w:val="0"/>
                    <w:jc w:val="center"/>
                    <w:rPr>
                      <w:b w:val="0"/>
                      <w:bCs w:val="0"/>
                      <w:color w:val="auto"/>
                      <w:kern w:val="0"/>
                      <w:szCs w:val="21"/>
                      <w:lang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1CBDB4C0">
                  <w:pPr>
                    <w:adjustRightInd w:val="0"/>
                    <w:snapToGrid w:val="0"/>
                    <w:jc w:val="center"/>
                    <w:rPr>
                      <w:rFonts w:hint="eastAsia" w:eastAsia="宋体"/>
                      <w:b w:val="0"/>
                      <w:bCs w:val="0"/>
                      <w:color w:val="auto"/>
                      <w:kern w:val="0"/>
                      <w:szCs w:val="21"/>
                      <w:lang w:val="en-US" w:eastAsia="zh-CN" w:bidi="ar"/>
                    </w:rPr>
                  </w:pPr>
                  <w:r>
                    <w:rPr>
                      <w:rFonts w:hint="eastAsia"/>
                      <w:lang w:val="en-US" w:eastAsia="zh-CN"/>
                    </w:rPr>
                    <w:t>交由</w:t>
                  </w:r>
                  <w:r>
                    <w:t>环卫部门清运</w:t>
                  </w:r>
                  <w:r>
                    <w:rPr>
                      <w:rFonts w:hint="eastAsia"/>
                      <w:lang w:val="en-US" w:eastAsia="zh-CN"/>
                    </w:rPr>
                    <w:t>处理</w:t>
                  </w:r>
                </w:p>
              </w:tc>
            </w:tr>
            <w:tr w14:paraId="4554FC9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0092B70B">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6</w:t>
                  </w:r>
                </w:p>
              </w:tc>
              <w:tc>
                <w:tcPr>
                  <w:tcW w:w="1150" w:type="pct"/>
                  <w:tcBorders>
                    <w:tl2br w:val="nil"/>
                    <w:tr2bl w:val="nil"/>
                  </w:tcBorders>
                  <w:shd w:val="clear" w:color="auto" w:fill="auto"/>
                  <w:vAlign w:val="center"/>
                </w:tcPr>
                <w:p w14:paraId="3A539C3C">
                  <w:pPr>
                    <w:pStyle w:val="99"/>
                    <w:ind w:left="0" w:leftChars="0" w:firstLine="0" w:firstLineChars="0"/>
                    <w:rPr>
                      <w:rFonts w:hint="eastAsia"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lang w:val="en-US" w:eastAsia="zh-CN"/>
                    </w:rPr>
                    <w:t>豆渣</w:t>
                  </w:r>
                </w:p>
              </w:tc>
              <w:tc>
                <w:tcPr>
                  <w:tcW w:w="669" w:type="pct"/>
                  <w:tcBorders>
                    <w:tl2br w:val="nil"/>
                    <w:tr2bl w:val="nil"/>
                  </w:tcBorders>
                  <w:shd w:val="clear" w:color="auto" w:fill="auto"/>
                  <w:vAlign w:val="center"/>
                </w:tcPr>
                <w:p w14:paraId="763157A4">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一般固废</w:t>
                  </w:r>
                </w:p>
              </w:tc>
              <w:tc>
                <w:tcPr>
                  <w:tcW w:w="1295" w:type="pct"/>
                  <w:tcBorders>
                    <w:tl2br w:val="nil"/>
                    <w:tr2bl w:val="nil"/>
                  </w:tcBorders>
                  <w:vAlign w:val="center"/>
                </w:tcPr>
                <w:p w14:paraId="4D3C78D5">
                  <w:pPr>
                    <w:adjustRightInd w:val="0"/>
                    <w:snapToGrid w:val="0"/>
                    <w:jc w:val="center"/>
                    <w:rPr>
                      <w:b w:val="0"/>
                      <w:bCs w:val="0"/>
                      <w:color w:val="auto"/>
                      <w:kern w:val="0"/>
                      <w:szCs w:val="21"/>
                      <w:lang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7C4D7FDB">
                  <w:pPr>
                    <w:adjustRightInd w:val="0"/>
                    <w:snapToGrid w:val="0"/>
                    <w:jc w:val="center"/>
                    <w:rPr>
                      <w:b w:val="0"/>
                      <w:bCs w:val="0"/>
                      <w:color w:val="auto"/>
                      <w:kern w:val="0"/>
                      <w:szCs w:val="21"/>
                      <w:lang w:bidi="ar"/>
                    </w:rPr>
                  </w:pPr>
                  <w:r>
                    <w:rPr>
                      <w:rFonts w:hint="eastAsia"/>
                      <w:lang w:val="en-US" w:eastAsia="zh-CN"/>
                    </w:rPr>
                    <w:t>收集后</w:t>
                  </w:r>
                  <w:r>
                    <w:rPr>
                      <w:rFonts w:hint="eastAsia"/>
                      <w:lang w:eastAsia="zh-CN"/>
                    </w:rPr>
                    <w:t>定期外售至</w:t>
                  </w:r>
                  <w:r>
                    <w:rPr>
                      <w:rFonts w:hint="eastAsia"/>
                      <w:lang w:val="en-US" w:eastAsia="zh-CN"/>
                    </w:rPr>
                    <w:t>新疆根力多生物科技有限公司制作肥料</w:t>
                  </w:r>
                </w:p>
              </w:tc>
            </w:tr>
            <w:tr w14:paraId="3E65856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54" w:type="pct"/>
                  <w:tcBorders>
                    <w:tl2br w:val="nil"/>
                    <w:tr2bl w:val="nil"/>
                  </w:tcBorders>
                  <w:shd w:val="clear" w:color="auto" w:fill="auto"/>
                  <w:vAlign w:val="center"/>
                </w:tcPr>
                <w:p w14:paraId="6B1755F6">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7</w:t>
                  </w:r>
                </w:p>
              </w:tc>
              <w:tc>
                <w:tcPr>
                  <w:tcW w:w="1150" w:type="pct"/>
                  <w:tcBorders>
                    <w:tl2br w:val="nil"/>
                    <w:tr2bl w:val="nil"/>
                  </w:tcBorders>
                  <w:shd w:val="clear" w:color="auto" w:fill="auto"/>
                  <w:vAlign w:val="center"/>
                </w:tcPr>
                <w:p w14:paraId="75E3CDE0">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lang w:val="en-US" w:eastAsia="zh-CN"/>
                    </w:rPr>
                    <w:t>废RO膜</w:t>
                  </w:r>
                </w:p>
              </w:tc>
              <w:tc>
                <w:tcPr>
                  <w:tcW w:w="669" w:type="pct"/>
                  <w:tcBorders>
                    <w:tl2br w:val="nil"/>
                    <w:tr2bl w:val="nil"/>
                  </w:tcBorders>
                  <w:vAlign w:val="center"/>
                </w:tcPr>
                <w:p w14:paraId="676C30C4">
                  <w:pPr>
                    <w:adjustRightInd w:val="0"/>
                    <w:snapToGrid w:val="0"/>
                    <w:jc w:val="center"/>
                    <w:rPr>
                      <w:b w:val="0"/>
                      <w:bCs w:val="0"/>
                      <w:color w:val="auto"/>
                      <w:kern w:val="0"/>
                      <w:szCs w:val="21"/>
                      <w:lang w:bidi="ar"/>
                    </w:rPr>
                  </w:pPr>
                  <w:r>
                    <w:rPr>
                      <w:b w:val="0"/>
                      <w:bCs w:val="0"/>
                      <w:color w:val="auto"/>
                      <w:kern w:val="0"/>
                      <w:szCs w:val="21"/>
                      <w:lang w:bidi="ar"/>
                    </w:rPr>
                    <w:t>一般固废</w:t>
                  </w:r>
                </w:p>
              </w:tc>
              <w:tc>
                <w:tcPr>
                  <w:tcW w:w="1295" w:type="pct"/>
                  <w:tcBorders>
                    <w:tl2br w:val="nil"/>
                    <w:tr2bl w:val="nil"/>
                  </w:tcBorders>
                  <w:vAlign w:val="center"/>
                </w:tcPr>
                <w:p w14:paraId="4CC7D1CB">
                  <w:pPr>
                    <w:adjustRightInd w:val="0"/>
                    <w:snapToGrid w:val="0"/>
                    <w:jc w:val="center"/>
                    <w:rPr>
                      <w:rFonts w:hint="default"/>
                      <w:b w:val="0"/>
                      <w:bCs w:val="0"/>
                      <w:color w:val="auto"/>
                      <w:kern w:val="0"/>
                      <w:szCs w:val="21"/>
                      <w:lang w:val="en-US" w:bidi="ar"/>
                    </w:rPr>
                  </w:pPr>
                  <w:r>
                    <w:rPr>
                      <w:rFonts w:hint="eastAsia"/>
                      <w:b w:val="0"/>
                      <w:bCs w:val="0"/>
                      <w:color w:val="auto"/>
                      <w:kern w:val="0"/>
                      <w:szCs w:val="21"/>
                      <w:lang w:val="en-US" w:eastAsia="zh-CN" w:bidi="ar"/>
                    </w:rPr>
                    <w:t xml:space="preserve">SW59  </w:t>
                  </w:r>
                  <w:r>
                    <w:rPr>
                      <w:b w:val="0"/>
                      <w:bCs w:val="0"/>
                      <w:color w:val="auto"/>
                      <w:kern w:val="0"/>
                      <w:szCs w:val="21"/>
                      <w:lang w:bidi="ar"/>
                    </w:rPr>
                    <w:t>900-</w:t>
                  </w:r>
                  <w:r>
                    <w:rPr>
                      <w:rFonts w:hint="eastAsia"/>
                      <w:b w:val="0"/>
                      <w:bCs w:val="0"/>
                      <w:color w:val="auto"/>
                      <w:kern w:val="0"/>
                      <w:szCs w:val="21"/>
                      <w:lang w:val="en-US" w:eastAsia="zh-CN" w:bidi="ar"/>
                    </w:rPr>
                    <w:t>00</w:t>
                  </w:r>
                  <w:r>
                    <w:rPr>
                      <w:b w:val="0"/>
                      <w:bCs w:val="0"/>
                      <w:color w:val="auto"/>
                      <w:kern w:val="0"/>
                      <w:szCs w:val="21"/>
                      <w:lang w:bidi="ar"/>
                    </w:rPr>
                    <w:t>9-</w:t>
                  </w:r>
                  <w:r>
                    <w:rPr>
                      <w:rFonts w:hint="eastAsia"/>
                      <w:b w:val="0"/>
                      <w:bCs w:val="0"/>
                      <w:color w:val="auto"/>
                      <w:kern w:val="0"/>
                      <w:szCs w:val="21"/>
                      <w:lang w:val="en-US" w:eastAsia="zh-CN" w:bidi="ar"/>
                    </w:rPr>
                    <w:t>S59</w:t>
                  </w:r>
                </w:p>
              </w:tc>
              <w:tc>
                <w:tcPr>
                  <w:tcW w:w="1430" w:type="pct"/>
                  <w:tcBorders>
                    <w:tl2br w:val="nil"/>
                    <w:tr2bl w:val="nil"/>
                  </w:tcBorders>
                  <w:vAlign w:val="center"/>
                </w:tcPr>
                <w:p w14:paraId="2F978A91">
                  <w:pPr>
                    <w:adjustRightInd w:val="0"/>
                    <w:snapToGrid w:val="0"/>
                    <w:jc w:val="center"/>
                    <w:rPr>
                      <w:b w:val="0"/>
                      <w:bCs w:val="0"/>
                      <w:color w:val="auto"/>
                      <w:kern w:val="0"/>
                      <w:szCs w:val="21"/>
                      <w:lang w:bidi="ar"/>
                    </w:rPr>
                  </w:pPr>
                  <w:r>
                    <w:rPr>
                      <w:rFonts w:hint="eastAsia"/>
                      <w:lang w:val="en-US" w:eastAsia="zh-CN"/>
                    </w:rPr>
                    <w:t>定期更换时由厂家回收</w:t>
                  </w:r>
                </w:p>
              </w:tc>
            </w:tr>
            <w:tr w14:paraId="4B8493B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shd w:val="clear" w:color="auto" w:fill="auto"/>
                  <w:vAlign w:val="center"/>
                </w:tcPr>
                <w:p w14:paraId="6D8B153F">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b w:val="0"/>
                      <w:bCs w:val="0"/>
                      <w:color w:val="auto"/>
                      <w:kern w:val="0"/>
                      <w:szCs w:val="21"/>
                      <w:lang w:bidi="ar"/>
                    </w:rPr>
                    <w:t>8</w:t>
                  </w:r>
                </w:p>
              </w:tc>
              <w:tc>
                <w:tcPr>
                  <w:tcW w:w="1150" w:type="pct"/>
                  <w:tcBorders>
                    <w:tl2br w:val="nil"/>
                    <w:tr2bl w:val="nil"/>
                  </w:tcBorders>
                  <w:shd w:val="clear" w:color="auto" w:fill="auto"/>
                  <w:vAlign w:val="center"/>
                </w:tcPr>
                <w:p w14:paraId="747E911E">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rFonts w:hint="eastAsia" w:ascii="宋体" w:hAnsi="宋体" w:eastAsia="宋体" w:cs="宋体"/>
                      <w:b w:val="0"/>
                      <w:bCs w:val="0"/>
                      <w:color w:val="auto"/>
                      <w:spacing w:val="-2"/>
                      <w:lang w:val="en-US" w:eastAsia="zh-CN"/>
                    </w:rPr>
                    <w:t>生牛乳废渣</w:t>
                  </w:r>
                </w:p>
              </w:tc>
              <w:tc>
                <w:tcPr>
                  <w:tcW w:w="669" w:type="pct"/>
                  <w:tcBorders>
                    <w:tl2br w:val="nil"/>
                    <w:tr2bl w:val="nil"/>
                  </w:tcBorders>
                  <w:vAlign w:val="center"/>
                </w:tcPr>
                <w:p w14:paraId="0EF48222">
                  <w:pPr>
                    <w:adjustRightInd w:val="0"/>
                    <w:snapToGrid w:val="0"/>
                    <w:jc w:val="center"/>
                    <w:rPr>
                      <w:b w:val="0"/>
                      <w:bCs w:val="0"/>
                      <w:color w:val="auto"/>
                      <w:kern w:val="0"/>
                      <w:szCs w:val="21"/>
                      <w:lang w:bidi="ar"/>
                    </w:rPr>
                  </w:pPr>
                  <w:r>
                    <w:rPr>
                      <w:b w:val="0"/>
                      <w:bCs w:val="0"/>
                      <w:color w:val="auto"/>
                      <w:kern w:val="0"/>
                      <w:szCs w:val="21"/>
                      <w:lang w:bidi="ar"/>
                    </w:rPr>
                    <w:t>一般固废</w:t>
                  </w:r>
                </w:p>
              </w:tc>
              <w:tc>
                <w:tcPr>
                  <w:tcW w:w="1295" w:type="pct"/>
                  <w:tcBorders>
                    <w:tl2br w:val="nil"/>
                    <w:tr2bl w:val="nil"/>
                  </w:tcBorders>
                  <w:vAlign w:val="center"/>
                </w:tcPr>
                <w:p w14:paraId="6E0585A8">
                  <w:pPr>
                    <w:adjustRightInd w:val="0"/>
                    <w:snapToGrid w:val="0"/>
                    <w:jc w:val="center"/>
                    <w:rPr>
                      <w:rFonts w:hint="eastAsia" w:eastAsia="宋体"/>
                      <w:b w:val="0"/>
                      <w:bCs w:val="0"/>
                      <w:color w:val="auto"/>
                      <w:kern w:val="0"/>
                      <w:szCs w:val="21"/>
                      <w:lang w:val="en-US" w:eastAsia="zh-CN" w:bidi="ar"/>
                    </w:rPr>
                  </w:pPr>
                  <w:r>
                    <w:rPr>
                      <w:rFonts w:hint="eastAsia"/>
                      <w:b w:val="0"/>
                      <w:bCs w:val="0"/>
                      <w:color w:val="auto"/>
                      <w:kern w:val="0"/>
                      <w:szCs w:val="21"/>
                      <w:lang w:val="en-US" w:eastAsia="zh-CN" w:bidi="ar"/>
                    </w:rPr>
                    <w:t>SW61  900-002-S61</w:t>
                  </w:r>
                </w:p>
              </w:tc>
              <w:tc>
                <w:tcPr>
                  <w:tcW w:w="1430" w:type="pct"/>
                  <w:tcBorders>
                    <w:tl2br w:val="nil"/>
                    <w:tr2bl w:val="nil"/>
                  </w:tcBorders>
                  <w:vAlign w:val="center"/>
                </w:tcPr>
                <w:p w14:paraId="7CC6BD48">
                  <w:pPr>
                    <w:adjustRightInd w:val="0"/>
                    <w:snapToGrid w:val="0"/>
                    <w:jc w:val="center"/>
                    <w:rPr>
                      <w:b w:val="0"/>
                      <w:bCs w:val="0"/>
                      <w:color w:val="auto"/>
                      <w:kern w:val="0"/>
                      <w:szCs w:val="21"/>
                      <w:lang w:bidi="ar"/>
                    </w:rPr>
                  </w:pPr>
                  <w:r>
                    <w:rPr>
                      <w:rFonts w:hint="eastAsia"/>
                      <w:lang w:val="en-US" w:eastAsia="zh-CN"/>
                    </w:rPr>
                    <w:t>收集后</w:t>
                  </w:r>
                  <w:r>
                    <w:rPr>
                      <w:rFonts w:hint="eastAsia"/>
                      <w:lang w:eastAsia="zh-CN"/>
                    </w:rPr>
                    <w:t>定期外售至</w:t>
                  </w:r>
                  <w:r>
                    <w:rPr>
                      <w:rFonts w:hint="eastAsia"/>
                      <w:lang w:val="en-US" w:eastAsia="zh-CN"/>
                    </w:rPr>
                    <w:t>新疆根力多生物科技有限公司制作肥料</w:t>
                  </w:r>
                </w:p>
              </w:tc>
            </w:tr>
            <w:tr w14:paraId="74CA5D4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vAlign w:val="center"/>
                </w:tcPr>
                <w:p w14:paraId="6D0F0CD2">
                  <w:pPr>
                    <w:adjustRightInd w:val="0"/>
                    <w:snapToGrid w:val="0"/>
                    <w:jc w:val="center"/>
                    <w:rPr>
                      <w:rFonts w:hint="eastAsia" w:eastAsia="宋体"/>
                      <w:b w:val="0"/>
                      <w:bCs w:val="0"/>
                      <w:color w:val="auto"/>
                      <w:kern w:val="0"/>
                      <w:szCs w:val="21"/>
                      <w:lang w:val="en-US" w:eastAsia="zh-CN" w:bidi="ar"/>
                    </w:rPr>
                  </w:pPr>
                  <w:r>
                    <w:rPr>
                      <w:rFonts w:hint="eastAsia"/>
                      <w:b w:val="0"/>
                      <w:bCs w:val="0"/>
                      <w:color w:val="auto"/>
                      <w:kern w:val="0"/>
                      <w:szCs w:val="21"/>
                      <w:lang w:val="en-US" w:eastAsia="zh-CN" w:bidi="ar"/>
                    </w:rPr>
                    <w:t>9</w:t>
                  </w:r>
                </w:p>
              </w:tc>
              <w:tc>
                <w:tcPr>
                  <w:tcW w:w="1150" w:type="pct"/>
                  <w:tcBorders>
                    <w:tl2br w:val="nil"/>
                    <w:tr2bl w:val="nil"/>
                  </w:tcBorders>
                  <w:shd w:val="clear" w:color="auto" w:fill="auto"/>
                  <w:vAlign w:val="center"/>
                </w:tcPr>
                <w:p w14:paraId="17B42AEB">
                  <w:pPr>
                    <w:pStyle w:val="99"/>
                    <w:ind w:left="0" w:leftChars="0" w:firstLine="0" w:firstLineChars="0"/>
                    <w:rPr>
                      <w:rFonts w:ascii="Times New Roman" w:hAnsi="Times New Roman" w:eastAsia="宋体" w:cs="Times New Roman"/>
                      <w:b w:val="0"/>
                      <w:bCs w:val="0"/>
                      <w:color w:val="auto"/>
                      <w:kern w:val="2"/>
                      <w:sz w:val="21"/>
                      <w:szCs w:val="24"/>
                      <w:lang w:val="en-US" w:eastAsia="zh-CN" w:bidi="ar-SA"/>
                    </w:rPr>
                  </w:pPr>
                  <w:r>
                    <w:rPr>
                      <w:b w:val="0"/>
                      <w:bCs w:val="0"/>
                      <w:color w:val="auto"/>
                    </w:rPr>
                    <w:t>污泥</w:t>
                  </w:r>
                </w:p>
              </w:tc>
              <w:tc>
                <w:tcPr>
                  <w:tcW w:w="669" w:type="pct"/>
                  <w:tcBorders>
                    <w:tl2br w:val="nil"/>
                    <w:tr2bl w:val="nil"/>
                  </w:tcBorders>
                  <w:vAlign w:val="center"/>
                </w:tcPr>
                <w:p w14:paraId="303B6650">
                  <w:pPr>
                    <w:adjustRightInd w:val="0"/>
                    <w:snapToGrid w:val="0"/>
                    <w:jc w:val="center"/>
                    <w:rPr>
                      <w:b w:val="0"/>
                      <w:bCs w:val="0"/>
                      <w:color w:val="auto"/>
                      <w:kern w:val="0"/>
                      <w:szCs w:val="21"/>
                      <w:lang w:bidi="ar"/>
                    </w:rPr>
                  </w:pPr>
                  <w:r>
                    <w:rPr>
                      <w:b w:val="0"/>
                      <w:bCs w:val="0"/>
                      <w:color w:val="auto"/>
                      <w:kern w:val="0"/>
                      <w:szCs w:val="21"/>
                      <w:lang w:bidi="ar"/>
                    </w:rPr>
                    <w:t>一般固废</w:t>
                  </w:r>
                </w:p>
              </w:tc>
              <w:tc>
                <w:tcPr>
                  <w:tcW w:w="1295" w:type="pct"/>
                  <w:tcBorders>
                    <w:tl2br w:val="nil"/>
                    <w:tr2bl w:val="nil"/>
                  </w:tcBorders>
                  <w:shd w:val="clear" w:color="auto" w:fill="auto"/>
                  <w:vAlign w:val="center"/>
                </w:tcPr>
                <w:p w14:paraId="3AEF709C">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rFonts w:hint="eastAsia"/>
                      <w:b w:val="0"/>
                      <w:bCs w:val="0"/>
                      <w:color w:val="auto"/>
                      <w:kern w:val="0"/>
                      <w:szCs w:val="21"/>
                      <w:lang w:val="en-US" w:eastAsia="zh-CN" w:bidi="ar"/>
                    </w:rPr>
                    <w:t xml:space="preserve">SW07  </w:t>
                  </w:r>
                  <w:r>
                    <w:rPr>
                      <w:rFonts w:hint="eastAsia" w:ascii="Times New Roman" w:hAnsi="Times New Roman" w:eastAsia="宋体" w:cs="Times New Roman"/>
                      <w:b w:val="0"/>
                      <w:bCs w:val="0"/>
                      <w:color w:val="auto"/>
                      <w:kern w:val="0"/>
                      <w:sz w:val="21"/>
                      <w:szCs w:val="21"/>
                      <w:lang w:val="en-US" w:eastAsia="zh-CN" w:bidi="ar"/>
                    </w:rPr>
                    <w:t>140-001-S07</w:t>
                  </w:r>
                </w:p>
              </w:tc>
              <w:tc>
                <w:tcPr>
                  <w:tcW w:w="1430" w:type="pct"/>
                  <w:tcBorders>
                    <w:tl2br w:val="nil"/>
                    <w:tr2bl w:val="nil"/>
                  </w:tcBorders>
                  <w:shd w:val="clear" w:color="auto" w:fill="auto"/>
                  <w:vAlign w:val="center"/>
                </w:tcPr>
                <w:p w14:paraId="492153B6">
                  <w:pPr>
                    <w:adjustRightInd w:val="0"/>
                    <w:snapToGrid w:val="0"/>
                    <w:jc w:val="center"/>
                    <w:rPr>
                      <w:rFonts w:ascii="Times New Roman" w:hAnsi="Times New Roman" w:eastAsia="宋体" w:cs="Times New Roman"/>
                      <w:b w:val="0"/>
                      <w:bCs w:val="0"/>
                      <w:color w:val="auto"/>
                      <w:kern w:val="0"/>
                      <w:sz w:val="21"/>
                      <w:szCs w:val="21"/>
                      <w:lang w:val="en-US" w:eastAsia="zh-CN" w:bidi="ar"/>
                    </w:rPr>
                  </w:pPr>
                  <w:r>
                    <w:rPr>
                      <w:rFonts w:hint="eastAsia"/>
                      <w:lang w:val="en-US" w:eastAsia="zh-CN"/>
                    </w:rPr>
                    <w:t>脱水处理后</w:t>
                  </w:r>
                  <w:r>
                    <w:t>拉运至生活垃圾填埋场填埋处理</w:t>
                  </w:r>
                </w:p>
              </w:tc>
            </w:tr>
            <w:tr w14:paraId="740F83E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454" w:type="pct"/>
                  <w:tcBorders>
                    <w:tl2br w:val="nil"/>
                    <w:tr2bl w:val="nil"/>
                  </w:tcBorders>
                  <w:vAlign w:val="center"/>
                </w:tcPr>
                <w:p w14:paraId="109844B5">
                  <w:pPr>
                    <w:adjustRightInd w:val="0"/>
                    <w:snapToGrid w:val="0"/>
                    <w:jc w:val="center"/>
                    <w:rPr>
                      <w:rFonts w:hint="default"/>
                      <w:b w:val="0"/>
                      <w:bCs w:val="0"/>
                      <w:color w:val="auto"/>
                      <w:kern w:val="0"/>
                      <w:szCs w:val="21"/>
                      <w:lang w:val="en-US" w:eastAsia="zh-CN" w:bidi="ar"/>
                    </w:rPr>
                  </w:pPr>
                  <w:r>
                    <w:rPr>
                      <w:rFonts w:hint="eastAsia"/>
                      <w:b w:val="0"/>
                      <w:bCs w:val="0"/>
                      <w:color w:val="auto"/>
                      <w:kern w:val="0"/>
                      <w:szCs w:val="21"/>
                      <w:lang w:val="en-US" w:eastAsia="zh-CN" w:bidi="ar"/>
                    </w:rPr>
                    <w:t>10</w:t>
                  </w:r>
                </w:p>
              </w:tc>
              <w:tc>
                <w:tcPr>
                  <w:tcW w:w="1150" w:type="pct"/>
                  <w:tcBorders>
                    <w:tl2br w:val="nil"/>
                    <w:tr2bl w:val="nil"/>
                  </w:tcBorders>
                  <w:shd w:val="clear" w:color="auto" w:fill="auto"/>
                  <w:vAlign w:val="center"/>
                </w:tcPr>
                <w:p w14:paraId="56171084">
                  <w:pPr>
                    <w:pStyle w:val="99"/>
                    <w:ind w:left="0" w:leftChars="0" w:firstLine="0" w:firstLineChars="0"/>
                    <w:rPr>
                      <w:rFonts w:hint="default" w:eastAsia="宋体"/>
                      <w:b w:val="0"/>
                      <w:bCs w:val="0"/>
                      <w:color w:val="auto"/>
                      <w:lang w:val="en-US" w:eastAsia="zh-CN"/>
                    </w:rPr>
                  </w:pPr>
                  <w:r>
                    <w:rPr>
                      <w:rFonts w:hint="eastAsia"/>
                      <w:b w:val="0"/>
                      <w:bCs w:val="0"/>
                      <w:color w:val="auto"/>
                      <w:lang w:val="en-US" w:eastAsia="zh-CN"/>
                    </w:rPr>
                    <w:t>废活性炭</w:t>
                  </w:r>
                </w:p>
              </w:tc>
              <w:tc>
                <w:tcPr>
                  <w:tcW w:w="669" w:type="pct"/>
                  <w:tcBorders>
                    <w:tl2br w:val="nil"/>
                    <w:tr2bl w:val="nil"/>
                  </w:tcBorders>
                  <w:vAlign w:val="center"/>
                </w:tcPr>
                <w:p w14:paraId="62FB302A">
                  <w:pPr>
                    <w:adjustRightInd w:val="0"/>
                    <w:snapToGrid w:val="0"/>
                    <w:jc w:val="center"/>
                    <w:rPr>
                      <w:rFonts w:hint="default" w:eastAsia="宋体"/>
                      <w:b w:val="0"/>
                      <w:bCs w:val="0"/>
                      <w:color w:val="auto"/>
                      <w:kern w:val="0"/>
                      <w:szCs w:val="21"/>
                      <w:lang w:val="en-US" w:eastAsia="zh-CN" w:bidi="ar"/>
                    </w:rPr>
                  </w:pPr>
                  <w:r>
                    <w:rPr>
                      <w:rFonts w:hint="eastAsia"/>
                      <w:b w:val="0"/>
                      <w:bCs w:val="0"/>
                      <w:color w:val="auto"/>
                      <w:kern w:val="0"/>
                      <w:szCs w:val="21"/>
                      <w:lang w:val="en-US" w:eastAsia="zh-CN" w:bidi="ar"/>
                    </w:rPr>
                    <w:t>危险废物</w:t>
                  </w:r>
                </w:p>
              </w:tc>
              <w:tc>
                <w:tcPr>
                  <w:tcW w:w="1295" w:type="pct"/>
                  <w:tcBorders>
                    <w:tl2br w:val="nil"/>
                    <w:tr2bl w:val="nil"/>
                  </w:tcBorders>
                  <w:shd w:val="clear" w:color="auto" w:fill="auto"/>
                  <w:vAlign w:val="center"/>
                </w:tcPr>
                <w:p w14:paraId="6A8F413F">
                  <w:pPr>
                    <w:adjustRightInd w:val="0"/>
                    <w:snapToGrid w:val="0"/>
                    <w:jc w:val="center"/>
                    <w:rPr>
                      <w:b w:val="0"/>
                      <w:bCs w:val="0"/>
                      <w:color w:val="auto"/>
                      <w:kern w:val="0"/>
                      <w:szCs w:val="21"/>
                      <w:lang w:bidi="ar"/>
                    </w:rPr>
                  </w:pPr>
                  <w:r>
                    <w:rPr>
                      <w:rFonts w:hint="eastAsia"/>
                      <w:kern w:val="0"/>
                      <w:szCs w:val="21"/>
                      <w:lang w:val="en-US" w:eastAsia="zh-CN" w:bidi="ar"/>
                    </w:rPr>
                    <w:t>HW49  900-039-49</w:t>
                  </w:r>
                </w:p>
              </w:tc>
              <w:tc>
                <w:tcPr>
                  <w:tcW w:w="1430" w:type="pct"/>
                  <w:tcBorders>
                    <w:tl2br w:val="nil"/>
                    <w:tr2bl w:val="nil"/>
                  </w:tcBorders>
                  <w:shd w:val="clear" w:color="auto" w:fill="auto"/>
                  <w:vAlign w:val="center"/>
                </w:tcPr>
                <w:p w14:paraId="639E9412">
                  <w:pPr>
                    <w:adjustRightInd w:val="0"/>
                    <w:snapToGrid w:val="0"/>
                    <w:jc w:val="center"/>
                    <w:rPr>
                      <w:rFonts w:hint="eastAsia"/>
                      <w:lang w:val="en-US" w:eastAsia="zh-CN"/>
                    </w:rPr>
                  </w:pPr>
                  <w:r>
                    <w:rPr>
                      <w:rFonts w:hint="eastAsia"/>
                      <w:kern w:val="0"/>
                      <w:szCs w:val="21"/>
                      <w:lang w:bidi="ar"/>
                    </w:rPr>
                    <w:t>收集后暂存于危废贮存间定期交由有危废处置资质的单位处置</w:t>
                  </w:r>
                </w:p>
              </w:tc>
            </w:tr>
          </w:tbl>
          <w:p w14:paraId="77046E50">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firstLineChars="200"/>
              <w:textAlignment w:val="auto"/>
              <w:rPr>
                <w:b/>
                <w:bCs/>
                <w:kern w:val="0"/>
                <w:sz w:val="24"/>
                <w:lang w:bidi="ar"/>
              </w:rPr>
            </w:pPr>
            <w:r>
              <w:rPr>
                <w:b/>
                <w:bCs/>
                <w:kern w:val="0"/>
                <w:sz w:val="24"/>
                <w:lang w:bidi="ar"/>
              </w:rPr>
              <w:t>（3</w:t>
            </w:r>
            <w:r>
              <w:rPr>
                <w:rFonts w:hint="eastAsia"/>
                <w:b/>
                <w:bCs/>
                <w:kern w:val="0"/>
                <w:sz w:val="24"/>
                <w:lang w:eastAsia="zh-CN" w:bidi="ar"/>
              </w:rPr>
              <w:t>）</w:t>
            </w:r>
            <w:r>
              <w:rPr>
                <w:rFonts w:hint="eastAsia"/>
                <w:b/>
                <w:bCs/>
                <w:kern w:val="0"/>
                <w:sz w:val="24"/>
                <w:lang w:val="en-US" w:eastAsia="zh-CN" w:bidi="ar"/>
              </w:rPr>
              <w:t>固体废物</w:t>
            </w:r>
            <w:r>
              <w:rPr>
                <w:b/>
                <w:bCs/>
                <w:kern w:val="0"/>
                <w:sz w:val="24"/>
                <w:lang w:bidi="ar"/>
              </w:rPr>
              <w:t>管理要求</w:t>
            </w:r>
          </w:p>
          <w:p w14:paraId="0137CCD4">
            <w:pPr>
              <w:adjustRightInd w:val="0"/>
              <w:snapToGrid w:val="0"/>
              <w:spacing w:line="360" w:lineRule="auto"/>
              <w:ind w:firstLine="482" w:firstLineChars="200"/>
              <w:rPr>
                <w:rFonts w:hint="eastAsia" w:eastAsia="宋体"/>
                <w:b/>
                <w:bCs/>
                <w:kern w:val="0"/>
                <w:sz w:val="24"/>
                <w:lang w:eastAsia="zh-CN" w:bidi="ar"/>
              </w:rPr>
            </w:pPr>
            <w:r>
              <w:rPr>
                <w:b/>
                <w:bCs/>
                <w:kern w:val="0"/>
                <w:sz w:val="24"/>
                <w:lang w:bidi="ar"/>
              </w:rPr>
              <w:t>一般固废管理要求</w:t>
            </w:r>
            <w:r>
              <w:rPr>
                <w:rFonts w:hint="eastAsia"/>
                <w:b/>
                <w:bCs/>
                <w:kern w:val="0"/>
                <w:sz w:val="24"/>
                <w:lang w:eastAsia="zh-CN" w:bidi="ar"/>
              </w:rPr>
              <w:t>：</w:t>
            </w:r>
          </w:p>
          <w:p w14:paraId="5A3F0AA3">
            <w:pPr>
              <w:adjustRightInd w:val="0"/>
              <w:snapToGrid w:val="0"/>
              <w:spacing w:line="360" w:lineRule="auto"/>
              <w:ind w:firstLine="480" w:firstLineChars="200"/>
              <w:rPr>
                <w:kern w:val="0"/>
                <w:sz w:val="24"/>
                <w:lang w:bidi="ar"/>
              </w:rPr>
            </w:pPr>
            <w:r>
              <w:rPr>
                <w:kern w:val="0"/>
                <w:sz w:val="24"/>
                <w:lang w:bidi="ar"/>
              </w:rPr>
              <w:t>根据《一般工业固体废物贮存和填埋污染控制标准》（GB18599-2020</w:t>
            </w:r>
            <w:r>
              <w:rPr>
                <w:rFonts w:hint="eastAsia"/>
                <w:kern w:val="0"/>
                <w:sz w:val="24"/>
                <w:lang w:eastAsia="zh-CN" w:bidi="ar"/>
              </w:rPr>
              <w:t>）</w:t>
            </w:r>
            <w:r>
              <w:rPr>
                <w:kern w:val="0"/>
                <w:sz w:val="24"/>
                <w:lang w:bidi="ar"/>
              </w:rPr>
              <w:t>设置临时堆场，用于临时存放烂果、枝叶、杂草等一般固废，采用桶装方式进行暂存，每日外售给周边农户、养殖户用作养殖饲料。根据堆存固废性质要求临时堆场做好防渗和导排系统、雨污分流系统、分析化验和环境监测系统以及配套的公用工程。同时根据《一般工业固体废物管理台账制定指南（试行</w:t>
            </w:r>
            <w:r>
              <w:rPr>
                <w:rFonts w:hint="eastAsia"/>
                <w:kern w:val="0"/>
                <w:sz w:val="24"/>
                <w:lang w:eastAsia="zh-CN" w:bidi="ar"/>
              </w:rPr>
              <w:t>）</w:t>
            </w:r>
            <w:r>
              <w:rPr>
                <w:kern w:val="0"/>
                <w:sz w:val="24"/>
                <w:lang w:bidi="ar"/>
              </w:rPr>
              <w:t>》要求，实施一般工业固体废物管理台账分级管理，记录主要固体废物的基础信息及流向信息，进一步记录固体废物产生、贮存及利用处置等详细信息，设置专人进行台账管理，防止遗失，一般工业固体废物管理台账保存期限不少于5年。</w:t>
            </w:r>
          </w:p>
          <w:p w14:paraId="76A9A2B0">
            <w:pPr>
              <w:adjustRightInd w:val="0"/>
              <w:snapToGrid w:val="0"/>
              <w:spacing w:line="360" w:lineRule="auto"/>
              <w:ind w:firstLine="482" w:firstLineChars="200"/>
              <w:rPr>
                <w:rFonts w:hint="eastAsia"/>
                <w:b/>
                <w:bCs/>
                <w:kern w:val="0"/>
                <w:sz w:val="24"/>
                <w:lang w:val="en-US" w:eastAsia="zh-CN" w:bidi="ar"/>
              </w:rPr>
            </w:pPr>
            <w:r>
              <w:rPr>
                <w:rFonts w:hint="eastAsia"/>
                <w:b/>
                <w:bCs/>
                <w:kern w:val="0"/>
                <w:sz w:val="24"/>
                <w:lang w:val="en-US" w:eastAsia="zh-CN" w:bidi="ar"/>
              </w:rPr>
              <w:t>危险废物管理要求：</w:t>
            </w:r>
          </w:p>
          <w:p w14:paraId="136A5444">
            <w:pPr>
              <w:widowControl w:val="0"/>
              <w:spacing w:after="0"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根据《中华人民共和国固体废物污染环境防治法》（2020年4月29日修订</w:t>
            </w:r>
            <w:r>
              <w:rPr>
                <w:rFonts w:hint="eastAsia" w:ascii="宋体" w:hAnsi="宋体" w:cs="宋体"/>
                <w:kern w:val="2"/>
                <w:sz w:val="24"/>
                <w:szCs w:val="24"/>
                <w:lang w:val="en-US" w:eastAsia="zh-CN" w:bidi="ar-SA"/>
              </w:rPr>
              <w:t>）、</w:t>
            </w:r>
            <w:r>
              <w:rPr>
                <w:rFonts w:hint="eastAsia" w:ascii="宋体" w:hAnsi="宋体" w:eastAsia="宋体" w:cs="宋体"/>
                <w:kern w:val="2"/>
                <w:sz w:val="24"/>
                <w:szCs w:val="24"/>
                <w:lang w:val="en-US" w:eastAsia="zh-CN" w:bidi="ar-SA"/>
              </w:rPr>
              <w:t>《危险废物转移管理办法》及</w:t>
            </w:r>
            <w:r>
              <w:rPr>
                <w:rFonts w:ascii="Times New Roman" w:hAnsi="Times New Roman" w:eastAsia="宋体" w:cs="Times New Roman"/>
                <w:sz w:val="24"/>
                <w:szCs w:val="24"/>
              </w:rPr>
              <w:t>《危险废物贮存污染控制标准》（GB185</w:t>
            </w:r>
            <w:r>
              <w:rPr>
                <w:rFonts w:hint="eastAsia" w:cs="Times New Roman"/>
                <w:sz w:val="24"/>
                <w:szCs w:val="24"/>
                <w:lang w:val="en-US" w:eastAsia="zh-CN"/>
              </w:rPr>
              <w:t>97</w:t>
            </w:r>
            <w:r>
              <w:rPr>
                <w:rFonts w:ascii="Times New Roman" w:hAnsi="Times New Roman" w:eastAsia="宋体" w:cs="Times New Roman"/>
                <w:sz w:val="24"/>
                <w:szCs w:val="24"/>
              </w:rPr>
              <w:t>-2</w:t>
            </w:r>
            <w:r>
              <w:rPr>
                <w:rFonts w:hint="eastAsia" w:cs="Times New Roman"/>
                <w:sz w:val="24"/>
                <w:szCs w:val="24"/>
                <w:lang w:val="en-US" w:eastAsia="zh-CN"/>
              </w:rPr>
              <w:t>023</w:t>
            </w:r>
            <w:r>
              <w:rPr>
                <w:rFonts w:hint="eastAsia" w:cs="Times New Roman"/>
                <w:sz w:val="24"/>
                <w:szCs w:val="24"/>
                <w:lang w:eastAsia="zh-CN"/>
              </w:rPr>
              <w:t>）</w:t>
            </w:r>
            <w:r>
              <w:rPr>
                <w:rFonts w:hint="eastAsia" w:ascii="宋体" w:hAnsi="宋体" w:eastAsia="宋体" w:cs="宋体"/>
                <w:kern w:val="2"/>
                <w:sz w:val="24"/>
                <w:szCs w:val="24"/>
                <w:lang w:val="en-US" w:eastAsia="zh-CN" w:bidi="ar-SA"/>
              </w:rPr>
              <w:t>中的相关要求，对本项目产生的危险废物的</w:t>
            </w:r>
            <w:r>
              <w:rPr>
                <w:rFonts w:hint="eastAsia" w:ascii="宋体" w:hAnsi="宋体" w:cs="宋体"/>
                <w:kern w:val="2"/>
                <w:sz w:val="24"/>
                <w:szCs w:val="24"/>
                <w:lang w:val="en-US" w:eastAsia="zh-CN" w:bidi="ar-SA"/>
              </w:rPr>
              <w:t>收集、</w:t>
            </w:r>
            <w:r>
              <w:rPr>
                <w:rFonts w:hint="eastAsia" w:ascii="宋体" w:hAnsi="宋体" w:eastAsia="宋体" w:cs="宋体"/>
                <w:kern w:val="2"/>
                <w:sz w:val="24"/>
                <w:szCs w:val="24"/>
                <w:lang w:val="en-US" w:eastAsia="zh-CN" w:bidi="ar-SA"/>
              </w:rPr>
              <w:t xml:space="preserve">贮存和管理提出以下要求： </w:t>
            </w:r>
          </w:p>
          <w:p w14:paraId="79BF2C95">
            <w:pPr>
              <w:widowControl w:val="0"/>
              <w:spacing w:after="0"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Ⅰ</w:t>
            </w:r>
            <w:r>
              <w:rPr>
                <w:rFonts w:ascii="Times New Roman" w:hAnsi="Times New Roman" w:eastAsia="宋体" w:cs="Times New Roman"/>
                <w:kern w:val="2"/>
                <w:sz w:val="24"/>
                <w:szCs w:val="24"/>
                <w:lang w:val="en-US" w:eastAsia="zh-CN" w:bidi="ar-SA"/>
              </w:rPr>
              <w:t>.</w:t>
            </w:r>
            <w:r>
              <w:rPr>
                <w:rFonts w:ascii="Times New Roman" w:hAnsi="Times New Roman" w:eastAsia="宋体" w:cs="Times New Roman"/>
                <w:spacing w:val="-4"/>
                <w:kern w:val="2"/>
                <w:sz w:val="24"/>
                <w:szCs w:val="24"/>
                <w:lang w:val="en-US" w:eastAsia="zh-CN" w:bidi="ar-SA"/>
              </w:rPr>
              <w:t>禁止将相互反应的危险废物在同一容器内混装；装载液体、半固体危险废物的容器内需留有足够的空间，容器</w:t>
            </w:r>
            <w:r>
              <w:rPr>
                <w:rFonts w:ascii="Times New Roman" w:hAnsi="Times New Roman" w:eastAsia="宋体" w:cs="Times New Roman"/>
                <w:spacing w:val="-8"/>
                <w:kern w:val="2"/>
                <w:sz w:val="24"/>
                <w:szCs w:val="24"/>
                <w:lang w:val="en-US" w:eastAsia="zh-CN" w:bidi="ar-SA"/>
              </w:rPr>
              <w:t xml:space="preserve">顶部距液面之间的距离不得小于 </w:t>
            </w:r>
            <w:r>
              <w:rPr>
                <w:rFonts w:ascii="Times New Roman" w:hAnsi="Times New Roman" w:eastAsia="宋体" w:cs="Times New Roman"/>
                <w:kern w:val="2"/>
                <w:sz w:val="24"/>
                <w:szCs w:val="24"/>
                <w:lang w:val="en-US" w:eastAsia="zh-CN" w:bidi="ar-SA"/>
              </w:rPr>
              <w:t>100mm；</w:t>
            </w:r>
          </w:p>
          <w:p w14:paraId="329A7B7D">
            <w:pPr>
              <w:widowControl w:val="0"/>
              <w:spacing w:after="0" w:line="360" w:lineRule="auto"/>
              <w:ind w:firstLine="480" w:firstLineChars="200"/>
              <w:jc w:val="both"/>
              <w:textAlignment w:val="auto"/>
              <w:rPr>
                <w:rFonts w:ascii="Times New Roman" w:hAnsi="Times New Roman" w:eastAsia="宋体" w:cs="Times New Roman"/>
                <w:spacing w:val="-4"/>
                <w:kern w:val="2"/>
                <w:sz w:val="24"/>
                <w:szCs w:val="24"/>
                <w:lang w:val="en-US" w:eastAsia="zh-CN" w:bidi="ar-SA"/>
              </w:rPr>
            </w:pPr>
            <w:r>
              <w:rPr>
                <w:rFonts w:hint="eastAsia" w:ascii="宋体" w:hAnsi="宋体" w:eastAsia="宋体" w:cs="宋体"/>
                <w:kern w:val="2"/>
                <w:sz w:val="24"/>
                <w:szCs w:val="24"/>
                <w:lang w:val="en-US" w:eastAsia="zh-CN" w:bidi="ar-SA"/>
              </w:rPr>
              <w:t>Ⅱ</w:t>
            </w:r>
            <w:r>
              <w:rPr>
                <w:rFonts w:ascii="Times New Roman" w:hAnsi="Times New Roman" w:eastAsia="宋体" w:cs="Times New Roman"/>
                <w:kern w:val="2"/>
                <w:sz w:val="24"/>
                <w:szCs w:val="24"/>
                <w:lang w:val="en-US" w:eastAsia="zh-CN" w:bidi="ar-SA"/>
              </w:rPr>
              <w:t>.</w:t>
            </w:r>
            <w:r>
              <w:rPr>
                <w:rFonts w:ascii="Times New Roman" w:hAnsi="Times New Roman" w:eastAsia="宋体" w:cs="Times New Roman"/>
                <w:spacing w:val="-4"/>
                <w:kern w:val="2"/>
                <w:sz w:val="24"/>
                <w:szCs w:val="24"/>
                <w:lang w:val="en-US" w:eastAsia="zh-CN" w:bidi="ar-SA"/>
              </w:rPr>
              <w:t>使用符合标准的容器盛装危险废物，其材质强度满足贮存要求，同时，选用的材质必须不能与危险废物产生化学反应。</w:t>
            </w:r>
          </w:p>
          <w:p w14:paraId="05F5BD32">
            <w:pPr>
              <w:widowControl w:val="0"/>
              <w:spacing w:after="0" w:line="360" w:lineRule="auto"/>
              <w:ind w:firstLine="480" w:firstLineChars="200"/>
              <w:jc w:val="both"/>
              <w:textAlignment w:val="auto"/>
              <w:rPr>
                <w:rFonts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Ⅲ</w:t>
            </w:r>
            <w:r>
              <w:rPr>
                <w:rFonts w:ascii="Times New Roman" w:hAnsi="Times New Roman" w:eastAsia="宋体" w:cs="Times New Roman"/>
                <w:kern w:val="2"/>
                <w:sz w:val="24"/>
                <w:szCs w:val="24"/>
                <w:lang w:val="en-US" w:eastAsia="zh-CN" w:bidi="ar-SA"/>
              </w:rPr>
              <w:t>.</w:t>
            </w:r>
            <w:r>
              <w:rPr>
                <w:rFonts w:ascii="Times New Roman" w:hAnsi="Times New Roman" w:eastAsia="宋体" w:cs="Times New Roman"/>
                <w:spacing w:val="-4"/>
                <w:kern w:val="2"/>
                <w:sz w:val="24"/>
                <w:szCs w:val="24"/>
                <w:lang w:val="en-US" w:eastAsia="zh-CN" w:bidi="ar-SA"/>
              </w:rPr>
              <w:t>危险废物贮存场所的地面与群脚采用坚固、防渗材料建造，同时材料不能与废物产生化学反应。贮存厂房</w:t>
            </w:r>
            <w:r>
              <w:rPr>
                <w:rFonts w:ascii="Times New Roman" w:hAnsi="Times New Roman" w:eastAsia="宋体" w:cs="Times New Roman"/>
                <w:kern w:val="2"/>
                <w:sz w:val="24"/>
                <w:szCs w:val="24"/>
                <w:lang w:val="en-US" w:eastAsia="zh-CN" w:bidi="ar-SA"/>
              </w:rPr>
              <w:t>（仓库</w:t>
            </w:r>
            <w:r>
              <w:rPr>
                <w:rFonts w:hint="eastAsia"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上方设有排气系统，以保证贮存间内的空气质量。</w:t>
            </w:r>
          </w:p>
          <w:p w14:paraId="234CF7CF">
            <w:pPr>
              <w:widowControl w:val="0"/>
              <w:spacing w:after="0" w:line="360" w:lineRule="auto"/>
              <w:ind w:firstLine="480" w:firstLineChars="200"/>
              <w:jc w:val="both"/>
              <w:textAlignment w:val="auto"/>
              <w:rPr>
                <w:rFonts w:ascii="Times New Roman" w:hAnsi="Times New Roman" w:cs="Times New Roman"/>
                <w:sz w:val="24"/>
                <w:szCs w:val="24"/>
                <w:lang w:val="en-US" w:eastAsia="zh-CN"/>
              </w:rPr>
            </w:pPr>
            <w:r>
              <w:rPr>
                <w:rFonts w:hint="eastAsia" w:ascii="宋体" w:hAnsi="宋体" w:eastAsia="宋体" w:cs="宋体"/>
                <w:kern w:val="2"/>
                <w:sz w:val="24"/>
                <w:szCs w:val="24"/>
                <w:lang w:val="en-US" w:eastAsia="zh-CN" w:bidi="ar-SA"/>
              </w:rPr>
              <w:t>Ⅳ</w:t>
            </w:r>
            <w:r>
              <w:rPr>
                <w:rFonts w:ascii="Times New Roman" w:hAnsi="Times New Roman" w:eastAsia="宋体" w:cs="Times New Roman"/>
                <w:kern w:val="2"/>
                <w:sz w:val="24"/>
                <w:szCs w:val="24"/>
                <w:lang w:val="en-US" w:eastAsia="zh-CN" w:bidi="ar-SA"/>
              </w:rPr>
              <w:t>.</w:t>
            </w:r>
            <w:r>
              <w:rPr>
                <w:rFonts w:ascii="Times New Roman" w:hAnsi="Times New Roman" w:eastAsia="宋体" w:cs="Times New Roman"/>
                <w:spacing w:val="-4"/>
                <w:kern w:val="2"/>
                <w:sz w:val="24"/>
                <w:szCs w:val="24"/>
                <w:lang w:val="en-US" w:eastAsia="zh-CN" w:bidi="ar-SA"/>
              </w:rPr>
              <w:t>加强危险废物贮存设施的运行管理，作好危险废物的出入库管理记录和标识，定期检查危险废物包装容器的完好性，发现破损，及时采取措施本项目固体废物经上述“资源化、减量化、无害化”处置后，可将固废对周围环境产生的影响减少到最低限度，不会对周围环境产生明显的影响。</w:t>
            </w:r>
          </w:p>
          <w:p w14:paraId="0EDC345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eastAsia"/>
                <w:sz w:val="24"/>
                <w:szCs w:val="24"/>
                <w:lang w:val="en-US" w:eastAsia="zh-CN"/>
              </w:rPr>
              <w:t>移出人应当履行以下义务：</w:t>
            </w:r>
          </w:p>
          <w:p w14:paraId="0CB63A94">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ascii="宋体" w:hAnsi="宋体" w:eastAsia="宋体" w:cs="宋体"/>
                <w:kern w:val="2"/>
                <w:sz w:val="24"/>
                <w:szCs w:val="24"/>
                <w:lang w:val="en-US" w:eastAsia="zh-CN" w:bidi="ar-SA"/>
              </w:rPr>
              <w:t>Ⅰ</w:t>
            </w:r>
            <w:r>
              <w:rPr>
                <w:rFonts w:ascii="Times New Roman" w:hAnsi="Times New Roman" w:eastAsia="宋体" w:cs="Times New Roman"/>
                <w:kern w:val="2"/>
                <w:sz w:val="24"/>
                <w:szCs w:val="24"/>
                <w:lang w:val="en-US" w:eastAsia="zh-CN" w:bidi="ar-SA"/>
              </w:rPr>
              <w:t>.</w:t>
            </w:r>
            <w:r>
              <w:rPr>
                <w:rFonts w:hint="eastAsia"/>
                <w:sz w:val="24"/>
                <w:szCs w:val="24"/>
                <w:lang w:val="en-US" w:eastAsia="zh-CN"/>
              </w:rPr>
              <w:t>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53187F6B">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ascii="宋体" w:hAnsi="宋体" w:eastAsia="宋体" w:cs="宋体"/>
                <w:kern w:val="2"/>
                <w:sz w:val="24"/>
                <w:szCs w:val="24"/>
                <w:lang w:val="en-US" w:eastAsia="zh-CN" w:bidi="ar-SA"/>
              </w:rPr>
              <w:t>Ⅱ</w:t>
            </w:r>
            <w:r>
              <w:rPr>
                <w:rFonts w:ascii="Times New Roman" w:hAnsi="Times New Roman" w:eastAsia="宋体" w:cs="Times New Roman"/>
                <w:kern w:val="2"/>
                <w:sz w:val="24"/>
                <w:szCs w:val="24"/>
                <w:lang w:val="en-US" w:eastAsia="zh-CN" w:bidi="ar-SA"/>
              </w:rPr>
              <w:t>.</w:t>
            </w:r>
            <w:r>
              <w:rPr>
                <w:rFonts w:hint="eastAsia"/>
                <w:sz w:val="24"/>
                <w:szCs w:val="24"/>
                <w:lang w:val="en-US" w:eastAsia="zh-CN"/>
              </w:rPr>
              <w:t>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14:paraId="0CE25516">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ascii="宋体" w:hAnsi="宋体" w:eastAsia="宋体" w:cs="宋体"/>
                <w:kern w:val="2"/>
                <w:sz w:val="24"/>
                <w:szCs w:val="24"/>
                <w:lang w:val="en-US" w:eastAsia="zh-CN" w:bidi="ar-SA"/>
              </w:rPr>
              <w:t>Ⅲ</w:t>
            </w:r>
            <w:r>
              <w:rPr>
                <w:rFonts w:ascii="Times New Roman" w:hAnsi="Times New Roman" w:eastAsia="宋体" w:cs="Times New Roman"/>
                <w:kern w:val="2"/>
                <w:sz w:val="24"/>
                <w:szCs w:val="24"/>
                <w:lang w:val="en-US" w:eastAsia="zh-CN" w:bidi="ar-SA"/>
              </w:rPr>
              <w:t>.</w:t>
            </w:r>
            <w:r>
              <w:rPr>
                <w:rFonts w:hint="eastAsia"/>
                <w:sz w:val="24"/>
                <w:szCs w:val="24"/>
                <w:lang w:val="en-US" w:eastAsia="zh-CN"/>
              </w:rPr>
              <w:t>联单保存期限为五年；贮存危险废物的，其联单保存期限与危险废物贮存期限相同。环境保护行政主管部门认为有必要延长联单保存期限的，产生单位、运输单位和接受单位应当按照要求延期保存联单。</w:t>
            </w:r>
          </w:p>
          <w:p w14:paraId="59C9ABD2">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ascii="宋体" w:hAnsi="宋体" w:eastAsia="宋体" w:cs="宋体"/>
                <w:kern w:val="2"/>
                <w:sz w:val="24"/>
                <w:szCs w:val="24"/>
                <w:lang w:val="en-US" w:eastAsia="zh-CN" w:bidi="ar-SA"/>
              </w:rPr>
              <w:t>Ⅳ</w:t>
            </w:r>
            <w:r>
              <w:rPr>
                <w:rFonts w:ascii="Times New Roman" w:hAnsi="Times New Roman" w:eastAsia="宋体" w:cs="Times New Roman"/>
                <w:kern w:val="2"/>
                <w:sz w:val="24"/>
                <w:szCs w:val="24"/>
                <w:lang w:val="en-US" w:eastAsia="zh-CN" w:bidi="ar-SA"/>
              </w:rPr>
              <w:t>.</w:t>
            </w:r>
            <w:r>
              <w:rPr>
                <w:rFonts w:hint="eastAsia"/>
                <w:sz w:val="24"/>
                <w:szCs w:val="24"/>
                <w:lang w:val="en-US" w:eastAsia="zh-CN"/>
              </w:rPr>
              <w:t>对承运人或者接受人的主体资格和技术能力进行核实，依法签订书面合同，并在合同中约定运输、贮存、利用、处置危险废物的污染防治要求及相关责任；</w:t>
            </w:r>
          </w:p>
          <w:p w14:paraId="09F425EA">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5 \* ROMAN \* MERGEFORMAT </w:instrText>
            </w:r>
            <w:r>
              <w:rPr>
                <w:rFonts w:hint="eastAsia"/>
                <w:sz w:val="24"/>
                <w:szCs w:val="24"/>
                <w:lang w:val="en-US" w:eastAsia="zh-CN"/>
              </w:rPr>
              <w:fldChar w:fldCharType="separate"/>
            </w:r>
            <w:r>
              <w:rPr>
                <w:sz w:val="24"/>
                <w:szCs w:val="24"/>
              </w:rPr>
              <w:t>V</w:t>
            </w:r>
            <w:r>
              <w:rPr>
                <w:rFonts w:hint="eastAsia"/>
                <w:sz w:val="24"/>
                <w:szCs w:val="24"/>
                <w:lang w:val="en-US" w:eastAsia="zh-CN"/>
              </w:rPr>
              <w:fldChar w:fldCharType="end"/>
            </w:r>
            <w:r>
              <w:rPr>
                <w:rFonts w:hint="eastAsia"/>
                <w:sz w:val="24"/>
                <w:szCs w:val="24"/>
                <w:lang w:val="en-US" w:eastAsia="zh-CN"/>
              </w:rPr>
              <w:t>.制定危险废物管理计划，明确拟转移危险废物的种类、重量（数量）和流向等信息；</w:t>
            </w:r>
          </w:p>
          <w:p w14:paraId="46807753">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6 \* ROMAN \* MERGEFORMAT </w:instrText>
            </w:r>
            <w:r>
              <w:rPr>
                <w:rFonts w:hint="eastAsia"/>
                <w:sz w:val="24"/>
                <w:szCs w:val="24"/>
                <w:lang w:val="en-US" w:eastAsia="zh-CN"/>
              </w:rPr>
              <w:fldChar w:fldCharType="separate"/>
            </w:r>
            <w:r>
              <w:rPr>
                <w:sz w:val="24"/>
                <w:szCs w:val="24"/>
              </w:rPr>
              <w:t>VI</w:t>
            </w:r>
            <w:r>
              <w:rPr>
                <w:rFonts w:hint="eastAsia"/>
                <w:sz w:val="24"/>
                <w:szCs w:val="24"/>
                <w:lang w:val="en-US" w:eastAsia="zh-CN"/>
              </w:rPr>
              <w:fldChar w:fldCharType="end"/>
            </w:r>
            <w:r>
              <w:rPr>
                <w:rFonts w:hint="eastAsia"/>
                <w:sz w:val="24"/>
                <w:szCs w:val="24"/>
                <w:lang w:val="en-US" w:eastAsia="zh-CN"/>
              </w:rPr>
              <w:t>.建立危险废物管理台账，对转移的危险废物进行计量称重，如实记录、妥善保管转移危险废物的种类、重量（数量）和接受人等相关信息；</w:t>
            </w:r>
          </w:p>
          <w:p w14:paraId="1EC69ECB">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7 \* ROMAN \* MERGEFORMAT </w:instrText>
            </w:r>
            <w:r>
              <w:rPr>
                <w:rFonts w:hint="eastAsia"/>
                <w:sz w:val="24"/>
                <w:szCs w:val="24"/>
                <w:lang w:val="en-US" w:eastAsia="zh-CN"/>
              </w:rPr>
              <w:fldChar w:fldCharType="separate"/>
            </w:r>
            <w:r>
              <w:rPr>
                <w:sz w:val="24"/>
                <w:szCs w:val="24"/>
              </w:rPr>
              <w:t>VII</w:t>
            </w:r>
            <w:r>
              <w:rPr>
                <w:rFonts w:hint="eastAsia"/>
                <w:sz w:val="24"/>
                <w:szCs w:val="24"/>
                <w:lang w:val="en-US" w:eastAsia="zh-CN"/>
              </w:rPr>
              <w:fldChar w:fldCharType="end"/>
            </w:r>
            <w:r>
              <w:rPr>
                <w:rFonts w:hint="eastAsia"/>
                <w:sz w:val="24"/>
                <w:szCs w:val="24"/>
                <w:lang w:val="en-US" w:eastAsia="zh-CN"/>
              </w:rPr>
              <w:t>.填写、运行危险废物转移联单，在危险废物转移联单中如实填写移出人、承运人、接受人信息，转移危险废物的种类、重量（数量）、危险特性等信息，以及突发环境事件的防范措施等；</w:t>
            </w:r>
          </w:p>
          <w:p w14:paraId="3B184465">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8 \* ROMAN \* MERGEFORMAT </w:instrText>
            </w:r>
            <w:r>
              <w:rPr>
                <w:rFonts w:hint="eastAsia"/>
                <w:sz w:val="24"/>
                <w:szCs w:val="24"/>
                <w:lang w:val="en-US" w:eastAsia="zh-CN"/>
              </w:rPr>
              <w:fldChar w:fldCharType="separate"/>
            </w:r>
            <w:r>
              <w:rPr>
                <w:sz w:val="24"/>
                <w:szCs w:val="24"/>
              </w:rPr>
              <w:t>VIII</w:t>
            </w:r>
            <w:r>
              <w:rPr>
                <w:rFonts w:hint="eastAsia"/>
                <w:sz w:val="24"/>
                <w:szCs w:val="24"/>
                <w:lang w:val="en-US" w:eastAsia="zh-CN"/>
              </w:rPr>
              <w:fldChar w:fldCharType="end"/>
            </w:r>
            <w:r>
              <w:rPr>
                <w:rFonts w:hint="eastAsia"/>
                <w:sz w:val="24"/>
                <w:szCs w:val="24"/>
                <w:lang w:val="en-US" w:eastAsia="zh-CN"/>
              </w:rPr>
              <w:t>.危险废物存入贮存设施前应对危险废物类别和特性与危险废物标签等危险废物识别标志的一致性进行核验，不一致的或类别、特性不明的不应存入。</w:t>
            </w:r>
          </w:p>
          <w:p w14:paraId="78462189">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9 \* ROMAN \* MERGEFORMAT </w:instrText>
            </w:r>
            <w:r>
              <w:rPr>
                <w:rFonts w:hint="eastAsia"/>
                <w:sz w:val="24"/>
                <w:szCs w:val="24"/>
                <w:lang w:val="en-US" w:eastAsia="zh-CN"/>
              </w:rPr>
              <w:fldChar w:fldCharType="separate"/>
            </w:r>
            <w:r>
              <w:rPr>
                <w:sz w:val="24"/>
                <w:szCs w:val="24"/>
              </w:rPr>
              <w:t>IX</w:t>
            </w:r>
            <w:r>
              <w:rPr>
                <w:rFonts w:hint="eastAsia"/>
                <w:sz w:val="24"/>
                <w:szCs w:val="24"/>
                <w:lang w:val="en-US" w:eastAsia="zh-CN"/>
              </w:rPr>
              <w:fldChar w:fldCharType="end"/>
            </w:r>
            <w:r>
              <w:rPr>
                <w:rFonts w:hint="eastAsia"/>
                <w:sz w:val="24"/>
                <w:szCs w:val="24"/>
                <w:lang w:val="en-US" w:eastAsia="zh-CN"/>
              </w:rPr>
              <w:t>.应定期检查危险废物的贮存状况，及时清理贮存设施地面，更换破损泄漏的危险废物贮存容器和包装物，保证堆存危险废物的防雨、防风、防扬尘等设施功能完好。</w:t>
            </w:r>
          </w:p>
          <w:p w14:paraId="0DD83B2E">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10 \* ROMAN \* MERGEFORMAT </w:instrText>
            </w:r>
            <w:r>
              <w:rPr>
                <w:rFonts w:hint="eastAsia"/>
                <w:sz w:val="24"/>
                <w:szCs w:val="24"/>
                <w:lang w:val="en-US" w:eastAsia="zh-CN"/>
              </w:rPr>
              <w:fldChar w:fldCharType="separate"/>
            </w:r>
            <w:r>
              <w:rPr>
                <w:sz w:val="24"/>
                <w:szCs w:val="24"/>
              </w:rPr>
              <w:t>X</w:t>
            </w:r>
            <w:r>
              <w:rPr>
                <w:rFonts w:hint="eastAsia"/>
                <w:sz w:val="24"/>
                <w:szCs w:val="24"/>
                <w:lang w:val="en-US" w:eastAsia="zh-CN"/>
              </w:rPr>
              <w:fldChar w:fldCharType="end"/>
            </w:r>
            <w:r>
              <w:rPr>
                <w:rFonts w:hint="eastAsia"/>
                <w:sz w:val="24"/>
                <w:szCs w:val="24"/>
                <w:lang w:val="en-US" w:eastAsia="zh-CN"/>
              </w:rPr>
              <w:t>.贮存设施所有者或运营者应建立贮存设施环境管理制度、管理人员岗位职责制度、设施运行操作制度、人员岗位培训制度等。</w:t>
            </w:r>
          </w:p>
          <w:p w14:paraId="5970EEF3">
            <w:pPr>
              <w:pStyle w:val="8"/>
              <w:keepNext w:val="0"/>
              <w:keepLines w:val="0"/>
              <w:pageBreakBefore w:val="0"/>
              <w:widowControl w:val="0"/>
              <w:kinsoku/>
              <w:wordWrap/>
              <w:overflowPunct/>
              <w:topLinePunct w:val="0"/>
              <w:autoSpaceDE/>
              <w:autoSpaceDN/>
              <w:bidi w:val="0"/>
              <w:adjustRightInd/>
              <w:snapToGrid w:val="0"/>
              <w:spacing w:after="0" w:afterAutospacing="0" w:line="360" w:lineRule="auto"/>
              <w:ind w:left="0" w:leftChars="0" w:firstLine="480" w:firstLineChars="200"/>
              <w:textAlignment w:val="auto"/>
              <w:rPr>
                <w:rFonts w:hint="eastAsia"/>
                <w:sz w:val="24"/>
                <w:szCs w:val="24"/>
                <w:lang w:val="en-US" w:eastAsia="zh-CN"/>
              </w:rPr>
            </w:pPr>
            <w:r>
              <w:rPr>
                <w:rFonts w:hint="default"/>
                <w:sz w:val="24"/>
                <w:szCs w:val="24"/>
                <w:lang w:val="en-US" w:eastAsia="zh-CN"/>
              </w:rPr>
              <w:fldChar w:fldCharType="begin"/>
            </w:r>
            <w:r>
              <w:rPr>
                <w:rFonts w:hint="default"/>
                <w:sz w:val="24"/>
                <w:szCs w:val="24"/>
                <w:lang w:val="en-US" w:eastAsia="zh-CN"/>
              </w:rPr>
              <w:instrText xml:space="preserve"> = 11 \* ROMAN \* MERGEFORMAT </w:instrText>
            </w:r>
            <w:r>
              <w:rPr>
                <w:rFonts w:hint="default"/>
                <w:sz w:val="24"/>
                <w:szCs w:val="24"/>
                <w:lang w:val="en-US" w:eastAsia="zh-CN"/>
              </w:rPr>
              <w:fldChar w:fldCharType="separate"/>
            </w:r>
            <w:r>
              <w:rPr>
                <w:sz w:val="24"/>
                <w:szCs w:val="24"/>
              </w:rPr>
              <w:t>XI</w:t>
            </w:r>
            <w:r>
              <w:rPr>
                <w:rFonts w:hint="default"/>
                <w:sz w:val="24"/>
                <w:szCs w:val="24"/>
                <w:lang w:val="en-US" w:eastAsia="zh-CN"/>
              </w:rPr>
              <w:fldChar w:fldCharType="end"/>
            </w:r>
            <w:r>
              <w:rPr>
                <w:rFonts w:hint="eastAsia"/>
                <w:sz w:val="24"/>
                <w:szCs w:val="24"/>
                <w:lang w:val="en-US" w:eastAsia="zh-CN"/>
              </w:rPr>
              <w:t>.贮存设施所有者或运营者应按照国家有关规定编制突发环境事件应急预案，定期开展必要的培训和环境应急演练，并做好培训、演练记录。</w:t>
            </w:r>
          </w:p>
          <w:p w14:paraId="3A75BB9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kern w:val="0"/>
                <w:sz w:val="24"/>
                <w:lang w:val="en-US" w:eastAsia="zh-CN" w:bidi="ar"/>
              </w:rPr>
            </w:pPr>
            <w:r>
              <w:rPr>
                <w:rFonts w:hint="eastAsia"/>
                <w:sz w:val="24"/>
                <w:szCs w:val="24"/>
                <w:lang w:val="en-US" w:eastAsia="zh-CN"/>
              </w:rPr>
              <w:t>拟建项目经严格参照本环评提出的相关措施，危废暂存间废液、固废分类管理能够满足生态环境保护管理要求。</w:t>
            </w:r>
          </w:p>
          <w:p w14:paraId="4344361C">
            <w:pPr>
              <w:pStyle w:val="5"/>
              <w:ind w:firstLine="482"/>
              <w:rPr>
                <w:rFonts w:hint="default" w:eastAsia="宋体"/>
                <w:szCs w:val="24"/>
                <w:lang w:val="en-US" w:eastAsia="zh-CN"/>
              </w:rPr>
            </w:pPr>
            <w:r>
              <w:rPr>
                <w:szCs w:val="24"/>
              </w:rPr>
              <w:t>5、地下水环境影响分析</w:t>
            </w:r>
          </w:p>
          <w:p w14:paraId="45D77ABE">
            <w:pPr>
              <w:pStyle w:val="17"/>
              <w:adjustRightInd w:val="0"/>
              <w:snapToGrid w:val="0"/>
              <w:spacing w:line="360" w:lineRule="auto"/>
              <w:ind w:left="0" w:leftChars="0" w:firstLine="480" w:firstLineChars="200"/>
            </w:pPr>
            <w:r>
              <w:t>（1</w:t>
            </w:r>
            <w:r>
              <w:rPr>
                <w:rFonts w:hint="eastAsia"/>
                <w:lang w:eastAsia="zh-CN"/>
              </w:rPr>
              <w:t>）</w:t>
            </w:r>
            <w:r>
              <w:t>项目概况及可能影响地下水的途径</w:t>
            </w:r>
          </w:p>
          <w:p w14:paraId="2B2C17CA">
            <w:pPr>
              <w:pStyle w:val="17"/>
              <w:adjustRightInd w:val="0"/>
              <w:snapToGrid w:val="0"/>
              <w:spacing w:line="360" w:lineRule="auto"/>
              <w:ind w:left="0" w:leftChars="0" w:firstLine="480" w:firstLineChars="200"/>
            </w:pPr>
            <w:r>
              <w:t>1</w:t>
            </w:r>
            <w:r>
              <w:rPr>
                <w:rFonts w:hint="eastAsia"/>
                <w:lang w:eastAsia="zh-CN"/>
              </w:rPr>
              <w:t>）</w:t>
            </w:r>
            <w:r>
              <w:t>项目概况</w:t>
            </w:r>
          </w:p>
          <w:p w14:paraId="5BCCB354">
            <w:pPr>
              <w:pStyle w:val="17"/>
              <w:adjustRightInd w:val="0"/>
              <w:snapToGrid w:val="0"/>
              <w:spacing w:line="360" w:lineRule="auto"/>
              <w:ind w:left="0" w:leftChars="0" w:firstLine="480" w:firstLineChars="200"/>
            </w:pPr>
            <w:r>
              <w:t>本次新建</w:t>
            </w:r>
            <w:r>
              <w:rPr>
                <w:rFonts w:hint="eastAsia"/>
                <w:szCs w:val="24"/>
                <w:lang w:val="en-US" w:eastAsia="zh-CN"/>
              </w:rPr>
              <w:t>速冻食品加工车间1座、办公室1座，危废贮存间1间和配套污水处理站1座及配套设施</w:t>
            </w:r>
            <w:r>
              <w:t>。</w:t>
            </w:r>
          </w:p>
          <w:p w14:paraId="2622115B">
            <w:pPr>
              <w:pStyle w:val="17"/>
              <w:adjustRightInd w:val="0"/>
              <w:snapToGrid w:val="0"/>
              <w:spacing w:line="360" w:lineRule="auto"/>
              <w:ind w:left="0" w:leftChars="0" w:firstLine="480" w:firstLineChars="200"/>
            </w:pPr>
            <w:r>
              <w:t>2</w:t>
            </w:r>
            <w:r>
              <w:rPr>
                <w:rFonts w:hint="eastAsia"/>
                <w:lang w:eastAsia="zh-CN"/>
              </w:rPr>
              <w:t>）</w:t>
            </w:r>
            <w:r>
              <w:t>项目可能影响地下水的途径</w:t>
            </w:r>
          </w:p>
          <w:p w14:paraId="49DC35C7">
            <w:pPr>
              <w:pStyle w:val="17"/>
              <w:adjustRightInd w:val="0"/>
              <w:snapToGrid w:val="0"/>
              <w:spacing w:line="360" w:lineRule="auto"/>
              <w:ind w:left="0" w:leftChars="0" w:firstLine="480" w:firstLineChars="200"/>
            </w:pPr>
            <w:r>
              <w:t>通过分析，本项目可能对地下水造成影响的生产单元和环节主要在污水处理站</w:t>
            </w:r>
            <w:r>
              <w:rPr>
                <w:rFonts w:hint="eastAsia"/>
                <w:lang w:val="en-US" w:eastAsia="zh-CN"/>
              </w:rPr>
              <w:t>和危废贮存间</w:t>
            </w:r>
            <w:r>
              <w:t>，在构筑物防渗措施不到位，池体、地面发生破损时，可能对区域地下水水质造成影响。</w:t>
            </w:r>
          </w:p>
          <w:p w14:paraId="1C1AEFF7">
            <w:pPr>
              <w:pStyle w:val="17"/>
              <w:adjustRightInd w:val="0"/>
              <w:snapToGrid w:val="0"/>
              <w:spacing w:line="360" w:lineRule="auto"/>
              <w:ind w:left="0" w:leftChars="0" w:firstLine="480" w:firstLineChars="200"/>
            </w:pPr>
            <w:r>
              <w:t>（2</w:t>
            </w:r>
            <w:r>
              <w:rPr>
                <w:rFonts w:hint="eastAsia"/>
                <w:lang w:eastAsia="zh-CN"/>
              </w:rPr>
              <w:t>）</w:t>
            </w:r>
            <w:r>
              <w:t>地下水防渗原则</w:t>
            </w:r>
          </w:p>
          <w:p w14:paraId="0419B1C1">
            <w:pPr>
              <w:pStyle w:val="17"/>
              <w:adjustRightInd w:val="0"/>
              <w:snapToGrid w:val="0"/>
              <w:spacing w:line="360" w:lineRule="auto"/>
              <w:ind w:left="0" w:leftChars="0" w:firstLine="480" w:firstLineChars="200"/>
              <w:rPr>
                <w:rFonts w:hint="default" w:eastAsia="宋体"/>
                <w:lang w:val="en-US" w:eastAsia="zh-CN"/>
              </w:rPr>
            </w:pPr>
            <w:r>
              <w:t>1</w:t>
            </w:r>
            <w:r>
              <w:rPr>
                <w:rFonts w:hint="eastAsia"/>
                <w:lang w:eastAsia="zh-CN"/>
              </w:rPr>
              <w:t>）</w:t>
            </w:r>
            <w:r>
              <w:t>地下水防渗原则</w:t>
            </w:r>
          </w:p>
          <w:p w14:paraId="61C41706">
            <w:pPr>
              <w:pStyle w:val="17"/>
              <w:adjustRightInd w:val="0"/>
              <w:snapToGrid w:val="0"/>
              <w:spacing w:line="360" w:lineRule="auto"/>
              <w:ind w:left="0" w:leftChars="0" w:firstLine="480" w:firstLineChars="200"/>
            </w:pPr>
            <w:r>
              <w:t>针对项目可能发生的地下水污染，地下水污染防治措施按照</w:t>
            </w:r>
            <w:r>
              <w:rPr>
                <w:rFonts w:hint="eastAsia"/>
                <w:lang w:eastAsia="zh-CN"/>
              </w:rPr>
              <w:t>“</w:t>
            </w:r>
            <w:r>
              <w:t>源头控制、末端防治污染监控、应急响应</w:t>
            </w:r>
            <w:r>
              <w:rPr>
                <w:rFonts w:hint="eastAsia"/>
                <w:lang w:eastAsia="zh-CN"/>
              </w:rPr>
              <w:t>”</w:t>
            </w:r>
            <w:r>
              <w:t>相结合的原则，从污染物的产生、入渗、扩散、应急响应全阶段进行控制。</w:t>
            </w:r>
          </w:p>
          <w:p w14:paraId="7B8C2B05">
            <w:pPr>
              <w:pStyle w:val="17"/>
              <w:adjustRightInd w:val="0"/>
              <w:snapToGrid w:val="0"/>
              <w:spacing w:line="360" w:lineRule="auto"/>
              <w:ind w:left="0" w:leftChars="0" w:firstLine="480" w:firstLineChars="200"/>
            </w:pPr>
            <w:r>
              <w:rPr>
                <w:rFonts w:hint="eastAsia" w:ascii="宋体" w:hAnsi="宋体" w:cs="宋体"/>
              </w:rPr>
              <w:t>①</w:t>
            </w:r>
            <w:r>
              <w:t>源头控制措施：主要包括危废的收集、贮存和转运过程，采取相应措施，防止和降低污染物跑、冒、滴、漏，将污染物泄漏的环境风险事故降到最低程度，做到污染物</w:t>
            </w:r>
            <w:r>
              <w:rPr>
                <w:rFonts w:hint="eastAsia"/>
                <w:lang w:eastAsia="zh-CN"/>
              </w:rPr>
              <w:t>“</w:t>
            </w:r>
            <w:r>
              <w:t>早发现、早处理</w:t>
            </w:r>
            <w:r>
              <w:rPr>
                <w:rFonts w:hint="eastAsia"/>
                <w:lang w:eastAsia="zh-CN"/>
              </w:rPr>
              <w:t>”</w:t>
            </w:r>
            <w:r>
              <w:t>。</w:t>
            </w:r>
          </w:p>
          <w:p w14:paraId="69FF8F37">
            <w:pPr>
              <w:pStyle w:val="17"/>
              <w:adjustRightInd w:val="0"/>
              <w:snapToGrid w:val="0"/>
              <w:spacing w:line="360" w:lineRule="auto"/>
              <w:ind w:left="0" w:leftChars="0" w:firstLine="480" w:firstLineChars="200"/>
            </w:pPr>
            <w:r>
              <w:rPr>
                <w:rFonts w:hint="eastAsia" w:ascii="宋体" w:hAnsi="宋体" w:cs="宋体"/>
              </w:rPr>
              <w:t>②</w:t>
            </w:r>
            <w:r>
              <w:t>末端控制措施：主要包括项目区地面的防渗措施和泄漏、渗漏污染物收集措施，即在污染区地面进行防渗处理，防止洒落地面的污染物渗入地下，并及时把滞留在地面的污染物收集起来，再做进一步的处理。</w:t>
            </w:r>
          </w:p>
          <w:p w14:paraId="78D9C05D">
            <w:pPr>
              <w:pStyle w:val="17"/>
              <w:adjustRightInd w:val="0"/>
              <w:snapToGrid w:val="0"/>
              <w:spacing w:line="360" w:lineRule="auto"/>
              <w:ind w:left="0" w:leftChars="0" w:firstLine="480" w:firstLineChars="200"/>
            </w:pPr>
            <w:r>
              <w:rPr>
                <w:rFonts w:hint="eastAsia" w:ascii="宋体" w:hAnsi="宋体" w:cs="宋体"/>
              </w:rPr>
              <w:t>③</w:t>
            </w:r>
            <w:r>
              <w:t>应急响应措施：包括一旦发现地下水污染事故，立即启动应急预案、采取应急措施控制地下水污染，并使污染得到治理。</w:t>
            </w:r>
          </w:p>
          <w:p w14:paraId="1EA89FC0">
            <w:pPr>
              <w:pStyle w:val="17"/>
              <w:adjustRightInd w:val="0"/>
              <w:snapToGrid w:val="0"/>
              <w:spacing w:line="360" w:lineRule="auto"/>
              <w:ind w:left="0" w:leftChars="0" w:firstLine="480" w:firstLineChars="200"/>
            </w:pPr>
            <w:r>
              <w:t>2</w:t>
            </w:r>
            <w:r>
              <w:rPr>
                <w:rFonts w:hint="eastAsia"/>
                <w:lang w:eastAsia="zh-CN"/>
              </w:rPr>
              <w:t>）</w:t>
            </w:r>
            <w:r>
              <w:t>应急措施</w:t>
            </w:r>
          </w:p>
          <w:p w14:paraId="0D46A3DD">
            <w:pPr>
              <w:pStyle w:val="17"/>
              <w:adjustRightInd w:val="0"/>
              <w:snapToGrid w:val="0"/>
              <w:spacing w:line="360" w:lineRule="auto"/>
              <w:ind w:left="0" w:leftChars="0" w:firstLine="480" w:firstLineChars="200"/>
            </w:pPr>
            <w:r>
              <w:t>根据项目区可能泄漏至地面区域污染物的性质和各生产单元的构筑方式，将项目区划分为非污染防治区、一般污染防治区和重点污染防治区。根据本项目特点，将污水</w:t>
            </w:r>
            <w:r>
              <w:rPr>
                <w:rFonts w:hint="eastAsia"/>
                <w:lang w:val="en-US" w:eastAsia="zh-CN"/>
              </w:rPr>
              <w:t>处理站</w:t>
            </w:r>
            <w:r>
              <w:t>和危废</w:t>
            </w:r>
            <w:r>
              <w:rPr>
                <w:rFonts w:hint="eastAsia"/>
                <w:lang w:val="en-US" w:eastAsia="zh-CN"/>
              </w:rPr>
              <w:t>贮存间</w:t>
            </w:r>
            <w:r>
              <w:t>设置为重点防渗区域。</w:t>
            </w:r>
          </w:p>
          <w:p w14:paraId="7055E849">
            <w:pPr>
              <w:pStyle w:val="17"/>
              <w:adjustRightInd w:val="0"/>
              <w:snapToGrid w:val="0"/>
              <w:spacing w:line="360" w:lineRule="auto"/>
              <w:ind w:left="0" w:leftChars="0" w:firstLine="480" w:firstLineChars="200"/>
            </w:pPr>
            <w:r>
              <w:t>（3</w:t>
            </w:r>
            <w:r>
              <w:rPr>
                <w:rFonts w:hint="eastAsia"/>
                <w:lang w:eastAsia="zh-CN"/>
              </w:rPr>
              <w:t>）</w:t>
            </w:r>
            <w:r>
              <w:t>地下水环境影响评价</w:t>
            </w:r>
          </w:p>
          <w:p w14:paraId="49B75089">
            <w:pPr>
              <w:pStyle w:val="17"/>
              <w:adjustRightInd w:val="0"/>
              <w:snapToGrid w:val="0"/>
              <w:spacing w:line="360" w:lineRule="auto"/>
              <w:ind w:left="0" w:leftChars="0" w:firstLine="480" w:firstLineChars="200"/>
            </w:pPr>
            <w:r>
              <w:t>本项目正常运营过程中不会对所在区域地下水位产生影响，潜在影响主要来自污水站池体破损废水进入地下或危险废物暂存间防渗层破损，进而对地下水水质产生影响。</w:t>
            </w:r>
          </w:p>
          <w:p w14:paraId="55003DFC">
            <w:pPr>
              <w:pStyle w:val="17"/>
              <w:adjustRightInd w:val="0"/>
              <w:snapToGrid w:val="0"/>
              <w:spacing w:line="360" w:lineRule="auto"/>
              <w:ind w:left="0" w:leftChars="0" w:firstLine="480" w:firstLineChars="200"/>
            </w:pPr>
            <w:r>
              <w:t>根据不同的污染防治区采取相应的防渗措施，重点防渗区主要为污水处理站，防渗层防渗性能至少为等效黏土防渗层Mb≥6.0米、K≤1.0×10</w:t>
            </w:r>
            <w:r>
              <w:rPr>
                <w:vertAlign w:val="superscript"/>
              </w:rPr>
              <w:t>-7</w:t>
            </w:r>
            <w:r>
              <w:t>厘米/秒的防渗性能；一般防渗区包括生产厂房，防渗层防渗性能至少为等效黏土防渗层Mb≥1.5米、K≤1.0×10</w:t>
            </w:r>
            <w:r>
              <w:rPr>
                <w:vertAlign w:val="superscript"/>
              </w:rPr>
              <w:t>-7</w:t>
            </w:r>
            <w:r>
              <w:t>厘米/秒的防渗性能；简单防渗区主要包括</w:t>
            </w:r>
            <w:r>
              <w:rPr>
                <w:rFonts w:hint="eastAsia"/>
                <w:lang w:val="en-US" w:eastAsia="zh-CN"/>
              </w:rPr>
              <w:t>项目区</w:t>
            </w:r>
            <w:r>
              <w:t>道路、办公区、绿化带，采取一般性的地面硬化措施。生产运行过程中强化监控手段，定期检查，杜绝厂区内有事故性排放点源的存在，减少环境风险，同时严防危险废物原料、产品的跑、冒、滴、漏，保护项目区地下水资源。</w:t>
            </w:r>
          </w:p>
          <w:p w14:paraId="5F565C09">
            <w:pPr>
              <w:pStyle w:val="17"/>
              <w:adjustRightInd w:val="0"/>
              <w:snapToGrid w:val="0"/>
              <w:spacing w:line="360" w:lineRule="auto"/>
              <w:ind w:left="0" w:leftChars="0" w:firstLine="480" w:firstLineChars="200"/>
            </w:pPr>
            <w:r>
              <w:t>建设单位需加强</w:t>
            </w:r>
            <w:r>
              <w:rPr>
                <w:rFonts w:hint="eastAsia"/>
                <w:lang w:val="en-US" w:eastAsia="zh-CN"/>
              </w:rPr>
              <w:t>配套污水处理站</w:t>
            </w:r>
            <w:r>
              <w:t>日常管理，严格防渗防漏，避免由于雨水淋溶、渗透等原因对地下水环境产生不利影响。</w:t>
            </w:r>
          </w:p>
          <w:p w14:paraId="3F5A9CE7">
            <w:pPr>
              <w:pStyle w:val="5"/>
              <w:ind w:firstLine="482"/>
              <w:rPr>
                <w:rFonts w:hint="eastAsia" w:eastAsia="宋体"/>
                <w:szCs w:val="24"/>
                <w:lang w:val="en-US" w:eastAsia="zh-CN"/>
              </w:rPr>
            </w:pPr>
            <w:r>
              <w:rPr>
                <w:szCs w:val="24"/>
              </w:rPr>
              <w:t>6、土壤环境影响分析</w:t>
            </w:r>
          </w:p>
          <w:p w14:paraId="01436392">
            <w:pPr>
              <w:adjustRightInd w:val="0"/>
              <w:snapToGrid w:val="0"/>
              <w:spacing w:line="360" w:lineRule="auto"/>
              <w:ind w:firstLine="480" w:firstLineChars="200"/>
              <w:rPr>
                <w:kern w:val="0"/>
                <w:sz w:val="24"/>
                <w:lang w:bidi="ar"/>
              </w:rPr>
            </w:pPr>
            <w:r>
              <w:rPr>
                <w:kern w:val="0"/>
                <w:sz w:val="24"/>
                <w:lang w:bidi="ar"/>
              </w:rPr>
              <w:t>（1</w:t>
            </w:r>
            <w:r>
              <w:rPr>
                <w:rFonts w:hint="eastAsia"/>
                <w:kern w:val="0"/>
                <w:sz w:val="24"/>
                <w:lang w:eastAsia="zh-CN" w:bidi="ar"/>
              </w:rPr>
              <w:t>）</w:t>
            </w:r>
            <w:r>
              <w:rPr>
                <w:kern w:val="0"/>
                <w:sz w:val="24"/>
                <w:lang w:bidi="ar"/>
              </w:rPr>
              <w:t>土壤环境影响类型与途径</w:t>
            </w:r>
          </w:p>
          <w:p w14:paraId="1471ACA4">
            <w:pPr>
              <w:adjustRightInd w:val="0"/>
              <w:snapToGrid w:val="0"/>
              <w:spacing w:line="360" w:lineRule="auto"/>
              <w:ind w:firstLine="480" w:firstLineChars="200"/>
            </w:pPr>
            <w:r>
              <w:rPr>
                <w:kern w:val="0"/>
                <w:sz w:val="24"/>
                <w:lang w:bidi="ar"/>
              </w:rPr>
              <w:t>本项目土壤影响主要为污染影响型。本项目营运期对周边土壤环境主要影响途径为风险事故状态下</w:t>
            </w:r>
            <w:r>
              <w:rPr>
                <w:rFonts w:hint="eastAsia"/>
                <w:kern w:val="0"/>
                <w:sz w:val="24"/>
                <w:lang w:val="en-US" w:eastAsia="zh-CN" w:bidi="ar"/>
              </w:rPr>
              <w:t>废水</w:t>
            </w:r>
            <w:r>
              <w:rPr>
                <w:kern w:val="0"/>
                <w:sz w:val="24"/>
                <w:lang w:bidi="ar"/>
              </w:rPr>
              <w:t>泄漏产生地面漫流、垂直入渗对土壤产生影响，具体见下表。</w:t>
            </w:r>
          </w:p>
          <w:p w14:paraId="2FBB45C8">
            <w:pPr>
              <w:pStyle w:val="91"/>
              <w:rPr>
                <w:color w:val="auto"/>
              </w:rPr>
            </w:pPr>
            <w:r>
              <w:rPr>
                <w:color w:val="auto"/>
              </w:rPr>
              <w:t>表4-1</w:t>
            </w:r>
            <w:r>
              <w:rPr>
                <w:rFonts w:hint="eastAsia"/>
                <w:color w:val="auto"/>
                <w:lang w:val="en-US" w:eastAsia="zh-CN"/>
              </w:rPr>
              <w:t>6</w:t>
            </w:r>
            <w:r>
              <w:rPr>
                <w:color w:val="auto"/>
              </w:rPr>
              <w:t>建设项目土壤环境影响类型与影响途径表</w:t>
            </w:r>
          </w:p>
          <w:tbl>
            <w:tblPr>
              <w:tblStyle w:val="30"/>
              <w:tblW w:w="844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8"/>
              <w:gridCol w:w="1688"/>
              <w:gridCol w:w="1688"/>
              <w:gridCol w:w="1688"/>
              <w:gridCol w:w="1688"/>
            </w:tblGrid>
            <w:tr w14:paraId="457904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1000" w:type="pct"/>
                  <w:vMerge w:val="restart"/>
                  <w:tcBorders>
                    <w:top w:val="single" w:color="auto" w:sz="12" w:space="0"/>
                    <w:left w:val="nil"/>
                    <w:bottom w:val="single" w:color="auto" w:sz="6" w:space="0"/>
                    <w:right w:val="single" w:color="auto" w:sz="6" w:space="0"/>
                  </w:tcBorders>
                  <w:vAlign w:val="center"/>
                </w:tcPr>
                <w:p w14:paraId="2BC7438E">
                  <w:pPr>
                    <w:contextualSpacing/>
                    <w:jc w:val="center"/>
                  </w:pPr>
                  <w:r>
                    <w:t>不同时段</w:t>
                  </w:r>
                </w:p>
              </w:tc>
              <w:tc>
                <w:tcPr>
                  <w:tcW w:w="4000" w:type="pct"/>
                  <w:gridSpan w:val="4"/>
                  <w:tcBorders>
                    <w:top w:val="single" w:color="auto" w:sz="12" w:space="0"/>
                    <w:left w:val="single" w:color="auto" w:sz="6" w:space="0"/>
                    <w:bottom w:val="single" w:color="auto" w:sz="6" w:space="0"/>
                    <w:right w:val="nil"/>
                  </w:tcBorders>
                  <w:vAlign w:val="center"/>
                </w:tcPr>
                <w:p w14:paraId="111C2F44">
                  <w:pPr>
                    <w:contextualSpacing/>
                    <w:jc w:val="center"/>
                  </w:pPr>
                  <w:r>
                    <w:t>污染影响型</w:t>
                  </w:r>
                </w:p>
              </w:tc>
            </w:tr>
            <w:tr w14:paraId="268D6E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1000" w:type="pct"/>
                  <w:vMerge w:val="continue"/>
                  <w:tcBorders>
                    <w:top w:val="single" w:color="auto" w:sz="12" w:space="0"/>
                    <w:left w:val="nil"/>
                    <w:bottom w:val="single" w:color="auto" w:sz="6" w:space="0"/>
                    <w:right w:val="single" w:color="auto" w:sz="6" w:space="0"/>
                  </w:tcBorders>
                  <w:vAlign w:val="center"/>
                </w:tcPr>
                <w:p w14:paraId="6CEF884D">
                  <w:pPr>
                    <w:widowControl/>
                    <w:jc w:val="left"/>
                  </w:pPr>
                </w:p>
              </w:tc>
              <w:tc>
                <w:tcPr>
                  <w:tcW w:w="1000" w:type="pct"/>
                  <w:tcBorders>
                    <w:top w:val="single" w:color="auto" w:sz="6" w:space="0"/>
                    <w:left w:val="single" w:color="auto" w:sz="6" w:space="0"/>
                    <w:bottom w:val="single" w:color="auto" w:sz="6" w:space="0"/>
                    <w:right w:val="single" w:color="auto" w:sz="6" w:space="0"/>
                  </w:tcBorders>
                  <w:vAlign w:val="center"/>
                </w:tcPr>
                <w:p w14:paraId="47F226A7">
                  <w:pPr>
                    <w:contextualSpacing/>
                    <w:jc w:val="center"/>
                  </w:pPr>
                  <w:r>
                    <w:t>大气沉降</w:t>
                  </w:r>
                </w:p>
              </w:tc>
              <w:tc>
                <w:tcPr>
                  <w:tcW w:w="1000" w:type="pct"/>
                  <w:tcBorders>
                    <w:top w:val="single" w:color="auto" w:sz="6" w:space="0"/>
                    <w:left w:val="single" w:color="auto" w:sz="6" w:space="0"/>
                    <w:bottom w:val="single" w:color="auto" w:sz="6" w:space="0"/>
                    <w:right w:val="single" w:color="auto" w:sz="6" w:space="0"/>
                  </w:tcBorders>
                  <w:vAlign w:val="center"/>
                </w:tcPr>
                <w:p w14:paraId="396D6290">
                  <w:pPr>
                    <w:contextualSpacing/>
                    <w:jc w:val="center"/>
                  </w:pPr>
                  <w:r>
                    <w:t>地面漫流</w:t>
                  </w:r>
                </w:p>
              </w:tc>
              <w:tc>
                <w:tcPr>
                  <w:tcW w:w="1000" w:type="pct"/>
                  <w:tcBorders>
                    <w:top w:val="single" w:color="auto" w:sz="6" w:space="0"/>
                    <w:left w:val="single" w:color="auto" w:sz="6" w:space="0"/>
                    <w:bottom w:val="single" w:color="auto" w:sz="6" w:space="0"/>
                    <w:right w:val="single" w:color="auto" w:sz="6" w:space="0"/>
                  </w:tcBorders>
                  <w:vAlign w:val="center"/>
                </w:tcPr>
                <w:p w14:paraId="33711AB8">
                  <w:pPr>
                    <w:contextualSpacing/>
                    <w:jc w:val="center"/>
                  </w:pPr>
                  <w:r>
                    <w:t>垂直入渗</w:t>
                  </w:r>
                </w:p>
              </w:tc>
              <w:tc>
                <w:tcPr>
                  <w:tcW w:w="1000" w:type="pct"/>
                  <w:tcBorders>
                    <w:top w:val="single" w:color="auto" w:sz="6" w:space="0"/>
                    <w:left w:val="single" w:color="auto" w:sz="6" w:space="0"/>
                    <w:bottom w:val="single" w:color="auto" w:sz="6" w:space="0"/>
                    <w:right w:val="nil"/>
                  </w:tcBorders>
                  <w:vAlign w:val="center"/>
                </w:tcPr>
                <w:p w14:paraId="3217BD7E">
                  <w:pPr>
                    <w:contextualSpacing/>
                    <w:jc w:val="center"/>
                  </w:pPr>
                  <w:r>
                    <w:t>其他</w:t>
                  </w:r>
                </w:p>
              </w:tc>
            </w:tr>
            <w:tr w14:paraId="4A2CD2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1000" w:type="pct"/>
                  <w:tcBorders>
                    <w:top w:val="single" w:color="auto" w:sz="6" w:space="0"/>
                    <w:left w:val="nil"/>
                    <w:bottom w:val="single" w:color="auto" w:sz="6" w:space="0"/>
                    <w:right w:val="single" w:color="auto" w:sz="6" w:space="0"/>
                  </w:tcBorders>
                  <w:vAlign w:val="center"/>
                </w:tcPr>
                <w:p w14:paraId="0DB8EFEC">
                  <w:pPr>
                    <w:contextualSpacing/>
                    <w:jc w:val="center"/>
                  </w:pPr>
                  <w:r>
                    <w:t>建设期</w:t>
                  </w:r>
                </w:p>
              </w:tc>
              <w:tc>
                <w:tcPr>
                  <w:tcW w:w="1000" w:type="pct"/>
                  <w:tcBorders>
                    <w:top w:val="single" w:color="auto" w:sz="6" w:space="0"/>
                    <w:left w:val="single" w:color="auto" w:sz="6" w:space="0"/>
                    <w:bottom w:val="single" w:color="auto" w:sz="6" w:space="0"/>
                    <w:right w:val="single" w:color="auto" w:sz="6" w:space="0"/>
                  </w:tcBorders>
                  <w:vAlign w:val="center"/>
                </w:tcPr>
                <w:p w14:paraId="22EADB46">
                  <w:pPr>
                    <w:contextualSpacing/>
                    <w:jc w:val="center"/>
                  </w:pPr>
                  <w:r>
                    <w:t>--</w:t>
                  </w:r>
                </w:p>
              </w:tc>
              <w:tc>
                <w:tcPr>
                  <w:tcW w:w="1000" w:type="pct"/>
                  <w:tcBorders>
                    <w:top w:val="single" w:color="auto" w:sz="6" w:space="0"/>
                    <w:left w:val="single" w:color="auto" w:sz="6" w:space="0"/>
                    <w:bottom w:val="single" w:color="auto" w:sz="6" w:space="0"/>
                    <w:right w:val="single" w:color="auto" w:sz="6" w:space="0"/>
                  </w:tcBorders>
                  <w:vAlign w:val="center"/>
                </w:tcPr>
                <w:p w14:paraId="4FF0336B">
                  <w:pPr>
                    <w:contextualSpacing/>
                    <w:jc w:val="center"/>
                  </w:pPr>
                  <w:r>
                    <w:t>--</w:t>
                  </w:r>
                </w:p>
              </w:tc>
              <w:tc>
                <w:tcPr>
                  <w:tcW w:w="1000" w:type="pct"/>
                  <w:tcBorders>
                    <w:top w:val="single" w:color="auto" w:sz="6" w:space="0"/>
                    <w:left w:val="single" w:color="auto" w:sz="6" w:space="0"/>
                    <w:bottom w:val="single" w:color="auto" w:sz="6" w:space="0"/>
                    <w:right w:val="single" w:color="auto" w:sz="6" w:space="0"/>
                  </w:tcBorders>
                  <w:vAlign w:val="center"/>
                </w:tcPr>
                <w:p w14:paraId="6E2E8AEE">
                  <w:pPr>
                    <w:contextualSpacing/>
                    <w:jc w:val="center"/>
                  </w:pPr>
                  <w:r>
                    <w:t>--</w:t>
                  </w:r>
                </w:p>
              </w:tc>
              <w:tc>
                <w:tcPr>
                  <w:tcW w:w="1000" w:type="pct"/>
                  <w:tcBorders>
                    <w:top w:val="single" w:color="auto" w:sz="6" w:space="0"/>
                    <w:left w:val="single" w:color="auto" w:sz="6" w:space="0"/>
                    <w:bottom w:val="single" w:color="auto" w:sz="6" w:space="0"/>
                    <w:right w:val="nil"/>
                  </w:tcBorders>
                  <w:vAlign w:val="center"/>
                </w:tcPr>
                <w:p w14:paraId="2F9748F4">
                  <w:pPr>
                    <w:contextualSpacing/>
                    <w:jc w:val="center"/>
                  </w:pPr>
                  <w:r>
                    <w:t>--</w:t>
                  </w:r>
                </w:p>
              </w:tc>
            </w:tr>
            <w:tr w14:paraId="419538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000" w:type="pct"/>
                  <w:tcBorders>
                    <w:top w:val="single" w:color="auto" w:sz="6" w:space="0"/>
                    <w:left w:val="nil"/>
                    <w:bottom w:val="single" w:color="auto" w:sz="6" w:space="0"/>
                    <w:right w:val="single" w:color="auto" w:sz="6" w:space="0"/>
                  </w:tcBorders>
                  <w:vAlign w:val="center"/>
                </w:tcPr>
                <w:p w14:paraId="4C86F614">
                  <w:pPr>
                    <w:contextualSpacing/>
                    <w:jc w:val="center"/>
                  </w:pPr>
                  <w:r>
                    <w:t>运营期</w:t>
                  </w:r>
                </w:p>
              </w:tc>
              <w:tc>
                <w:tcPr>
                  <w:tcW w:w="1000" w:type="pct"/>
                  <w:tcBorders>
                    <w:top w:val="single" w:color="auto" w:sz="6" w:space="0"/>
                    <w:left w:val="single" w:color="auto" w:sz="6" w:space="0"/>
                    <w:bottom w:val="single" w:color="auto" w:sz="6" w:space="0"/>
                    <w:right w:val="single" w:color="auto" w:sz="6" w:space="0"/>
                  </w:tcBorders>
                  <w:vAlign w:val="center"/>
                </w:tcPr>
                <w:p w14:paraId="55B0392F">
                  <w:pPr>
                    <w:contextualSpacing/>
                    <w:jc w:val="center"/>
                  </w:pPr>
                  <w:r>
                    <w:t>--</w:t>
                  </w:r>
                </w:p>
              </w:tc>
              <w:tc>
                <w:tcPr>
                  <w:tcW w:w="1000" w:type="pct"/>
                  <w:tcBorders>
                    <w:top w:val="single" w:color="auto" w:sz="6" w:space="0"/>
                    <w:left w:val="single" w:color="auto" w:sz="6" w:space="0"/>
                    <w:bottom w:val="single" w:color="auto" w:sz="6" w:space="0"/>
                    <w:right w:val="single" w:color="auto" w:sz="6" w:space="0"/>
                  </w:tcBorders>
                  <w:vAlign w:val="center"/>
                </w:tcPr>
                <w:p w14:paraId="17E50CA3">
                  <w:pPr>
                    <w:contextualSpacing/>
                    <w:jc w:val="center"/>
                    <w:rPr>
                      <w:rFonts w:hint="eastAsia" w:eastAsia="宋体"/>
                      <w:lang w:eastAsia="zh-CN"/>
                    </w:rPr>
                  </w:pPr>
                  <w:r>
                    <w:rPr>
                      <w:rFonts w:hint="eastAsia" w:ascii="微软雅黑" w:hAnsi="微软雅黑" w:eastAsia="微软雅黑" w:cs="微软雅黑"/>
                      <w:lang w:eastAsia="zh-CN"/>
                    </w:rPr>
                    <w:t>✔</w:t>
                  </w:r>
                </w:p>
              </w:tc>
              <w:tc>
                <w:tcPr>
                  <w:tcW w:w="1000" w:type="pct"/>
                  <w:tcBorders>
                    <w:top w:val="single" w:color="auto" w:sz="6" w:space="0"/>
                    <w:left w:val="single" w:color="auto" w:sz="6" w:space="0"/>
                    <w:bottom w:val="single" w:color="auto" w:sz="6" w:space="0"/>
                    <w:right w:val="single" w:color="auto" w:sz="6" w:space="0"/>
                  </w:tcBorders>
                  <w:vAlign w:val="center"/>
                </w:tcPr>
                <w:p w14:paraId="4212B27D">
                  <w:pPr>
                    <w:contextualSpacing/>
                    <w:jc w:val="center"/>
                    <w:rPr>
                      <w:rFonts w:hint="eastAsia" w:eastAsia="宋体"/>
                      <w:lang w:eastAsia="zh-CN"/>
                    </w:rPr>
                  </w:pPr>
                  <w:r>
                    <w:rPr>
                      <w:rFonts w:hint="eastAsia" w:ascii="微软雅黑" w:hAnsi="微软雅黑" w:eastAsia="微软雅黑" w:cs="微软雅黑"/>
                      <w:lang w:eastAsia="zh-CN"/>
                    </w:rPr>
                    <w:t>✔</w:t>
                  </w:r>
                </w:p>
              </w:tc>
              <w:tc>
                <w:tcPr>
                  <w:tcW w:w="1000" w:type="pct"/>
                  <w:tcBorders>
                    <w:top w:val="single" w:color="auto" w:sz="6" w:space="0"/>
                    <w:left w:val="single" w:color="auto" w:sz="6" w:space="0"/>
                    <w:bottom w:val="single" w:color="auto" w:sz="6" w:space="0"/>
                    <w:right w:val="nil"/>
                  </w:tcBorders>
                  <w:vAlign w:val="center"/>
                </w:tcPr>
                <w:p w14:paraId="01E68DEB">
                  <w:pPr>
                    <w:contextualSpacing/>
                    <w:jc w:val="center"/>
                  </w:pPr>
                  <w:r>
                    <w:t>--</w:t>
                  </w:r>
                </w:p>
              </w:tc>
            </w:tr>
            <w:tr w14:paraId="275CC9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5000" w:type="pct"/>
                  <w:gridSpan w:val="5"/>
                  <w:tcBorders>
                    <w:top w:val="single" w:color="auto" w:sz="6" w:space="0"/>
                    <w:left w:val="nil"/>
                    <w:bottom w:val="single" w:color="auto" w:sz="12" w:space="0"/>
                    <w:right w:val="nil"/>
                  </w:tcBorders>
                  <w:vAlign w:val="center"/>
                </w:tcPr>
                <w:p w14:paraId="751CFD0D">
                  <w:pPr>
                    <w:contextualSpacing/>
                  </w:pPr>
                  <w:r>
                    <w:t>注：</w:t>
                  </w:r>
                  <w:r>
                    <w:rPr>
                      <w:kern w:val="0"/>
                      <w:szCs w:val="21"/>
                    </w:rPr>
                    <w:t>在可能产生的土壤环境影响类型处打</w:t>
                  </w:r>
                  <w:r>
                    <w:rPr>
                      <w:rFonts w:hint="eastAsia"/>
                      <w:kern w:val="0"/>
                      <w:szCs w:val="21"/>
                      <w:lang w:eastAsia="zh-CN"/>
                    </w:rPr>
                    <w:t>“</w:t>
                  </w:r>
                  <w:r>
                    <w:rPr>
                      <w:rFonts w:hint="eastAsia" w:ascii="微软雅黑" w:hAnsi="微软雅黑" w:eastAsia="微软雅黑" w:cs="微软雅黑"/>
                      <w:lang w:eastAsia="zh-CN"/>
                    </w:rPr>
                    <w:t>✔</w:t>
                  </w:r>
                  <w:r>
                    <w:rPr>
                      <w:rFonts w:hint="eastAsia" w:eastAsia="微软雅黑"/>
                      <w:kern w:val="0"/>
                      <w:szCs w:val="21"/>
                      <w:lang w:eastAsia="zh-CN"/>
                    </w:rPr>
                    <w:t>”</w:t>
                  </w:r>
                  <w:r>
                    <w:rPr>
                      <w:kern w:val="0"/>
                      <w:szCs w:val="21"/>
                    </w:rPr>
                    <w:t>。</w:t>
                  </w:r>
                </w:p>
              </w:tc>
            </w:tr>
          </w:tbl>
          <w:p w14:paraId="4417990C">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kern w:val="0"/>
                <w:sz w:val="24"/>
                <w:lang w:bidi="ar"/>
              </w:rPr>
            </w:pPr>
            <w:r>
              <w:rPr>
                <w:kern w:val="0"/>
                <w:sz w:val="24"/>
                <w:lang w:bidi="ar"/>
              </w:rPr>
              <w:t>（2</w:t>
            </w:r>
            <w:r>
              <w:rPr>
                <w:rFonts w:hint="eastAsia"/>
                <w:kern w:val="0"/>
                <w:sz w:val="24"/>
                <w:lang w:eastAsia="zh-CN" w:bidi="ar"/>
              </w:rPr>
              <w:t>）</w:t>
            </w:r>
            <w:r>
              <w:rPr>
                <w:kern w:val="0"/>
                <w:sz w:val="24"/>
                <w:lang w:bidi="ar"/>
              </w:rPr>
              <w:t>土壤环境影响因子识别</w:t>
            </w:r>
          </w:p>
          <w:p w14:paraId="36C945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根据本项目情况，参考《环境影响评价技术导则土壤环境（试行</w:t>
            </w:r>
            <w:r>
              <w:rPr>
                <w:rFonts w:hint="eastAsia" w:ascii="宋体" w:hAnsi="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HJ964-2018</w:t>
            </w:r>
            <w:r>
              <w:rPr>
                <w:rFonts w:hint="eastAsia" w:ascii="宋体" w:hAnsi="宋体" w:cs="宋体"/>
                <w:sz w:val="24"/>
                <w:szCs w:val="24"/>
                <w:lang w:eastAsia="zh-CN"/>
              </w:rPr>
              <w:t>）</w:t>
            </w:r>
            <w:r>
              <w:rPr>
                <w:rFonts w:hint="eastAsia" w:ascii="宋体" w:hAnsi="宋体" w:eastAsia="宋体" w:cs="宋体"/>
                <w:sz w:val="24"/>
                <w:szCs w:val="24"/>
              </w:rPr>
              <w:t>要求，本项目建设主要的影响源及影响因子见下表。</w:t>
            </w:r>
          </w:p>
          <w:p w14:paraId="1EF32C51">
            <w:pPr>
              <w:pStyle w:val="91"/>
              <w:rPr>
                <w:color w:val="auto"/>
              </w:rPr>
            </w:pPr>
            <w:r>
              <w:rPr>
                <w:color w:val="auto"/>
              </w:rPr>
              <w:t>表4-1</w:t>
            </w:r>
            <w:r>
              <w:rPr>
                <w:rFonts w:hint="eastAsia"/>
                <w:color w:val="auto"/>
                <w:lang w:val="en-US" w:eastAsia="zh-CN"/>
              </w:rPr>
              <w:t>7</w:t>
            </w:r>
            <w:r>
              <w:rPr>
                <w:color w:val="auto"/>
              </w:rPr>
              <w:t>建设项目土壤影响源及影响因子识别表</w:t>
            </w:r>
          </w:p>
          <w:tbl>
            <w:tblPr>
              <w:tblStyle w:val="30"/>
              <w:tblW w:w="8239"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1358"/>
              <w:gridCol w:w="1204"/>
              <w:gridCol w:w="1230"/>
              <w:gridCol w:w="1180"/>
              <w:gridCol w:w="1157"/>
              <w:gridCol w:w="2110"/>
            </w:tblGrid>
            <w:tr w14:paraId="6015982C">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PrEx>
              <w:trPr>
                <w:trHeight w:val="599" w:hRule="atLeast"/>
              </w:trPr>
              <w:tc>
                <w:tcPr>
                  <w:tcW w:w="1358" w:type="dxa"/>
                  <w:tcBorders>
                    <w:tl2br w:val="nil"/>
                    <w:tr2bl w:val="nil"/>
                  </w:tcBorders>
                  <w:vAlign w:val="center"/>
                </w:tcPr>
                <w:p w14:paraId="5FB6E517">
                  <w:pPr>
                    <w:contextualSpacing/>
                    <w:jc w:val="center"/>
                  </w:pPr>
                  <w:r>
                    <w:t>污染源</w:t>
                  </w:r>
                </w:p>
              </w:tc>
              <w:tc>
                <w:tcPr>
                  <w:tcW w:w="1204" w:type="dxa"/>
                  <w:tcBorders>
                    <w:tl2br w:val="nil"/>
                    <w:tr2bl w:val="nil"/>
                  </w:tcBorders>
                  <w:vAlign w:val="center"/>
                </w:tcPr>
                <w:p w14:paraId="7F389F92">
                  <w:pPr>
                    <w:contextualSpacing/>
                    <w:jc w:val="center"/>
                  </w:pPr>
                  <w:r>
                    <w:t>工艺流程/节点</w:t>
                  </w:r>
                </w:p>
              </w:tc>
              <w:tc>
                <w:tcPr>
                  <w:tcW w:w="1230" w:type="dxa"/>
                  <w:tcBorders>
                    <w:tl2br w:val="nil"/>
                    <w:tr2bl w:val="nil"/>
                  </w:tcBorders>
                  <w:vAlign w:val="center"/>
                </w:tcPr>
                <w:p w14:paraId="32DD41C4">
                  <w:pPr>
                    <w:contextualSpacing/>
                    <w:jc w:val="center"/>
                  </w:pPr>
                  <w:r>
                    <w:t>污染途径</w:t>
                  </w:r>
                </w:p>
              </w:tc>
              <w:tc>
                <w:tcPr>
                  <w:tcW w:w="1180" w:type="dxa"/>
                  <w:tcBorders>
                    <w:tl2br w:val="nil"/>
                    <w:tr2bl w:val="nil"/>
                  </w:tcBorders>
                  <w:vAlign w:val="center"/>
                </w:tcPr>
                <w:p w14:paraId="389A16B0">
                  <w:pPr>
                    <w:contextualSpacing/>
                    <w:jc w:val="center"/>
                  </w:pPr>
                  <w:r>
                    <w:t>污染物指标</w:t>
                  </w:r>
                </w:p>
              </w:tc>
              <w:tc>
                <w:tcPr>
                  <w:tcW w:w="1157" w:type="dxa"/>
                  <w:tcBorders>
                    <w:tl2br w:val="nil"/>
                    <w:tr2bl w:val="nil"/>
                  </w:tcBorders>
                  <w:vAlign w:val="center"/>
                </w:tcPr>
                <w:p w14:paraId="21439F3F">
                  <w:pPr>
                    <w:contextualSpacing/>
                    <w:jc w:val="center"/>
                  </w:pPr>
                  <w:r>
                    <w:t>特征因子</w:t>
                  </w:r>
                </w:p>
              </w:tc>
              <w:tc>
                <w:tcPr>
                  <w:tcW w:w="2110" w:type="dxa"/>
                  <w:tcBorders>
                    <w:tl2br w:val="nil"/>
                    <w:tr2bl w:val="nil"/>
                  </w:tcBorders>
                  <w:vAlign w:val="center"/>
                </w:tcPr>
                <w:p w14:paraId="36F050AC">
                  <w:pPr>
                    <w:contextualSpacing/>
                    <w:jc w:val="center"/>
                  </w:pPr>
                  <w:r>
                    <w:t>备注</w:t>
                  </w:r>
                </w:p>
              </w:tc>
            </w:tr>
            <w:tr w14:paraId="114E6E60">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94" w:hRule="atLeast"/>
              </w:trPr>
              <w:tc>
                <w:tcPr>
                  <w:tcW w:w="1358" w:type="dxa"/>
                  <w:vMerge w:val="restart"/>
                  <w:tcBorders>
                    <w:tl2br w:val="nil"/>
                    <w:tr2bl w:val="nil"/>
                  </w:tcBorders>
                  <w:vAlign w:val="center"/>
                </w:tcPr>
                <w:p w14:paraId="6C838416">
                  <w:pPr>
                    <w:widowControl/>
                    <w:jc w:val="center"/>
                  </w:pPr>
                  <w:r>
                    <w:t>污水处理站</w:t>
                  </w:r>
                </w:p>
              </w:tc>
              <w:tc>
                <w:tcPr>
                  <w:tcW w:w="1204" w:type="dxa"/>
                  <w:vMerge w:val="restart"/>
                  <w:tcBorders>
                    <w:tl2br w:val="nil"/>
                    <w:tr2bl w:val="nil"/>
                  </w:tcBorders>
                  <w:vAlign w:val="center"/>
                </w:tcPr>
                <w:p w14:paraId="74890381">
                  <w:pPr>
                    <w:widowControl/>
                    <w:jc w:val="left"/>
                  </w:pPr>
                  <w:r>
                    <w:t>生产废水处理</w:t>
                  </w:r>
                </w:p>
              </w:tc>
              <w:tc>
                <w:tcPr>
                  <w:tcW w:w="1230" w:type="dxa"/>
                  <w:tcBorders>
                    <w:tl2br w:val="nil"/>
                    <w:tr2bl w:val="nil"/>
                  </w:tcBorders>
                  <w:vAlign w:val="center"/>
                </w:tcPr>
                <w:p w14:paraId="5FD98051">
                  <w:pPr>
                    <w:contextualSpacing/>
                    <w:jc w:val="center"/>
                  </w:pPr>
                  <w:r>
                    <w:t>地面漫流</w:t>
                  </w:r>
                </w:p>
              </w:tc>
              <w:tc>
                <w:tcPr>
                  <w:tcW w:w="1180" w:type="dxa"/>
                  <w:vMerge w:val="restart"/>
                  <w:tcBorders>
                    <w:tl2br w:val="nil"/>
                    <w:tr2bl w:val="nil"/>
                  </w:tcBorders>
                  <w:vAlign w:val="center"/>
                </w:tcPr>
                <w:p w14:paraId="5753097C">
                  <w:pPr>
                    <w:pStyle w:val="23"/>
                    <w:rPr>
                      <w:rFonts w:hint="eastAsia" w:eastAsia="宋体"/>
                      <w:sz w:val="21"/>
                      <w:szCs w:val="21"/>
                      <w:lang w:val="en-US" w:eastAsia="zh-CN"/>
                    </w:rPr>
                  </w:pPr>
                  <w:r>
                    <w:rPr>
                      <w:sz w:val="21"/>
                      <w:szCs w:val="21"/>
                    </w:rPr>
                    <w:t>COD</w:t>
                  </w:r>
                  <w:r>
                    <w:rPr>
                      <w:rFonts w:hint="eastAsia"/>
                      <w:sz w:val="21"/>
                      <w:szCs w:val="21"/>
                      <w:lang w:val="en-US" w:eastAsia="zh-CN"/>
                    </w:rPr>
                    <w:t>cr</w:t>
                  </w:r>
                </w:p>
                <w:p w14:paraId="48FB3ED7">
                  <w:pPr>
                    <w:pStyle w:val="23"/>
                    <w:rPr>
                      <w:rFonts w:hint="eastAsia" w:eastAsia="宋体"/>
                      <w:sz w:val="21"/>
                      <w:szCs w:val="21"/>
                      <w:lang w:val="en-US" w:eastAsia="zh-CN"/>
                    </w:rPr>
                  </w:pPr>
                  <w:r>
                    <w:rPr>
                      <w:sz w:val="21"/>
                      <w:szCs w:val="21"/>
                    </w:rPr>
                    <w:t>BOD</w:t>
                  </w:r>
                  <w:r>
                    <w:rPr>
                      <w:rFonts w:hint="eastAsia"/>
                      <w:sz w:val="21"/>
                      <w:szCs w:val="21"/>
                      <w:vertAlign w:val="subscript"/>
                      <w:lang w:val="en-US" w:eastAsia="zh-CN"/>
                    </w:rPr>
                    <w:t>5</w:t>
                  </w:r>
                </w:p>
                <w:p w14:paraId="25D7B59A">
                  <w:pPr>
                    <w:pStyle w:val="23"/>
                    <w:rPr>
                      <w:sz w:val="21"/>
                      <w:szCs w:val="21"/>
                    </w:rPr>
                  </w:pPr>
                  <w:r>
                    <w:rPr>
                      <w:sz w:val="21"/>
                      <w:szCs w:val="21"/>
                    </w:rPr>
                    <w:t>SS</w:t>
                  </w:r>
                </w:p>
                <w:p w14:paraId="10516CFC">
                  <w:pPr>
                    <w:widowControl/>
                    <w:jc w:val="center"/>
                  </w:pPr>
                  <w:r>
                    <w:rPr>
                      <w:szCs w:val="21"/>
                    </w:rPr>
                    <w:t>NH</w:t>
                  </w:r>
                  <w:r>
                    <w:rPr>
                      <w:szCs w:val="21"/>
                      <w:vertAlign w:val="subscript"/>
                    </w:rPr>
                    <w:t>3</w:t>
                  </w:r>
                  <w:r>
                    <w:rPr>
                      <w:szCs w:val="21"/>
                    </w:rPr>
                    <w:t>-N</w:t>
                  </w:r>
                </w:p>
              </w:tc>
              <w:tc>
                <w:tcPr>
                  <w:tcW w:w="1157" w:type="dxa"/>
                  <w:vMerge w:val="restart"/>
                  <w:tcBorders>
                    <w:tl2br w:val="nil"/>
                    <w:tr2bl w:val="nil"/>
                  </w:tcBorders>
                  <w:vAlign w:val="center"/>
                </w:tcPr>
                <w:p w14:paraId="6D626C01">
                  <w:pPr>
                    <w:pStyle w:val="23"/>
                    <w:rPr>
                      <w:rFonts w:hint="eastAsia" w:eastAsia="宋体"/>
                      <w:sz w:val="21"/>
                      <w:szCs w:val="21"/>
                      <w:lang w:val="en-US" w:eastAsia="zh-CN"/>
                    </w:rPr>
                  </w:pPr>
                  <w:r>
                    <w:rPr>
                      <w:sz w:val="21"/>
                      <w:szCs w:val="21"/>
                    </w:rPr>
                    <w:t>COD</w:t>
                  </w:r>
                  <w:r>
                    <w:rPr>
                      <w:rFonts w:hint="eastAsia"/>
                      <w:sz w:val="21"/>
                      <w:szCs w:val="21"/>
                      <w:lang w:val="en-US" w:eastAsia="zh-CN"/>
                    </w:rPr>
                    <w:t>cr</w:t>
                  </w:r>
                </w:p>
                <w:p w14:paraId="2DFB60D6">
                  <w:pPr>
                    <w:pStyle w:val="23"/>
                    <w:rPr>
                      <w:rFonts w:hint="eastAsia" w:eastAsia="宋体"/>
                      <w:sz w:val="21"/>
                      <w:szCs w:val="21"/>
                      <w:lang w:val="en-US" w:eastAsia="zh-CN"/>
                    </w:rPr>
                  </w:pPr>
                  <w:r>
                    <w:rPr>
                      <w:sz w:val="21"/>
                      <w:szCs w:val="21"/>
                    </w:rPr>
                    <w:t>BOD</w:t>
                  </w:r>
                  <w:r>
                    <w:rPr>
                      <w:rFonts w:hint="eastAsia"/>
                      <w:sz w:val="21"/>
                      <w:szCs w:val="21"/>
                      <w:vertAlign w:val="subscript"/>
                      <w:lang w:val="en-US" w:eastAsia="zh-CN"/>
                    </w:rPr>
                    <w:t>5</w:t>
                  </w:r>
                </w:p>
                <w:p w14:paraId="1B012B5E">
                  <w:pPr>
                    <w:pStyle w:val="23"/>
                    <w:rPr>
                      <w:sz w:val="21"/>
                      <w:szCs w:val="21"/>
                    </w:rPr>
                  </w:pPr>
                  <w:r>
                    <w:rPr>
                      <w:sz w:val="21"/>
                      <w:szCs w:val="21"/>
                    </w:rPr>
                    <w:t>SS</w:t>
                  </w:r>
                </w:p>
                <w:p w14:paraId="61708ED6">
                  <w:pPr>
                    <w:widowControl/>
                    <w:jc w:val="center"/>
                  </w:pPr>
                  <w:r>
                    <w:rPr>
                      <w:szCs w:val="21"/>
                    </w:rPr>
                    <w:t>NH</w:t>
                  </w:r>
                  <w:r>
                    <w:rPr>
                      <w:szCs w:val="21"/>
                      <w:vertAlign w:val="subscript"/>
                    </w:rPr>
                    <w:t>3</w:t>
                  </w:r>
                  <w:r>
                    <w:rPr>
                      <w:szCs w:val="21"/>
                    </w:rPr>
                    <w:t>-N</w:t>
                  </w:r>
                </w:p>
              </w:tc>
              <w:tc>
                <w:tcPr>
                  <w:tcW w:w="2110" w:type="dxa"/>
                  <w:vMerge w:val="restart"/>
                  <w:tcBorders>
                    <w:tl2br w:val="nil"/>
                    <w:tr2bl w:val="nil"/>
                  </w:tcBorders>
                  <w:vAlign w:val="center"/>
                </w:tcPr>
                <w:p w14:paraId="435BC32F">
                  <w:pPr>
                    <w:widowControl/>
                    <w:jc w:val="left"/>
                  </w:pPr>
                  <w:r>
                    <w:t>事故工况，防渗破损、管道堵塞</w:t>
                  </w:r>
                </w:p>
              </w:tc>
            </w:tr>
            <w:tr w14:paraId="446473BF">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680" w:hRule="atLeast"/>
              </w:trPr>
              <w:tc>
                <w:tcPr>
                  <w:tcW w:w="1358" w:type="dxa"/>
                  <w:vMerge w:val="continue"/>
                  <w:tcBorders>
                    <w:tl2br w:val="nil"/>
                    <w:tr2bl w:val="nil"/>
                  </w:tcBorders>
                  <w:vAlign w:val="center"/>
                </w:tcPr>
                <w:p w14:paraId="767D6578">
                  <w:pPr>
                    <w:widowControl/>
                    <w:jc w:val="center"/>
                  </w:pPr>
                </w:p>
              </w:tc>
              <w:tc>
                <w:tcPr>
                  <w:tcW w:w="1204" w:type="dxa"/>
                  <w:vMerge w:val="continue"/>
                  <w:tcBorders>
                    <w:tl2br w:val="nil"/>
                    <w:tr2bl w:val="nil"/>
                  </w:tcBorders>
                  <w:vAlign w:val="center"/>
                </w:tcPr>
                <w:p w14:paraId="00C182AE">
                  <w:pPr>
                    <w:widowControl/>
                    <w:jc w:val="left"/>
                  </w:pPr>
                </w:p>
              </w:tc>
              <w:tc>
                <w:tcPr>
                  <w:tcW w:w="1230" w:type="dxa"/>
                  <w:tcBorders>
                    <w:tl2br w:val="nil"/>
                    <w:tr2bl w:val="nil"/>
                  </w:tcBorders>
                  <w:vAlign w:val="center"/>
                </w:tcPr>
                <w:p w14:paraId="17EAF402">
                  <w:pPr>
                    <w:contextualSpacing/>
                    <w:jc w:val="center"/>
                  </w:pPr>
                  <w:r>
                    <w:t>垂直入渗</w:t>
                  </w:r>
                </w:p>
              </w:tc>
              <w:tc>
                <w:tcPr>
                  <w:tcW w:w="1180" w:type="dxa"/>
                  <w:vMerge w:val="continue"/>
                  <w:tcBorders>
                    <w:tl2br w:val="nil"/>
                    <w:tr2bl w:val="nil"/>
                  </w:tcBorders>
                  <w:vAlign w:val="center"/>
                </w:tcPr>
                <w:p w14:paraId="0C60C0C5">
                  <w:pPr>
                    <w:widowControl/>
                    <w:jc w:val="left"/>
                  </w:pPr>
                </w:p>
              </w:tc>
              <w:tc>
                <w:tcPr>
                  <w:tcW w:w="1157" w:type="dxa"/>
                  <w:vMerge w:val="continue"/>
                  <w:tcBorders>
                    <w:tl2br w:val="nil"/>
                    <w:tr2bl w:val="nil"/>
                  </w:tcBorders>
                  <w:vAlign w:val="center"/>
                </w:tcPr>
                <w:p w14:paraId="1CDB1A90">
                  <w:pPr>
                    <w:widowControl/>
                    <w:jc w:val="left"/>
                  </w:pPr>
                </w:p>
              </w:tc>
              <w:tc>
                <w:tcPr>
                  <w:tcW w:w="2110" w:type="dxa"/>
                  <w:vMerge w:val="continue"/>
                  <w:tcBorders>
                    <w:tl2br w:val="nil"/>
                    <w:tr2bl w:val="nil"/>
                  </w:tcBorders>
                  <w:vAlign w:val="center"/>
                </w:tcPr>
                <w:p w14:paraId="450887DE">
                  <w:pPr>
                    <w:widowControl/>
                    <w:jc w:val="left"/>
                  </w:pPr>
                </w:p>
              </w:tc>
            </w:tr>
          </w:tbl>
          <w:p w14:paraId="5E1F5D27">
            <w:pPr>
              <w:pStyle w:val="17"/>
              <w:adjustRightInd w:val="0"/>
              <w:snapToGrid w:val="0"/>
              <w:spacing w:line="360" w:lineRule="auto"/>
              <w:ind w:left="0" w:leftChars="0" w:firstLine="480" w:firstLineChars="200"/>
              <w:rPr>
                <w:b/>
                <w:bCs/>
                <w:sz w:val="28"/>
                <w:szCs w:val="28"/>
              </w:rPr>
            </w:pPr>
            <w:r>
              <w:rPr>
                <w:szCs w:val="24"/>
                <w:lang w:bidi="ar"/>
              </w:rPr>
              <w:t>（3</w:t>
            </w:r>
            <w:r>
              <w:rPr>
                <w:rFonts w:hint="eastAsia"/>
                <w:szCs w:val="24"/>
                <w:lang w:eastAsia="zh-CN" w:bidi="ar"/>
              </w:rPr>
              <w:t>）</w:t>
            </w:r>
            <w:r>
              <w:rPr>
                <w:szCs w:val="24"/>
                <w:lang w:bidi="ar"/>
              </w:rPr>
              <w:t>土壤环境影响分析</w:t>
            </w:r>
          </w:p>
          <w:p w14:paraId="7F855D07">
            <w:pPr>
              <w:pStyle w:val="17"/>
              <w:adjustRightInd w:val="0"/>
              <w:snapToGrid w:val="0"/>
              <w:spacing w:line="360" w:lineRule="auto"/>
              <w:ind w:left="0" w:leftChars="0" w:firstLine="480" w:firstLineChars="200"/>
              <w:rPr>
                <w:b/>
                <w:bCs/>
                <w:sz w:val="28"/>
                <w:szCs w:val="28"/>
              </w:rPr>
            </w:pPr>
            <w:r>
              <w:t>本项目正常情况下不会对土壤造成地面漫流、垂直入渗影响，对周边土壤环境影响较小。但地面漫流及垂直入渗型影响可能在防渗破损失效、排污管道堵塞等情况（即事故情况</w:t>
            </w:r>
            <w:r>
              <w:rPr>
                <w:rFonts w:hint="eastAsia"/>
                <w:lang w:eastAsia="zh-CN"/>
              </w:rPr>
              <w:t>）</w:t>
            </w:r>
            <w:r>
              <w:t>下出现，发生这类事故一般对受污染地块土壤环境影响较大，必须采取严格的防范措施避免此类事故的发生。本项目危险废物暂存间和污水处理站建设在重点污染防治区，已在危险废物暂存间设置围堰，在厂区已设置了事故报警系统等措施，发生事故时风险可控，且企业可启动应急预案及时处理。事故情况下一般可将对土壤的影响控制在厂区内，及时采取风险措施后对周边土壤环境影响较小。</w:t>
            </w:r>
          </w:p>
          <w:p w14:paraId="2313DB16">
            <w:pPr>
              <w:pStyle w:val="5"/>
              <w:adjustRightInd w:val="0"/>
              <w:snapToGrid w:val="0"/>
              <w:ind w:firstLine="480"/>
              <w:rPr>
                <w:b w:val="0"/>
                <w:bCs w:val="0"/>
                <w:kern w:val="0"/>
                <w:szCs w:val="24"/>
                <w:lang w:bidi="ar"/>
              </w:rPr>
            </w:pPr>
            <w:r>
              <w:rPr>
                <w:b w:val="0"/>
                <w:bCs w:val="0"/>
                <w:kern w:val="0"/>
                <w:szCs w:val="24"/>
                <w:lang w:bidi="ar"/>
              </w:rPr>
              <w:t>（4</w:t>
            </w:r>
            <w:r>
              <w:rPr>
                <w:rFonts w:hint="eastAsia"/>
                <w:b w:val="0"/>
                <w:bCs w:val="0"/>
                <w:kern w:val="0"/>
                <w:szCs w:val="24"/>
                <w:lang w:eastAsia="zh-CN" w:bidi="ar"/>
              </w:rPr>
              <w:t>）</w:t>
            </w:r>
            <w:r>
              <w:rPr>
                <w:b w:val="0"/>
                <w:bCs w:val="0"/>
                <w:kern w:val="0"/>
                <w:szCs w:val="24"/>
                <w:lang w:bidi="ar"/>
              </w:rPr>
              <w:t>土壤环境保护措施</w:t>
            </w:r>
          </w:p>
          <w:p w14:paraId="055C2BE5">
            <w:pPr>
              <w:adjustRightInd w:val="0"/>
              <w:snapToGrid w:val="0"/>
              <w:spacing w:line="360" w:lineRule="auto"/>
              <w:ind w:firstLine="480" w:firstLineChars="200"/>
              <w:rPr>
                <w:kern w:val="0"/>
                <w:sz w:val="24"/>
                <w:szCs w:val="20"/>
              </w:rPr>
            </w:pPr>
            <w:r>
              <w:rPr>
                <w:rFonts w:hint="eastAsia" w:ascii="宋体" w:hAnsi="宋体" w:cs="宋体"/>
                <w:kern w:val="0"/>
                <w:sz w:val="24"/>
                <w:szCs w:val="20"/>
              </w:rPr>
              <w:t>①</w:t>
            </w:r>
            <w:r>
              <w:rPr>
                <w:kern w:val="0"/>
                <w:sz w:val="24"/>
                <w:szCs w:val="20"/>
              </w:rPr>
              <w:t>源头控制措施</w:t>
            </w:r>
          </w:p>
          <w:p w14:paraId="3605E921">
            <w:pPr>
              <w:adjustRightInd w:val="0"/>
              <w:snapToGrid w:val="0"/>
              <w:spacing w:line="360" w:lineRule="auto"/>
              <w:ind w:firstLine="480" w:firstLineChars="200"/>
              <w:rPr>
                <w:kern w:val="0"/>
                <w:sz w:val="24"/>
                <w:szCs w:val="20"/>
              </w:rPr>
            </w:pPr>
            <w:r>
              <w:rPr>
                <w:kern w:val="0"/>
                <w:sz w:val="24"/>
                <w:szCs w:val="20"/>
              </w:rPr>
              <w:t>本项目应严格落实本报告提出的风险防控措施，从源头上降低事故发生的概率。</w:t>
            </w:r>
          </w:p>
          <w:p w14:paraId="6A6E6525">
            <w:pPr>
              <w:adjustRightInd w:val="0"/>
              <w:snapToGrid w:val="0"/>
              <w:spacing w:line="360" w:lineRule="auto"/>
              <w:ind w:firstLine="480" w:firstLineChars="200"/>
              <w:rPr>
                <w:kern w:val="0"/>
                <w:sz w:val="24"/>
                <w:szCs w:val="20"/>
              </w:rPr>
            </w:pPr>
            <w:r>
              <w:rPr>
                <w:rFonts w:hint="eastAsia" w:ascii="宋体" w:hAnsi="宋体" w:cs="宋体"/>
                <w:kern w:val="0"/>
                <w:sz w:val="24"/>
                <w:szCs w:val="20"/>
              </w:rPr>
              <w:t>②</w:t>
            </w:r>
            <w:r>
              <w:rPr>
                <w:kern w:val="0"/>
                <w:sz w:val="24"/>
                <w:szCs w:val="20"/>
              </w:rPr>
              <w:t>过程防控措施</w:t>
            </w:r>
          </w:p>
          <w:p w14:paraId="21F72505">
            <w:pPr>
              <w:adjustRightInd w:val="0"/>
              <w:snapToGrid w:val="0"/>
              <w:spacing w:line="360" w:lineRule="auto"/>
              <w:ind w:firstLine="480" w:firstLineChars="200"/>
              <w:rPr>
                <w:kern w:val="0"/>
                <w:sz w:val="24"/>
                <w:szCs w:val="20"/>
              </w:rPr>
            </w:pPr>
            <w:r>
              <w:rPr>
                <w:kern w:val="0"/>
                <w:sz w:val="24"/>
                <w:szCs w:val="20"/>
              </w:rPr>
              <w:t>本项目危险废物暂存间和污水处理站设置为重点污染防治区，设置围堰并做好防渗，在厂区设置了事故报警系统等措施，针对本项目可能产生的地面漫流及垂直入渗影响源，应严格落实突发环境事件应急预案中提出的各项目污染防控措施。</w:t>
            </w:r>
          </w:p>
          <w:p w14:paraId="223F74D3">
            <w:pPr>
              <w:pStyle w:val="5"/>
              <w:numPr>
                <w:ilvl w:val="0"/>
                <w:numId w:val="4"/>
              </w:numPr>
              <w:bidi w:val="0"/>
            </w:pPr>
            <w:r>
              <w:rPr>
                <w:rFonts w:hint="eastAsia"/>
              </w:rPr>
              <w:t>运行期生态环境影响分析</w:t>
            </w:r>
          </w:p>
          <w:p w14:paraId="6FE85BF5">
            <w:pPr>
              <w:spacing w:line="360" w:lineRule="auto"/>
              <w:ind w:firstLine="480" w:firstLineChars="200"/>
              <w:rPr>
                <w:color w:val="auto"/>
                <w:sz w:val="24"/>
              </w:rPr>
            </w:pPr>
            <w:r>
              <w:rPr>
                <w:rFonts w:hint="eastAsia"/>
                <w:color w:val="auto"/>
                <w:sz w:val="24"/>
              </w:rPr>
              <w:t>本项目区周边均为草地和林地，运营期应采取以下生态保护措施：</w:t>
            </w:r>
          </w:p>
          <w:p w14:paraId="7AC424A1">
            <w:pPr>
              <w:spacing w:line="300" w:lineRule="auto"/>
              <w:ind w:firstLine="482"/>
              <w:rPr>
                <w:color w:val="auto"/>
                <w:sz w:val="24"/>
              </w:rPr>
            </w:pPr>
            <w:r>
              <w:rPr>
                <w:rFonts w:hint="eastAsia"/>
                <w:color w:val="auto"/>
                <w:sz w:val="24"/>
              </w:rPr>
              <w:t>（1</w:t>
            </w:r>
            <w:r>
              <w:rPr>
                <w:rFonts w:hint="eastAsia"/>
                <w:color w:val="auto"/>
                <w:sz w:val="24"/>
                <w:lang w:eastAsia="zh-CN"/>
              </w:rPr>
              <w:t>）</w:t>
            </w:r>
            <w:r>
              <w:rPr>
                <w:rFonts w:hint="eastAsia"/>
                <w:color w:val="auto"/>
                <w:sz w:val="24"/>
              </w:rPr>
              <w:t>按照设计文件绿化率要求，在厂区内进行绿化。</w:t>
            </w:r>
          </w:p>
          <w:p w14:paraId="5508396A">
            <w:pPr>
              <w:pStyle w:val="5"/>
              <w:ind w:firstLine="480"/>
              <w:rPr>
                <w:b w:val="0"/>
                <w:bCs w:val="0"/>
                <w:color w:val="auto"/>
              </w:rPr>
            </w:pPr>
            <w:r>
              <w:rPr>
                <w:rFonts w:hint="eastAsia"/>
                <w:b w:val="0"/>
                <w:bCs w:val="0"/>
                <w:color w:val="auto"/>
                <w:szCs w:val="24"/>
              </w:rPr>
              <w:t>（2</w:t>
            </w:r>
            <w:r>
              <w:rPr>
                <w:rFonts w:hint="eastAsia"/>
                <w:b w:val="0"/>
                <w:bCs w:val="0"/>
                <w:color w:val="auto"/>
                <w:szCs w:val="24"/>
                <w:lang w:eastAsia="zh-CN"/>
              </w:rPr>
              <w:t>）</w:t>
            </w:r>
            <w:r>
              <w:rPr>
                <w:b w:val="0"/>
                <w:bCs w:val="0"/>
                <w:color w:val="auto"/>
              </w:rPr>
              <w:t>加强营运期管理，</w:t>
            </w:r>
            <w:r>
              <w:rPr>
                <w:rFonts w:hint="eastAsia"/>
                <w:b w:val="0"/>
                <w:bCs w:val="0"/>
                <w:color w:val="auto"/>
              </w:rPr>
              <w:t>不得对周边林木进行砍伐、破坏，并</w:t>
            </w:r>
            <w:r>
              <w:rPr>
                <w:b w:val="0"/>
                <w:bCs w:val="0"/>
                <w:color w:val="auto"/>
              </w:rPr>
              <w:t>保证</w:t>
            </w:r>
            <w:r>
              <w:rPr>
                <w:rFonts w:hint="eastAsia"/>
                <w:b w:val="0"/>
                <w:bCs w:val="0"/>
                <w:color w:val="auto"/>
              </w:rPr>
              <w:t>本项目区内</w:t>
            </w:r>
            <w:r>
              <w:rPr>
                <w:b w:val="0"/>
                <w:bCs w:val="0"/>
                <w:color w:val="auto"/>
              </w:rPr>
              <w:t>各项工程设施完好</w:t>
            </w:r>
            <w:r>
              <w:rPr>
                <w:rFonts w:hint="eastAsia"/>
                <w:b w:val="0"/>
                <w:bCs w:val="0"/>
                <w:color w:val="auto"/>
              </w:rPr>
              <w:t>、污染物达标排放</w:t>
            </w:r>
            <w:r>
              <w:rPr>
                <w:b w:val="0"/>
                <w:bCs w:val="0"/>
                <w:color w:val="auto"/>
              </w:rPr>
              <w:t>和确保安全生产。</w:t>
            </w:r>
          </w:p>
          <w:p w14:paraId="5BF35A36">
            <w:pPr>
              <w:pStyle w:val="5"/>
              <w:bidi w:val="0"/>
              <w:rPr>
                <w:rFonts w:hint="eastAsia"/>
                <w:lang w:val="en-US" w:eastAsia="zh-CN"/>
              </w:rPr>
            </w:pPr>
            <w:r>
              <w:rPr>
                <w:rFonts w:hint="eastAsia"/>
                <w:lang w:val="en-US" w:eastAsia="zh-CN"/>
              </w:rPr>
              <w:t>8、清洁生产分析</w:t>
            </w:r>
          </w:p>
          <w:p w14:paraId="5109ED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清洁生产就是把污染控制的重点从源来的末端治理转移到全过程的污染控制，全过程体现在原料、工艺、设备、管理、三废排放等各个方面，从而使污染物的发生量、排放量最小化。清洁生产突出表面在生产工艺、使用的原辅材料等方面。</w:t>
            </w:r>
          </w:p>
          <w:p w14:paraId="62A654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生产原料分析</w:t>
            </w:r>
          </w:p>
          <w:p w14:paraId="0E492E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本项目主要原材料为农产品和畜产品，均外购。原辅材料的选择，符合国家或行业有关标准（GB1352、GB8611、GB1535、GB/T1941、GB16692、GB17602等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，并保证对人体健康没有任何损害，以及在生产过程中对生态环境没有负面影响。</w:t>
            </w:r>
          </w:p>
          <w:p w14:paraId="3528E7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生产工艺及设备分析</w:t>
            </w:r>
          </w:p>
          <w:p w14:paraId="6B0082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在生产过程中，采用较为先进的工艺，并优先考虑采用无污染或少污染的生产设备，不采用国家或行业禁止使用的生产设备，以提高物料转化成产品的效率，减少单位产量物料消耗量和污染物产生量。项目生产工艺达到国内同行业平均水平，生产设备技术性能达到国内先进水平。</w:t>
            </w:r>
          </w:p>
          <w:p w14:paraId="551E8E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资源能源利用分析</w:t>
            </w:r>
          </w:p>
          <w:p w14:paraId="6B8D64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能源是国民经济的基础，随着经济发展的不断深入，工业生产快速发展，能源供给和面求的矛盾日益突出，目前能源紧缺已成为我国国民经济发展的一个制约因素。合理艇能源和节约能源，对于工业项目的建设有十分重要的意义，合理、节约利用能源也是本项目必须遵循的原则。本项目采用较为先进的设备和技术，从用电、用水、用气方面尽量做到节约，响应国家构建节约社会的号召，符合清洁生产原则中的节能降耗。</w:t>
            </w:r>
          </w:p>
          <w:p w14:paraId="2D776E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污染物产生及废物回收利用指标</w:t>
            </w:r>
          </w:p>
          <w:p w14:paraId="6AA59D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本项目废水主要有生产废水和生活污水，各类废水均得到有效收集，经厂区污水处理系统处理达到《肉类加工工业水污染物排放标准》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GB13457-92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中表3三级排放限值标准排放至市政下水道，对地表水环境的影响较小。采用低噪声设备，可确保噪声达标排放。固体废物去向明确，得到了合理处置，对环境无遗留影响。各类废气的排放合理处置，对环境无明显影响。</w:t>
            </w:r>
          </w:p>
          <w:p w14:paraId="31BEC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清洁生产管理</w:t>
            </w:r>
          </w:p>
          <w:p w14:paraId="2E1FA0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①加强质量控制；</w:t>
            </w:r>
          </w:p>
          <w:p w14:paraId="1B84F9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②要求生产厂房制定出清洁生产管理的规章制度和目标要求，由厂房主要领导人监管此项工作，并要求做出清洁生产承诺，同时开展一年一度的：“清洁生产”评比活动和奖惩制度；</w:t>
            </w:r>
          </w:p>
          <w:p w14:paraId="596A87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③加强全厂环保设施的日常管理和维护工作，建立健全环保设施的运行管理制度、定期检查制度、设备维护制度，确保环保设施高效运行；</w:t>
            </w:r>
          </w:p>
          <w:p w14:paraId="682A3E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④加强生产过程的作业管理，控制和减少污染物的“跑、冒、滴、漏”；</w:t>
            </w:r>
          </w:p>
          <w:p w14:paraId="499989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⑤加强对废气和废水污染源的日常监测，掌握环保设施的运行情况，出现问题及时解决；</w:t>
            </w:r>
          </w:p>
          <w:p w14:paraId="1A1C64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⑥建立完善的环境管理体系，配备兼职环保管理人员，建立各种环保管理规章制度，应按清洁生产管理要求实施。</w:t>
            </w:r>
          </w:p>
          <w:p w14:paraId="612F9D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清洁生产分析结论</w:t>
            </w:r>
          </w:p>
          <w:p w14:paraId="375015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本项目结合自身实际情况，各产品其工艺成熟可靠，生产水平较高，能源利用率高，资源综合利用水平高，污染物的产生量少，生产用水重复利用率高，产品产出率高。</w:t>
            </w:r>
          </w:p>
          <w:p w14:paraId="7CE906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进一步提高清洁生产水平的建议</w:t>
            </w:r>
          </w:p>
          <w:p w14:paraId="63D32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从对建设项目清洁生产的分析评价可以看出，本项目建成后，尚可在清洁生产方面作出更的改进，结合本项目的实际情况提出如下建议：</w:t>
            </w:r>
          </w:p>
          <w:p w14:paraId="35A3DF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加强基础管理，提高企业管理水平，对原料、燃料、电、生产水等所有物料都进行有效管理，实行节奖超罚等管理手段，逐步减少原辅材料及能源的消耗、降低成本。</w:t>
            </w:r>
          </w:p>
          <w:p w14:paraId="00971C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①加强企业环境管理，逐步实现对各个产污环节（废水、废气、固体废物等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进行有效的监控。</w:t>
            </w:r>
          </w:p>
          <w:p w14:paraId="26577B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②加强车间现场管理，逐步杜绝跑、冒、滴、漏，特别是明显的跑、冒、滴、漏。</w:t>
            </w:r>
          </w:p>
          <w:p w14:paraId="5C999F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制定切实可行的环保管理措施及制度，加强环保知识的宣传和教育。实践证明，工业生产对环境影响的大小，很大程度上取决于企业管理人员的环境意识和环境管理，尤其是环保设施运行管理、维护保养及检查监督制度的严格执行，确保污染物达标排放。</w:t>
            </w:r>
          </w:p>
          <w:p w14:paraId="2ED9CF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为了实施企业可持续发展的战略，对污染物治理采取以防为主，防治结合，尽量做到节省物耗、能耗，根据《清洁生产促进法》有关要求，建议企业在项目建设和建成运营过程中积极推行清洁生产审计和ISO14001环境管理体系认证，加强生产全过程控制，持续改进和优化生产工艺、技术装备，加强物料循环和废物综合利用，从源头减少排污，提高资源能源利用率，在此基础上，确保稳中有降类废物得到有效治理，减轻对环境的不良影响，实现可持续发展。</w:t>
            </w:r>
          </w:p>
          <w:p w14:paraId="1BCBF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综上分析，本项目生产工艺与装备要求、资源能源利用指标、产品指标、污染物产生指标等方面处于可接受范围内，该工程符合“清洁生产”的要求。</w:t>
            </w:r>
          </w:p>
          <w:p w14:paraId="30C31E97">
            <w:pPr>
              <w:pStyle w:val="5"/>
              <w:bidi w:val="0"/>
              <w:rPr>
                <w:rFonts w:hint="eastAsia"/>
                <w:color w:val="auto"/>
                <w:lang w:val="en-US" w:eastAsia="zh-CN"/>
              </w:rPr>
            </w:pPr>
            <w:r>
              <w:rPr>
                <w:rFonts w:hint="eastAsia"/>
                <w:color w:val="auto"/>
                <w:lang w:val="en-US" w:eastAsia="zh-CN"/>
              </w:rPr>
              <w:t>9、环境风险影响分析</w:t>
            </w:r>
          </w:p>
          <w:p w14:paraId="24D703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根据本项目使用的原辅材料产生的各类污染物，确定本项目主要的危险物质为天然气（甲烷</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和制冷剂</w:t>
            </w:r>
            <w:r>
              <w:rPr>
                <w:rFonts w:hint="default" w:ascii="宋体" w:hAnsi="宋体" w:eastAsia="宋体" w:cs="宋体"/>
                <w:color w:val="auto"/>
                <w:sz w:val="24"/>
                <w:szCs w:val="24"/>
                <w:lang w:val="en-US" w:eastAsia="zh-CN"/>
              </w:rPr>
              <w:t>。厂内不设天然气储罐，天然气由</w:t>
            </w:r>
            <w:r>
              <w:rPr>
                <w:rFonts w:hint="eastAsia" w:ascii="宋体" w:hAnsi="宋体" w:eastAsia="宋体" w:cs="宋体"/>
                <w:color w:val="auto"/>
                <w:sz w:val="24"/>
                <w:szCs w:val="24"/>
                <w:lang w:val="en-US" w:eastAsia="zh-CN"/>
              </w:rPr>
              <w:t>兰干乡</w:t>
            </w:r>
            <w:r>
              <w:rPr>
                <w:rFonts w:hint="default" w:ascii="宋体" w:hAnsi="宋体" w:eastAsia="宋体" w:cs="宋体"/>
                <w:color w:val="auto"/>
                <w:sz w:val="24"/>
                <w:szCs w:val="24"/>
                <w:lang w:val="en-US" w:eastAsia="zh-CN"/>
              </w:rPr>
              <w:t>市政天然气管道供给，</w:t>
            </w:r>
            <w:r>
              <w:rPr>
                <w:rFonts w:hint="eastAsia" w:ascii="宋体" w:hAnsi="宋体" w:eastAsia="宋体" w:cs="宋体"/>
                <w:color w:val="auto"/>
                <w:sz w:val="24"/>
                <w:szCs w:val="24"/>
                <w:lang w:val="en-US" w:eastAsia="zh-CN"/>
              </w:rPr>
              <w:t>厂内天然气管道长度约为300m，管道直径为16cm，管道设计压力为4KPa，计算出厂内</w:t>
            </w:r>
            <w:r>
              <w:rPr>
                <w:rFonts w:hint="default" w:ascii="宋体" w:hAnsi="宋体" w:eastAsia="宋体" w:cs="宋体"/>
                <w:color w:val="auto"/>
                <w:sz w:val="24"/>
                <w:szCs w:val="24"/>
                <w:lang w:val="en-US" w:eastAsia="zh-CN"/>
              </w:rPr>
              <w:t>管道内天然气量约为</w:t>
            </w:r>
            <w:r>
              <w:rPr>
                <w:rFonts w:hint="eastAsia" w:ascii="宋体" w:hAnsi="宋体" w:eastAsia="宋体" w:cs="宋体"/>
                <w:color w:val="auto"/>
                <w:sz w:val="24"/>
                <w:szCs w:val="24"/>
                <w:lang w:val="en-US" w:eastAsia="zh-CN"/>
              </w:rPr>
              <w:t>0.004</w:t>
            </w:r>
            <w:r>
              <w:rPr>
                <w:rFonts w:hint="default" w:ascii="宋体" w:hAnsi="宋体" w:eastAsia="宋体" w:cs="宋体"/>
                <w:color w:val="auto"/>
                <w:sz w:val="24"/>
                <w:szCs w:val="24"/>
                <w:lang w:val="en-US" w:eastAsia="zh-CN"/>
              </w:rPr>
              <w:t>t</w:t>
            </w:r>
            <w:r>
              <w:rPr>
                <w:rFonts w:hint="eastAsia" w:ascii="宋体" w:hAnsi="宋体" w:eastAsia="宋体" w:cs="宋体"/>
                <w:color w:val="auto"/>
                <w:sz w:val="24"/>
                <w:szCs w:val="24"/>
                <w:lang w:val="en-US" w:eastAsia="zh-CN"/>
              </w:rPr>
              <w:t>；制冷剂用于冷库，不储存，考虑到其泄漏对大气环境的影响，本次评价将其作为风险物质考虑。本项目危险物质最大暂存量及与临界量详见下表。</w:t>
            </w:r>
          </w:p>
          <w:p w14:paraId="2CDCB25D">
            <w:pPr>
              <w:jc w:val="center"/>
              <w:rPr>
                <w:rFonts w:hint="default" w:eastAsia="宋体"/>
                <w:b/>
                <w:bCs/>
                <w:color w:val="auto"/>
                <w:szCs w:val="21"/>
                <w:highlight w:val="none"/>
                <w:lang w:val="en-US" w:eastAsia="zh-CN"/>
              </w:rPr>
            </w:pPr>
            <w:r>
              <w:rPr>
                <w:b/>
                <w:bCs/>
                <w:color w:val="auto"/>
                <w:szCs w:val="21"/>
                <w:highlight w:val="none"/>
              </w:rPr>
              <w:t>表</w:t>
            </w:r>
            <w:r>
              <w:rPr>
                <w:rFonts w:hint="eastAsia"/>
                <w:b/>
                <w:bCs/>
                <w:color w:val="auto"/>
                <w:szCs w:val="21"/>
                <w:highlight w:val="none"/>
                <w:lang w:val="en-US" w:eastAsia="zh-CN"/>
              </w:rPr>
              <w:t xml:space="preserve">4-18   </w:t>
            </w:r>
            <w:r>
              <w:rPr>
                <w:b/>
                <w:bCs/>
                <w:color w:val="auto"/>
                <w:szCs w:val="21"/>
                <w:highlight w:val="none"/>
              </w:rPr>
              <w:t xml:space="preserve"> </w:t>
            </w:r>
            <w:r>
              <w:rPr>
                <w:rFonts w:hint="eastAsia"/>
                <w:b/>
                <w:color w:val="auto"/>
                <w:szCs w:val="20"/>
                <w:highlight w:val="none"/>
                <w:lang w:val="en-US" w:eastAsia="zh-CN"/>
              </w:rPr>
              <w:t>本项目危险物质情况一览表</w:t>
            </w:r>
          </w:p>
          <w:tbl>
            <w:tblPr>
              <w:tblStyle w:val="29"/>
              <w:tblW w:w="8378" w:type="dxa"/>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5"/>
              <w:gridCol w:w="1741"/>
              <w:gridCol w:w="949"/>
              <w:gridCol w:w="1401"/>
              <w:gridCol w:w="1372"/>
              <w:gridCol w:w="2020"/>
            </w:tblGrid>
            <w:tr w14:paraId="40C64A48">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534" w:type="pct"/>
                  <w:tcBorders>
                    <w:tl2br w:val="nil"/>
                    <w:tr2bl w:val="nil"/>
                  </w:tcBorders>
                  <w:noWrap w:val="0"/>
                  <w:vAlign w:val="center"/>
                </w:tcPr>
                <w:p w14:paraId="59D26700">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序号</w:t>
                  </w:r>
                </w:p>
              </w:tc>
              <w:tc>
                <w:tcPr>
                  <w:tcW w:w="1039" w:type="pct"/>
                  <w:tcBorders>
                    <w:tl2br w:val="nil"/>
                    <w:tr2bl w:val="nil"/>
                  </w:tcBorders>
                  <w:noWrap w:val="0"/>
                  <w:vAlign w:val="center"/>
                </w:tcPr>
                <w:p w14:paraId="3DB4C989">
                  <w:pPr>
                    <w:adjustRightInd w:val="0"/>
                    <w:snapToGrid w:val="0"/>
                    <w:jc w:val="center"/>
                    <w:rPr>
                      <w:rFonts w:hint="eastAsia"/>
                      <w:color w:val="auto"/>
                      <w:szCs w:val="21"/>
                      <w:highlight w:val="none"/>
                    </w:rPr>
                  </w:pPr>
                  <w:r>
                    <w:rPr>
                      <w:rFonts w:hint="eastAsia"/>
                      <w:color w:val="auto"/>
                      <w:szCs w:val="21"/>
                      <w:highlight w:val="none"/>
                    </w:rPr>
                    <w:t>名称</w:t>
                  </w:r>
                </w:p>
              </w:tc>
              <w:tc>
                <w:tcPr>
                  <w:tcW w:w="566" w:type="pct"/>
                  <w:tcBorders>
                    <w:tl2br w:val="nil"/>
                    <w:tr2bl w:val="nil"/>
                  </w:tcBorders>
                  <w:noWrap w:val="0"/>
                  <w:vAlign w:val="center"/>
                </w:tcPr>
                <w:p w14:paraId="7EB78AB2">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性状</w:t>
                  </w:r>
                </w:p>
              </w:tc>
              <w:tc>
                <w:tcPr>
                  <w:tcW w:w="836" w:type="pct"/>
                  <w:tcBorders>
                    <w:tl2br w:val="nil"/>
                    <w:tr2bl w:val="nil"/>
                  </w:tcBorders>
                  <w:noWrap w:val="0"/>
                  <w:vAlign w:val="center"/>
                </w:tcPr>
                <w:p w14:paraId="0DA3F9A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危险特性</w:t>
                  </w:r>
                </w:p>
              </w:tc>
              <w:tc>
                <w:tcPr>
                  <w:tcW w:w="818" w:type="pct"/>
                  <w:tcBorders>
                    <w:tl2br w:val="nil"/>
                    <w:tr2bl w:val="nil"/>
                  </w:tcBorders>
                  <w:noWrap w:val="0"/>
                  <w:vAlign w:val="center"/>
                </w:tcPr>
                <w:p w14:paraId="111C279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最大暂存量</w:t>
                  </w:r>
                </w:p>
              </w:tc>
              <w:tc>
                <w:tcPr>
                  <w:tcW w:w="1205" w:type="pct"/>
                  <w:tcBorders>
                    <w:tl2br w:val="nil"/>
                    <w:tr2bl w:val="nil"/>
                  </w:tcBorders>
                  <w:noWrap w:val="0"/>
                  <w:vAlign w:val="center"/>
                </w:tcPr>
                <w:p w14:paraId="7AB37B2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临界量</w:t>
                  </w:r>
                </w:p>
              </w:tc>
            </w:tr>
            <w:tr w14:paraId="6B05FD2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534" w:type="pct"/>
                  <w:tcBorders>
                    <w:tl2br w:val="nil"/>
                    <w:tr2bl w:val="nil"/>
                  </w:tcBorders>
                  <w:noWrap w:val="0"/>
                  <w:vAlign w:val="center"/>
                </w:tcPr>
                <w:p w14:paraId="3D0133D0">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1039" w:type="pct"/>
                  <w:tcBorders>
                    <w:tl2br w:val="nil"/>
                    <w:tr2bl w:val="nil"/>
                  </w:tcBorders>
                  <w:noWrap w:val="0"/>
                  <w:vAlign w:val="center"/>
                </w:tcPr>
                <w:p w14:paraId="513490BC">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天然气</w:t>
                  </w:r>
                </w:p>
              </w:tc>
              <w:tc>
                <w:tcPr>
                  <w:tcW w:w="566" w:type="pct"/>
                  <w:tcBorders>
                    <w:tl2br w:val="nil"/>
                    <w:tr2bl w:val="nil"/>
                  </w:tcBorders>
                  <w:noWrap w:val="0"/>
                  <w:vAlign w:val="center"/>
                </w:tcPr>
                <w:p w14:paraId="4FD9AED3">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气态</w:t>
                  </w:r>
                </w:p>
              </w:tc>
              <w:tc>
                <w:tcPr>
                  <w:tcW w:w="836" w:type="pct"/>
                  <w:tcBorders>
                    <w:tl2br w:val="nil"/>
                    <w:tr2bl w:val="nil"/>
                  </w:tcBorders>
                  <w:noWrap w:val="0"/>
                  <w:vAlign w:val="center"/>
                </w:tcPr>
                <w:p w14:paraId="4F16AD4B">
                  <w:pPr>
                    <w:adjustRightInd w:val="0"/>
                    <w:snapToGrid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易燃易爆</w:t>
                  </w:r>
                </w:p>
              </w:tc>
              <w:tc>
                <w:tcPr>
                  <w:tcW w:w="818" w:type="pct"/>
                  <w:tcBorders>
                    <w:tl2br w:val="nil"/>
                    <w:tr2bl w:val="nil"/>
                  </w:tcBorders>
                  <w:noWrap w:val="0"/>
                  <w:vAlign w:val="center"/>
                </w:tcPr>
                <w:p w14:paraId="5E02FF73">
                  <w:pPr>
                    <w:adjustRightInd w:val="0"/>
                    <w:snapToGrid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0.035t</w:t>
                  </w:r>
                </w:p>
              </w:tc>
              <w:tc>
                <w:tcPr>
                  <w:tcW w:w="1205" w:type="pct"/>
                  <w:tcBorders>
                    <w:tl2br w:val="nil"/>
                    <w:tr2bl w:val="nil"/>
                  </w:tcBorders>
                  <w:noWrap w:val="0"/>
                  <w:vAlign w:val="center"/>
                </w:tcPr>
                <w:p w14:paraId="687A3563">
                  <w:pPr>
                    <w:adjustRightInd w:val="0"/>
                    <w:snapToGrid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10t（甲烷</w:t>
                  </w:r>
                  <w:r>
                    <w:rPr>
                      <w:rFonts w:hint="eastAsia"/>
                      <w:color w:val="auto"/>
                      <w:szCs w:val="21"/>
                      <w:highlight w:val="none"/>
                      <w:lang w:val="en-US" w:eastAsia="zh-CN"/>
                    </w:rPr>
                    <w:t>）</w:t>
                  </w:r>
                </w:p>
              </w:tc>
            </w:tr>
            <w:tr w14:paraId="143293AD">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534" w:type="pct"/>
                  <w:tcBorders>
                    <w:tl2br w:val="nil"/>
                    <w:tr2bl w:val="nil"/>
                  </w:tcBorders>
                  <w:noWrap w:val="0"/>
                  <w:vAlign w:val="center"/>
                </w:tcPr>
                <w:p w14:paraId="767E468D">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w:t>
                  </w:r>
                </w:p>
              </w:tc>
              <w:tc>
                <w:tcPr>
                  <w:tcW w:w="1039" w:type="pct"/>
                  <w:tcBorders>
                    <w:tl2br w:val="nil"/>
                    <w:tr2bl w:val="nil"/>
                  </w:tcBorders>
                  <w:noWrap w:val="0"/>
                  <w:vAlign w:val="center"/>
                </w:tcPr>
                <w:p w14:paraId="475B459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制冷剂</w:t>
                  </w:r>
                </w:p>
              </w:tc>
              <w:tc>
                <w:tcPr>
                  <w:tcW w:w="566" w:type="pct"/>
                  <w:tcBorders>
                    <w:tl2br w:val="nil"/>
                    <w:tr2bl w:val="nil"/>
                  </w:tcBorders>
                  <w:noWrap w:val="0"/>
                  <w:vAlign w:val="center"/>
                </w:tcPr>
                <w:p w14:paraId="1B4091AF">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液态</w:t>
                  </w:r>
                </w:p>
              </w:tc>
              <w:tc>
                <w:tcPr>
                  <w:tcW w:w="836" w:type="pct"/>
                  <w:tcBorders>
                    <w:tl2br w:val="nil"/>
                    <w:tr2bl w:val="nil"/>
                  </w:tcBorders>
                  <w:noWrap w:val="0"/>
                  <w:vAlign w:val="center"/>
                </w:tcPr>
                <w:p w14:paraId="39F0B751">
                  <w:pPr>
                    <w:adjustRightInd w:val="0"/>
                    <w:snapToGrid w:val="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c>
                <w:tcPr>
                  <w:tcW w:w="818" w:type="pct"/>
                  <w:tcBorders>
                    <w:tl2br w:val="nil"/>
                    <w:tr2bl w:val="nil"/>
                  </w:tcBorders>
                  <w:noWrap w:val="0"/>
                  <w:vAlign w:val="center"/>
                </w:tcPr>
                <w:p w14:paraId="77509DCD">
                  <w:pPr>
                    <w:adjustRightInd w:val="0"/>
                    <w:snapToGrid w:val="0"/>
                    <w:jc w:val="center"/>
                    <w:rPr>
                      <w:rFonts w:hint="eastAsia"/>
                      <w:color w:val="auto"/>
                      <w:szCs w:val="21"/>
                      <w:highlight w:val="none"/>
                      <w:lang w:val="en-US" w:eastAsia="zh-CN"/>
                    </w:rPr>
                  </w:pPr>
                  <w:r>
                    <w:rPr>
                      <w:rFonts w:hint="eastAsia" w:eastAsia="宋体"/>
                      <w:color w:val="auto"/>
                      <w:szCs w:val="21"/>
                      <w:highlight w:val="none"/>
                      <w:lang w:val="en-US" w:eastAsia="zh-CN"/>
                    </w:rPr>
                    <w:t>/</w:t>
                  </w:r>
                </w:p>
              </w:tc>
              <w:tc>
                <w:tcPr>
                  <w:tcW w:w="1205" w:type="pct"/>
                  <w:tcBorders>
                    <w:tl2br w:val="nil"/>
                    <w:tr2bl w:val="nil"/>
                  </w:tcBorders>
                  <w:noWrap w:val="0"/>
                  <w:vAlign w:val="center"/>
                </w:tcPr>
                <w:p w14:paraId="4CC9067E">
                  <w:pPr>
                    <w:adjustRightInd w:val="0"/>
                    <w:snapToGrid w:val="0"/>
                    <w:jc w:val="center"/>
                    <w:rPr>
                      <w:rFonts w:hint="eastAsia" w:eastAsia="宋体"/>
                      <w:color w:val="auto"/>
                      <w:szCs w:val="21"/>
                      <w:highlight w:val="none"/>
                      <w:lang w:val="en-US" w:eastAsia="zh-CN"/>
                    </w:rPr>
                  </w:pPr>
                  <w:r>
                    <w:rPr>
                      <w:rFonts w:hint="eastAsia" w:eastAsia="宋体"/>
                      <w:color w:val="auto"/>
                      <w:szCs w:val="21"/>
                      <w:highlight w:val="none"/>
                      <w:lang w:val="en-US" w:eastAsia="zh-CN"/>
                    </w:rPr>
                    <w:t>/</w:t>
                  </w:r>
                </w:p>
              </w:tc>
            </w:tr>
          </w:tbl>
          <w:p w14:paraId="6724DDBA">
            <w:pPr>
              <w:keepNext w:val="0"/>
              <w:keepLines w:val="0"/>
              <w:pageBreakBefore w:val="0"/>
              <w:widowControl w:val="0"/>
              <w:kinsoku/>
              <w:wordWrap/>
              <w:overflowPunct/>
              <w:topLinePunct w:val="0"/>
              <w:autoSpaceDE w:val="0"/>
              <w:autoSpaceDN w:val="0"/>
              <w:bidi w:val="0"/>
              <w:adjustRightInd w:val="0"/>
              <w:snapToGrid w:val="0"/>
              <w:spacing w:before="313" w:beforeLines="10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根据《建设项目环境风险评价技术导则》（</w:t>
            </w:r>
            <w:r>
              <w:rPr>
                <w:rFonts w:hint="default" w:ascii="Times New Roman" w:hAnsi="Times New Roman" w:eastAsia="宋体" w:cs="Times New Roman"/>
                <w:color w:val="auto"/>
                <w:kern w:val="0"/>
                <w:sz w:val="24"/>
                <w:szCs w:val="24"/>
                <w:highlight w:val="none"/>
                <w:lang w:val="en-US" w:eastAsia="zh-CN" w:bidi="ar"/>
              </w:rPr>
              <w:t>HJ 169-2018</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附录 </w:t>
            </w:r>
            <w:r>
              <w:rPr>
                <w:rFonts w:hint="default" w:ascii="Times New Roman" w:hAnsi="Times New Roman" w:eastAsia="宋体" w:cs="Times New Roman"/>
                <w:color w:val="auto"/>
                <w:kern w:val="0"/>
                <w:sz w:val="24"/>
                <w:szCs w:val="24"/>
                <w:highlight w:val="none"/>
                <w:lang w:val="en-US" w:eastAsia="zh-CN" w:bidi="ar"/>
              </w:rPr>
              <w:t xml:space="preserve">B </w:t>
            </w:r>
            <w:r>
              <w:rPr>
                <w:rFonts w:hint="eastAsia" w:ascii="宋体" w:hAnsi="宋体" w:eastAsia="宋体" w:cs="宋体"/>
                <w:color w:val="auto"/>
                <w:kern w:val="0"/>
                <w:sz w:val="24"/>
                <w:szCs w:val="24"/>
                <w:highlight w:val="none"/>
                <w:lang w:val="en-US" w:eastAsia="zh-CN" w:bidi="ar"/>
              </w:rPr>
              <w:t>及《危险化学品重大危险源辨别》（</w:t>
            </w:r>
            <w:r>
              <w:rPr>
                <w:rFonts w:hint="default" w:ascii="Times New Roman" w:hAnsi="Times New Roman" w:eastAsia="宋体" w:cs="Times New Roman"/>
                <w:color w:val="auto"/>
                <w:kern w:val="0"/>
                <w:sz w:val="24"/>
                <w:szCs w:val="24"/>
                <w:highlight w:val="none"/>
                <w:lang w:val="en-US" w:eastAsia="zh-CN" w:bidi="ar"/>
              </w:rPr>
              <w:t>GB18218-2018</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可知</w:t>
            </w:r>
            <w:r>
              <w:rPr>
                <w:rFonts w:hint="default" w:ascii="Times New Roman" w:hAnsi="Times New Roman" w:eastAsia="宋体" w:cs="Times New Roman"/>
                <w:b w:val="0"/>
                <w:bCs w:val="0"/>
                <w:color w:val="auto"/>
                <w:sz w:val="24"/>
                <w:szCs w:val="24"/>
                <w:highlight w:val="none"/>
                <w:lang w:val="en-US" w:eastAsia="zh-CN"/>
              </w:rPr>
              <w:t>，本项目风险物质均小于附录B中对应临界量。</w:t>
            </w:r>
          </w:p>
          <w:p w14:paraId="186BE8D7">
            <w:pPr>
              <w:pStyle w:val="5"/>
              <w:bidi w:val="0"/>
              <w:rPr>
                <w:color w:val="auto"/>
              </w:rPr>
            </w:pPr>
            <w:r>
              <w:rPr>
                <w:rFonts w:hint="eastAsia"/>
                <w:color w:val="auto"/>
                <w:lang w:val="en-US" w:eastAsia="zh-CN"/>
              </w:rPr>
              <w:t>9.1</w:t>
            </w:r>
            <w:r>
              <w:rPr>
                <w:rFonts w:hint="eastAsia"/>
                <w:color w:val="auto"/>
              </w:rPr>
              <w:t>环境风险识别</w:t>
            </w:r>
          </w:p>
          <w:p w14:paraId="341D0CB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56"/>
              <w:textAlignment w:val="auto"/>
              <w:rPr>
                <w:rFonts w:hint="default"/>
                <w:color w:val="auto"/>
                <w:sz w:val="24"/>
                <w:highlight w:val="none"/>
                <w:lang w:bidi="ar"/>
              </w:rPr>
            </w:pPr>
            <w:r>
              <w:rPr>
                <w:rFonts w:hint="default"/>
                <w:color w:val="auto"/>
                <w:sz w:val="24"/>
                <w:highlight w:val="none"/>
                <w:lang w:val="en-US" w:eastAsia="zh-CN" w:bidi="ar"/>
              </w:rPr>
              <w:t>本项目的环境风险识别情况见下表。</w:t>
            </w:r>
          </w:p>
          <w:p w14:paraId="5CED926F">
            <w:pPr>
              <w:bidi w:val="0"/>
              <w:jc w:val="center"/>
              <w:rPr>
                <w:rFonts w:hint="default"/>
                <w:b/>
                <w:bCs/>
                <w:color w:val="auto"/>
              </w:rPr>
            </w:pPr>
            <w:r>
              <w:rPr>
                <w:rFonts w:hint="default"/>
                <w:b/>
                <w:bCs/>
                <w:color w:val="auto"/>
              </w:rPr>
              <w:t>表</w:t>
            </w:r>
            <w:r>
              <w:rPr>
                <w:rFonts w:hint="eastAsia"/>
                <w:b/>
                <w:bCs/>
                <w:color w:val="auto"/>
                <w:lang w:val="en-US" w:eastAsia="zh-CN"/>
              </w:rPr>
              <w:t xml:space="preserve">4-19  </w:t>
            </w:r>
            <w:r>
              <w:rPr>
                <w:rFonts w:hint="default"/>
                <w:b/>
                <w:bCs/>
                <w:color w:val="auto"/>
              </w:rPr>
              <w:t xml:space="preserve"> </w:t>
            </w:r>
            <w:r>
              <w:rPr>
                <w:rFonts w:hint="eastAsia"/>
                <w:b/>
                <w:bCs/>
                <w:color w:val="auto"/>
                <w:lang w:val="en-US" w:eastAsia="zh-CN"/>
              </w:rPr>
              <w:t xml:space="preserve">  </w:t>
            </w:r>
            <w:r>
              <w:rPr>
                <w:rFonts w:hint="default"/>
                <w:b/>
                <w:bCs/>
                <w:color w:val="auto"/>
              </w:rPr>
              <w:t>环境风险识别</w:t>
            </w:r>
          </w:p>
          <w:tbl>
            <w:tblPr>
              <w:tblStyle w:val="30"/>
              <w:tblW w:w="831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0"/>
              <w:gridCol w:w="762"/>
              <w:gridCol w:w="707"/>
              <w:gridCol w:w="924"/>
              <w:gridCol w:w="1084"/>
              <w:gridCol w:w="4330"/>
            </w:tblGrid>
            <w:tr w14:paraId="5613E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10" w:type="dxa"/>
                  <w:tcBorders>
                    <w:tl2br w:val="nil"/>
                    <w:tr2bl w:val="nil"/>
                  </w:tcBorders>
                  <w:noWrap w:val="0"/>
                  <w:vAlign w:val="center"/>
                </w:tcPr>
                <w:p w14:paraId="5900F196">
                  <w:pPr>
                    <w:bidi w:val="0"/>
                    <w:rPr>
                      <w:rFonts w:hint="default"/>
                      <w:color w:val="auto"/>
                    </w:rPr>
                  </w:pPr>
                  <w:r>
                    <w:rPr>
                      <w:rFonts w:hint="default"/>
                      <w:color w:val="auto"/>
                    </w:rPr>
                    <w:t>序号</w:t>
                  </w:r>
                </w:p>
              </w:tc>
              <w:tc>
                <w:tcPr>
                  <w:tcW w:w="762" w:type="dxa"/>
                  <w:tcBorders>
                    <w:tl2br w:val="nil"/>
                    <w:tr2bl w:val="nil"/>
                  </w:tcBorders>
                  <w:noWrap w:val="0"/>
                  <w:vAlign w:val="center"/>
                </w:tcPr>
                <w:p w14:paraId="3D6899BB">
                  <w:pPr>
                    <w:bidi w:val="0"/>
                    <w:rPr>
                      <w:rFonts w:hint="default"/>
                      <w:color w:val="auto"/>
                      <w:lang w:eastAsia="zh-CN"/>
                    </w:rPr>
                  </w:pPr>
                  <w:r>
                    <w:rPr>
                      <w:rFonts w:hint="default"/>
                      <w:color w:val="auto"/>
                      <w:lang w:eastAsia="zh-CN"/>
                    </w:rPr>
                    <w:t>风险</w:t>
                  </w:r>
                </w:p>
                <w:p w14:paraId="4D583CD8">
                  <w:pPr>
                    <w:bidi w:val="0"/>
                    <w:rPr>
                      <w:rFonts w:hint="default"/>
                      <w:color w:val="auto"/>
                    </w:rPr>
                  </w:pPr>
                  <w:r>
                    <w:rPr>
                      <w:rFonts w:hint="default"/>
                      <w:color w:val="auto"/>
                    </w:rPr>
                    <w:t>单元</w:t>
                  </w:r>
                </w:p>
              </w:tc>
              <w:tc>
                <w:tcPr>
                  <w:tcW w:w="707" w:type="dxa"/>
                  <w:tcBorders>
                    <w:tl2br w:val="nil"/>
                    <w:tr2bl w:val="nil"/>
                  </w:tcBorders>
                  <w:noWrap w:val="0"/>
                  <w:vAlign w:val="center"/>
                </w:tcPr>
                <w:p w14:paraId="040C9D38">
                  <w:pPr>
                    <w:bidi w:val="0"/>
                    <w:rPr>
                      <w:rFonts w:hint="default"/>
                      <w:color w:val="auto"/>
                    </w:rPr>
                  </w:pPr>
                  <w:r>
                    <w:rPr>
                      <w:rFonts w:hint="default"/>
                      <w:color w:val="auto"/>
                    </w:rPr>
                    <w:t>风险源</w:t>
                  </w:r>
                </w:p>
              </w:tc>
              <w:tc>
                <w:tcPr>
                  <w:tcW w:w="924" w:type="dxa"/>
                  <w:tcBorders>
                    <w:tl2br w:val="nil"/>
                    <w:tr2bl w:val="nil"/>
                  </w:tcBorders>
                  <w:noWrap w:val="0"/>
                  <w:vAlign w:val="center"/>
                </w:tcPr>
                <w:p w14:paraId="1731A73D">
                  <w:pPr>
                    <w:bidi w:val="0"/>
                    <w:rPr>
                      <w:rFonts w:hint="default"/>
                      <w:color w:val="auto"/>
                    </w:rPr>
                  </w:pPr>
                  <w:r>
                    <w:rPr>
                      <w:rFonts w:hint="default"/>
                      <w:color w:val="auto"/>
                    </w:rPr>
                    <w:t>主要</w:t>
                  </w:r>
                  <w:r>
                    <w:rPr>
                      <w:rFonts w:hint="default"/>
                      <w:color w:val="auto"/>
                      <w:lang w:eastAsia="zh-CN"/>
                    </w:rPr>
                    <w:t>危险</w:t>
                  </w:r>
                  <w:r>
                    <w:rPr>
                      <w:rFonts w:hint="default"/>
                      <w:color w:val="auto"/>
                    </w:rPr>
                    <w:t>物质</w:t>
                  </w:r>
                </w:p>
              </w:tc>
              <w:tc>
                <w:tcPr>
                  <w:tcW w:w="1084" w:type="dxa"/>
                  <w:tcBorders>
                    <w:tl2br w:val="nil"/>
                    <w:tr2bl w:val="nil"/>
                  </w:tcBorders>
                  <w:noWrap w:val="0"/>
                  <w:vAlign w:val="center"/>
                </w:tcPr>
                <w:p w14:paraId="40B49094">
                  <w:pPr>
                    <w:bidi w:val="0"/>
                    <w:rPr>
                      <w:rFonts w:hint="default"/>
                      <w:color w:val="auto"/>
                    </w:rPr>
                  </w:pPr>
                  <w:r>
                    <w:rPr>
                      <w:rFonts w:hint="default"/>
                      <w:color w:val="auto"/>
                    </w:rPr>
                    <w:t>环境风险</w:t>
                  </w:r>
                </w:p>
                <w:p w14:paraId="162BA086">
                  <w:pPr>
                    <w:bidi w:val="0"/>
                    <w:rPr>
                      <w:rFonts w:hint="default"/>
                      <w:color w:val="auto"/>
                    </w:rPr>
                  </w:pPr>
                  <w:r>
                    <w:rPr>
                      <w:rFonts w:hint="default"/>
                      <w:color w:val="auto"/>
                    </w:rPr>
                    <w:t>类 型</w:t>
                  </w:r>
                </w:p>
              </w:tc>
              <w:tc>
                <w:tcPr>
                  <w:tcW w:w="4330" w:type="dxa"/>
                  <w:tcBorders>
                    <w:tl2br w:val="nil"/>
                    <w:tr2bl w:val="nil"/>
                  </w:tcBorders>
                  <w:noWrap w:val="0"/>
                  <w:vAlign w:val="center"/>
                </w:tcPr>
                <w:p w14:paraId="3261DAB1">
                  <w:pPr>
                    <w:bidi w:val="0"/>
                    <w:rPr>
                      <w:rFonts w:hint="default"/>
                      <w:color w:val="auto"/>
                    </w:rPr>
                  </w:pPr>
                  <w:r>
                    <w:rPr>
                      <w:rFonts w:hint="default"/>
                      <w:color w:val="auto"/>
                    </w:rPr>
                    <w:t>环境影响途径</w:t>
                  </w:r>
                </w:p>
              </w:tc>
            </w:tr>
            <w:tr w14:paraId="09A1D1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10" w:type="dxa"/>
                  <w:tcBorders>
                    <w:tl2br w:val="nil"/>
                    <w:tr2bl w:val="nil"/>
                  </w:tcBorders>
                  <w:noWrap w:val="0"/>
                  <w:vAlign w:val="center"/>
                </w:tcPr>
                <w:p w14:paraId="6659119F">
                  <w:pPr>
                    <w:bidi w:val="0"/>
                    <w:rPr>
                      <w:rFonts w:hint="default"/>
                      <w:color w:val="auto"/>
                    </w:rPr>
                  </w:pPr>
                  <w:r>
                    <w:rPr>
                      <w:rFonts w:hint="default"/>
                      <w:color w:val="auto"/>
                    </w:rPr>
                    <w:t>1</w:t>
                  </w:r>
                </w:p>
              </w:tc>
              <w:tc>
                <w:tcPr>
                  <w:tcW w:w="762" w:type="dxa"/>
                  <w:tcBorders>
                    <w:tl2br w:val="nil"/>
                    <w:tr2bl w:val="nil"/>
                  </w:tcBorders>
                  <w:noWrap w:val="0"/>
                  <w:vAlign w:val="center"/>
                </w:tcPr>
                <w:p w14:paraId="6526EC97">
                  <w:pPr>
                    <w:bidi w:val="0"/>
                    <w:rPr>
                      <w:rFonts w:hint="default"/>
                      <w:color w:val="auto"/>
                    </w:rPr>
                  </w:pPr>
                  <w:r>
                    <w:rPr>
                      <w:rFonts w:hint="default"/>
                      <w:color w:val="auto"/>
                    </w:rPr>
                    <w:t>燃气</w:t>
                  </w:r>
                </w:p>
                <w:p w14:paraId="4F16F7FF">
                  <w:pPr>
                    <w:bidi w:val="0"/>
                    <w:rPr>
                      <w:rFonts w:hint="default"/>
                      <w:color w:val="auto"/>
                    </w:rPr>
                  </w:pPr>
                  <w:r>
                    <w:rPr>
                      <w:rFonts w:hint="default"/>
                      <w:color w:val="auto"/>
                    </w:rPr>
                    <w:t>管道</w:t>
                  </w:r>
                </w:p>
              </w:tc>
              <w:tc>
                <w:tcPr>
                  <w:tcW w:w="707" w:type="dxa"/>
                  <w:tcBorders>
                    <w:tl2br w:val="nil"/>
                    <w:tr2bl w:val="nil"/>
                  </w:tcBorders>
                  <w:noWrap w:val="0"/>
                  <w:vAlign w:val="center"/>
                </w:tcPr>
                <w:p w14:paraId="59A04B00">
                  <w:pPr>
                    <w:bidi w:val="0"/>
                    <w:rPr>
                      <w:rFonts w:hint="default"/>
                      <w:color w:val="auto"/>
                    </w:rPr>
                  </w:pPr>
                  <w:r>
                    <w:rPr>
                      <w:rFonts w:hint="default"/>
                      <w:color w:val="auto"/>
                      <w:lang w:eastAsia="zh-CN"/>
                    </w:rPr>
                    <w:t>生产</w:t>
                  </w:r>
                  <w:r>
                    <w:rPr>
                      <w:rFonts w:hint="eastAsia"/>
                      <w:color w:val="auto"/>
                      <w:lang w:eastAsia="zh-CN"/>
                    </w:rPr>
                    <w:t>使用</w:t>
                  </w:r>
                </w:p>
              </w:tc>
              <w:tc>
                <w:tcPr>
                  <w:tcW w:w="924" w:type="dxa"/>
                  <w:tcBorders>
                    <w:tl2br w:val="nil"/>
                    <w:tr2bl w:val="nil"/>
                  </w:tcBorders>
                  <w:noWrap w:val="0"/>
                  <w:vAlign w:val="center"/>
                </w:tcPr>
                <w:p w14:paraId="2B51ACA5">
                  <w:pPr>
                    <w:bidi w:val="0"/>
                    <w:rPr>
                      <w:rFonts w:hint="default"/>
                      <w:color w:val="auto"/>
                    </w:rPr>
                  </w:pPr>
                  <w:r>
                    <w:rPr>
                      <w:rFonts w:hint="default"/>
                      <w:color w:val="auto"/>
                    </w:rPr>
                    <w:t>天然气</w:t>
                  </w:r>
                </w:p>
              </w:tc>
              <w:tc>
                <w:tcPr>
                  <w:tcW w:w="1084" w:type="dxa"/>
                  <w:tcBorders>
                    <w:tl2br w:val="nil"/>
                    <w:tr2bl w:val="nil"/>
                  </w:tcBorders>
                  <w:noWrap w:val="0"/>
                  <w:vAlign w:val="center"/>
                </w:tcPr>
                <w:p w14:paraId="6090FCA9">
                  <w:pPr>
                    <w:bidi w:val="0"/>
                    <w:rPr>
                      <w:rFonts w:hint="default"/>
                      <w:color w:val="auto"/>
                    </w:rPr>
                  </w:pPr>
                  <w:r>
                    <w:rPr>
                      <w:rFonts w:hint="default"/>
                      <w:color w:val="auto"/>
                    </w:rPr>
                    <w:t>泄漏</w:t>
                  </w:r>
                  <w:r>
                    <w:rPr>
                      <w:rFonts w:hint="eastAsia"/>
                      <w:color w:val="auto"/>
                      <w:lang w:val="en-US" w:eastAsia="zh-CN"/>
                    </w:rPr>
                    <w:t>、</w:t>
                  </w:r>
                  <w:r>
                    <w:rPr>
                      <w:rFonts w:hint="default"/>
                      <w:color w:val="auto"/>
                      <w:lang w:val="en-US" w:eastAsia="zh-CN"/>
                    </w:rPr>
                    <w:t>火灾</w:t>
                  </w:r>
                  <w:r>
                    <w:rPr>
                      <w:rFonts w:hint="default"/>
                      <w:color w:val="auto"/>
                    </w:rPr>
                    <w:t>爆炸 引发的伴生/次生污染物排放</w:t>
                  </w:r>
                </w:p>
              </w:tc>
              <w:tc>
                <w:tcPr>
                  <w:tcW w:w="4330" w:type="dxa"/>
                  <w:tcBorders>
                    <w:tl2br w:val="nil"/>
                    <w:tr2bl w:val="nil"/>
                  </w:tcBorders>
                  <w:noWrap w:val="0"/>
                  <w:vAlign w:val="center"/>
                </w:tcPr>
                <w:p w14:paraId="5B12A3E8">
                  <w:pPr>
                    <w:bidi w:val="0"/>
                    <w:rPr>
                      <w:rFonts w:hint="eastAsia"/>
                      <w:color w:val="auto"/>
                      <w:lang w:eastAsia="zh-CN"/>
                    </w:rPr>
                  </w:pPr>
                  <w:r>
                    <w:rPr>
                      <w:rFonts w:hint="eastAsia"/>
                      <w:color w:val="auto"/>
                      <w:lang w:eastAsia="zh-CN"/>
                    </w:rPr>
                    <w:t>①大气环境：</w:t>
                  </w:r>
                  <w:r>
                    <w:rPr>
                      <w:rFonts w:hint="default"/>
                      <w:color w:val="auto"/>
                      <w:lang w:eastAsia="zh-CN"/>
                    </w:rPr>
                    <w:t>天然气</w:t>
                  </w:r>
                  <w:r>
                    <w:rPr>
                      <w:rFonts w:hint="eastAsia"/>
                      <w:color w:val="auto"/>
                      <w:lang w:val="en-US" w:eastAsia="zh-CN"/>
                    </w:rPr>
                    <w:t>泄漏</w:t>
                  </w:r>
                  <w:r>
                    <w:rPr>
                      <w:rFonts w:hint="default"/>
                      <w:color w:val="auto"/>
                      <w:lang w:val="en-US" w:eastAsia="zh-CN"/>
                    </w:rPr>
                    <w:t>扩散会对周边</w:t>
                  </w:r>
                  <w:r>
                    <w:rPr>
                      <w:rFonts w:hint="eastAsia"/>
                      <w:color w:val="auto"/>
                      <w:lang w:val="en-US" w:eastAsia="zh-CN"/>
                    </w:rPr>
                    <w:t>大气环境</w:t>
                  </w:r>
                  <w:r>
                    <w:rPr>
                      <w:rFonts w:hint="default"/>
                      <w:color w:val="auto"/>
                      <w:lang w:val="en-US" w:eastAsia="zh-CN"/>
                    </w:rPr>
                    <w:t>产生一定影响</w:t>
                  </w:r>
                  <w:r>
                    <w:rPr>
                      <w:rFonts w:hint="eastAsia"/>
                      <w:color w:val="auto"/>
                      <w:lang w:eastAsia="zh-CN"/>
                    </w:rPr>
                    <w:t>；天然气泄漏发生火灾、爆炸时可能在短时间内产生大量烟气，燃烧反应产生的主要为CO等有害气体，会对大气环境、人体健康会造成短时间影响；</w:t>
                  </w:r>
                </w:p>
                <w:p w14:paraId="59A44C9E">
                  <w:pPr>
                    <w:bidi w:val="0"/>
                    <w:rPr>
                      <w:rFonts w:hint="default"/>
                      <w:color w:val="auto"/>
                    </w:rPr>
                  </w:pPr>
                  <w:r>
                    <w:rPr>
                      <w:rFonts w:hint="eastAsia"/>
                      <w:color w:val="auto"/>
                      <w:lang w:eastAsia="zh-CN"/>
                    </w:rPr>
                    <w:t>②地表水环境：发生火灾爆炸时，并使用消防水进行灭火时，可能会产生一定量的消防废水，消防废水中可能会含有危险物质，在未及时封堵雨水总排口时，消防废水可能会随雨水管网进入地表水环境，污染周边地表水环境</w:t>
                  </w:r>
                </w:p>
              </w:tc>
            </w:tr>
            <w:tr w14:paraId="6E1CCB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510" w:type="dxa"/>
                  <w:tcBorders>
                    <w:tl2br w:val="nil"/>
                    <w:tr2bl w:val="nil"/>
                  </w:tcBorders>
                  <w:noWrap w:val="0"/>
                  <w:vAlign w:val="center"/>
                </w:tcPr>
                <w:p w14:paraId="3FCDEE0E">
                  <w:pPr>
                    <w:bidi w:val="0"/>
                    <w:rPr>
                      <w:rFonts w:hint="default"/>
                      <w:color w:val="auto"/>
                      <w:lang w:val="en-US" w:eastAsia="zh-CN"/>
                    </w:rPr>
                  </w:pPr>
                  <w:r>
                    <w:rPr>
                      <w:rFonts w:hint="eastAsia"/>
                      <w:color w:val="auto"/>
                      <w:lang w:val="en-US" w:eastAsia="zh-CN"/>
                    </w:rPr>
                    <w:t>2</w:t>
                  </w:r>
                </w:p>
              </w:tc>
              <w:tc>
                <w:tcPr>
                  <w:tcW w:w="762" w:type="dxa"/>
                  <w:tcBorders>
                    <w:tl2br w:val="nil"/>
                    <w:tr2bl w:val="nil"/>
                  </w:tcBorders>
                  <w:noWrap w:val="0"/>
                  <w:vAlign w:val="center"/>
                </w:tcPr>
                <w:p w14:paraId="39CE68BB">
                  <w:pPr>
                    <w:bidi w:val="0"/>
                    <w:rPr>
                      <w:rFonts w:hint="default"/>
                      <w:color w:val="auto"/>
                      <w:lang w:val="en-US" w:eastAsia="zh-CN"/>
                    </w:rPr>
                  </w:pPr>
                  <w:r>
                    <w:rPr>
                      <w:rFonts w:hint="eastAsia"/>
                      <w:color w:val="auto"/>
                      <w:lang w:val="en-US" w:eastAsia="zh-CN"/>
                    </w:rPr>
                    <w:t>冷库</w:t>
                  </w:r>
                </w:p>
              </w:tc>
              <w:tc>
                <w:tcPr>
                  <w:tcW w:w="707" w:type="dxa"/>
                  <w:tcBorders>
                    <w:tl2br w:val="nil"/>
                    <w:tr2bl w:val="nil"/>
                  </w:tcBorders>
                  <w:noWrap w:val="0"/>
                  <w:vAlign w:val="center"/>
                </w:tcPr>
                <w:p w14:paraId="0AB9A6C8">
                  <w:pPr>
                    <w:bidi w:val="0"/>
                    <w:rPr>
                      <w:rFonts w:hint="default"/>
                      <w:color w:val="auto"/>
                      <w:lang w:val="en-US" w:eastAsia="zh-CN"/>
                    </w:rPr>
                  </w:pPr>
                  <w:r>
                    <w:rPr>
                      <w:rFonts w:hint="eastAsia"/>
                      <w:color w:val="auto"/>
                      <w:lang w:val="en-US" w:eastAsia="zh-CN"/>
                    </w:rPr>
                    <w:t>制冷</w:t>
                  </w:r>
                </w:p>
              </w:tc>
              <w:tc>
                <w:tcPr>
                  <w:tcW w:w="924" w:type="dxa"/>
                  <w:tcBorders>
                    <w:tl2br w:val="nil"/>
                    <w:tr2bl w:val="nil"/>
                  </w:tcBorders>
                  <w:noWrap w:val="0"/>
                  <w:vAlign w:val="center"/>
                </w:tcPr>
                <w:p w14:paraId="237F0B65">
                  <w:pPr>
                    <w:bidi w:val="0"/>
                    <w:rPr>
                      <w:rFonts w:hint="default"/>
                      <w:color w:val="auto"/>
                      <w:lang w:val="en-US" w:eastAsia="zh-CN"/>
                    </w:rPr>
                  </w:pPr>
                  <w:r>
                    <w:rPr>
                      <w:rFonts w:hint="eastAsia"/>
                      <w:color w:val="auto"/>
                      <w:lang w:val="en-US" w:eastAsia="zh-CN"/>
                    </w:rPr>
                    <w:t>制冷剂</w:t>
                  </w:r>
                </w:p>
              </w:tc>
              <w:tc>
                <w:tcPr>
                  <w:tcW w:w="1084" w:type="dxa"/>
                  <w:tcBorders>
                    <w:tl2br w:val="nil"/>
                    <w:tr2bl w:val="nil"/>
                  </w:tcBorders>
                  <w:noWrap w:val="0"/>
                  <w:vAlign w:val="center"/>
                </w:tcPr>
                <w:p w14:paraId="60115C29">
                  <w:pPr>
                    <w:bidi w:val="0"/>
                    <w:rPr>
                      <w:rFonts w:hint="eastAsia"/>
                      <w:color w:val="auto"/>
                      <w:lang w:val="en-US" w:eastAsia="zh-CN"/>
                    </w:rPr>
                  </w:pPr>
                  <w:r>
                    <w:rPr>
                      <w:rFonts w:hint="default"/>
                      <w:color w:val="auto"/>
                    </w:rPr>
                    <w:t>泄漏</w:t>
                  </w:r>
                </w:p>
              </w:tc>
              <w:tc>
                <w:tcPr>
                  <w:tcW w:w="4330" w:type="dxa"/>
                  <w:tcBorders>
                    <w:tl2br w:val="nil"/>
                    <w:tr2bl w:val="nil"/>
                  </w:tcBorders>
                  <w:noWrap w:val="0"/>
                  <w:vAlign w:val="center"/>
                </w:tcPr>
                <w:p w14:paraId="3DCBDF28">
                  <w:pPr>
                    <w:bidi w:val="0"/>
                    <w:rPr>
                      <w:rFonts w:hint="default"/>
                      <w:color w:val="auto"/>
                      <w:lang w:val="en-US" w:eastAsia="zh-CN"/>
                    </w:rPr>
                  </w:pPr>
                  <w:r>
                    <w:rPr>
                      <w:rFonts w:hint="eastAsia"/>
                      <w:color w:val="auto"/>
                      <w:lang w:val="en-US" w:eastAsia="zh-CN"/>
                    </w:rPr>
                    <w:t>制冷剂泄漏后为在常温常压下呈气体，会对大气环境产生一定影响</w:t>
                  </w:r>
                </w:p>
              </w:tc>
            </w:tr>
          </w:tbl>
          <w:p w14:paraId="7F0A2A0C">
            <w:pPr>
              <w:pStyle w:val="5"/>
              <w:keepNext/>
              <w:keepLines/>
              <w:pageBreakBefore w:val="0"/>
              <w:widowControl w:val="0"/>
              <w:kinsoku/>
              <w:wordWrap/>
              <w:overflowPunct/>
              <w:topLinePunct w:val="0"/>
              <w:autoSpaceDE/>
              <w:autoSpaceDN/>
              <w:bidi w:val="0"/>
              <w:adjustRightInd/>
              <w:snapToGrid/>
              <w:spacing w:before="313" w:beforeLines="100"/>
              <w:textAlignment w:val="auto"/>
              <w:rPr>
                <w:rFonts w:hint="default"/>
                <w:color w:val="auto"/>
                <w:lang w:val="en-US" w:eastAsia="zh-CN"/>
              </w:rPr>
            </w:pPr>
            <w:r>
              <w:rPr>
                <w:rFonts w:hint="eastAsia"/>
                <w:color w:val="auto"/>
                <w:lang w:val="en-US" w:eastAsia="zh-CN"/>
              </w:rPr>
              <w:t>9.2</w:t>
            </w:r>
            <w:r>
              <w:rPr>
                <w:rFonts w:hint="default"/>
                <w:color w:val="auto"/>
                <w:lang w:val="en-US" w:eastAsia="zh-CN"/>
              </w:rPr>
              <w:t>环境风险防范措施</w:t>
            </w:r>
          </w:p>
          <w:p w14:paraId="5D600A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①建设单位应设置可视机房，在生产厂房各风险单元均设置摄像头，实现实时监控。</w:t>
            </w:r>
          </w:p>
          <w:p w14:paraId="0B6C29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生产厂房安装可燃气体报警器，一旦发生天然气泄漏，能够及时准确报警，并且调压柜内设置有连锁电磁阀，报警后直接切断电磁阀，终止天然气输送。建设单位应选用优质天然气阀门组件，减少天然气泄漏隐患。</w:t>
            </w:r>
          </w:p>
          <w:p w14:paraId="2CD57A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③在各类冷库制冷机组设置制冷剂检漏仪，制冷剂泄漏时可发出警报，及时进行应急补漏措施。</w:t>
            </w:r>
          </w:p>
          <w:p w14:paraId="0C855D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④生产厂房各位置均安装烟感警报器，在发生火灾、爆炸等情况下，烟感警报器可探测到烟雾并发出警报，及时制止减少有害烟尘、CO的排放。</w:t>
            </w:r>
          </w:p>
          <w:p w14:paraId="60674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适当提高面粉库内湿度，一方面可减小粉尘飞扬，降低粉尘的分散度，提高粉尘的沉降速度，避免粉尘达到爆炸浓度极限，同时空气相对湿度增高会消除部分静电，相当于消除了部分点火源；面粉库内杜绝各类火源、静电火花设施，加强人员管理。</w:t>
            </w:r>
          </w:p>
          <w:p w14:paraId="35BC35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⑥加强岗位操作管理，严格执行操作规程；严把检修质量关，按期对天然气管线进行检验，防止发生泄漏；风险物质包装容器应选用优质材料，进厂时应严格检查包装是否有破损，后期储存也应开展定期检查。</w:t>
            </w:r>
          </w:p>
          <w:p w14:paraId="0D2EC2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应急物资：本项目生产厂区内设有防毒面具、气体探测仪、警戒线、灭火毯、喊话器、灭火器、消防沙、吸附棉、室内外消火栓等应急物资。生产区、储存区、办公区均配置干粉灭火器，在情况允许下尽量使用灭火器进行火灾扑灭，减少消防水的使用。</w:t>
            </w:r>
          </w:p>
          <w:p w14:paraId="3535AE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⑧针对不同建构筑物特点，采取有效分区防渗措施。生产厂房地面均进行硬化防渗，且涂布环氧树脂地坪漆；次氯酸钠消毒剂在封闭清洗用品间内以密闭容器储存，且下设托盘，防止容器破损后泄漏物扩散；污水处理站建设应加强底部以及周边地面的防渗设计，地面采用混凝土防渗，防渗系数≤1.0×10-7cm/s，处理设施管道应采用优质材料并进行防渗加固（≤1.0×10-7cm/s</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处理。</w:t>
            </w:r>
          </w:p>
          <w:p w14:paraId="2F978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⑨</w:t>
            </w:r>
            <w:r>
              <w:rPr>
                <w:rFonts w:hint="default" w:ascii="Times New Roman" w:hAnsi="Times New Roman" w:eastAsia="宋体" w:cs="Times New Roman"/>
                <w:color w:val="auto"/>
                <w:sz w:val="24"/>
                <w:szCs w:val="24"/>
              </w:rPr>
              <w:t>一旦液态</w:t>
            </w:r>
            <w:r>
              <w:rPr>
                <w:rFonts w:hint="default" w:ascii="Times New Roman" w:hAnsi="Times New Roman" w:eastAsia="宋体" w:cs="Times New Roman"/>
                <w:color w:val="auto"/>
                <w:sz w:val="24"/>
                <w:szCs w:val="24"/>
                <w:lang w:eastAsia="zh-CN"/>
              </w:rPr>
              <w:t>风险</w:t>
            </w:r>
            <w:r>
              <w:rPr>
                <w:rFonts w:hint="default" w:ascii="Times New Roman" w:hAnsi="Times New Roman" w:eastAsia="宋体" w:cs="Times New Roman"/>
                <w:color w:val="auto"/>
                <w:sz w:val="24"/>
                <w:szCs w:val="24"/>
              </w:rPr>
              <w:t>物质泄漏后应及时切断泄漏源，更换容器，并设置严禁靠近标识，抢险人员需穿戴防护衣具进入泄漏区域，泄漏后及时采用消防沙等物质进行封堵，并用吸附棉将地面和容器上沾附的残留废液吸附干净，沾染泄漏物质的吸附材料存放于密闭收集桶内，作为危险废物交有资质单位处理</w:t>
            </w:r>
            <w:r>
              <w:rPr>
                <w:rFonts w:hint="default" w:ascii="Times New Roman" w:hAnsi="Times New Roman" w:eastAsia="宋体" w:cs="Times New Roman"/>
                <w:color w:val="auto"/>
                <w:sz w:val="24"/>
                <w:szCs w:val="24"/>
                <w:lang w:val="en-US" w:eastAsia="zh-CN"/>
              </w:rPr>
              <w:t>；天然气因管道破损、阀门组件损坏导致泄漏时，应及时进行封堵作业，一定范围内杜绝火种、热源。</w:t>
            </w:r>
          </w:p>
          <w:p w14:paraId="1F4496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⑩危险物质泄漏并遇明火、高热发生火灾事故后，组织人员进行扑救，立即利用各类移动灭火设备（干粉灭火器、消防沙、灭火毯等</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对火灾进行扑救，同时可根据火势采用干沙土等对泄漏的物质进行吸附、围堵或导流，防止泄漏物四处流散；火势较大使用水消防时，产生的消防废水使用消防沙袋进行围堵或导流，并及时封堵厂区雨水总排口，消防废水使用收集桶收集。</w:t>
            </w:r>
          </w:p>
          <w:p w14:paraId="4E4B4CF6">
            <w:pPr>
              <w:pStyle w:val="5"/>
              <w:bidi w:val="0"/>
              <w:rPr>
                <w:rFonts w:hint="default"/>
                <w:color w:val="auto"/>
                <w:lang w:val="en-US" w:eastAsia="zh-CN"/>
              </w:rPr>
            </w:pPr>
            <w:r>
              <w:rPr>
                <w:rFonts w:hint="eastAsia"/>
                <w:color w:val="auto"/>
                <w:lang w:val="en-US" w:eastAsia="zh-CN"/>
              </w:rPr>
              <w:t>9.3</w:t>
            </w:r>
            <w:r>
              <w:rPr>
                <w:rFonts w:hint="default"/>
                <w:color w:val="auto"/>
                <w:lang w:val="en-US" w:eastAsia="zh-CN"/>
              </w:rPr>
              <w:t>分析结论</w:t>
            </w:r>
          </w:p>
          <w:p w14:paraId="53ABF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运行期存在泄漏、火灾爆炸引发的伴生/次生污染物排放的环境风险，企业需进行环境风险应急预案的编制，并在相应主管部门进行备案。在严格落实上述风险防范措施后，可将风险事故降至最低，预计对周围环境影响控制在可防控范围内。</w:t>
            </w:r>
          </w:p>
          <w:p w14:paraId="7D8D334E">
            <w:pPr>
              <w:pStyle w:val="5"/>
              <w:bidi w:val="0"/>
              <w:rPr>
                <w:color w:val="auto"/>
              </w:rPr>
            </w:pPr>
            <w:r>
              <w:rPr>
                <w:rFonts w:hint="eastAsia"/>
                <w:color w:val="auto"/>
                <w:lang w:val="en-US" w:eastAsia="zh-CN"/>
              </w:rPr>
              <w:t>10</w:t>
            </w:r>
            <w:r>
              <w:rPr>
                <w:rFonts w:hint="eastAsia"/>
                <w:color w:val="auto"/>
              </w:rPr>
              <w:t>、</w:t>
            </w:r>
            <w:r>
              <w:rPr>
                <w:color w:val="auto"/>
              </w:rPr>
              <w:t>排污许可管理</w:t>
            </w:r>
          </w:p>
          <w:p w14:paraId="6F2EAC6F">
            <w:pPr>
              <w:pStyle w:val="105"/>
              <w:ind w:firstLine="480"/>
              <w:rPr>
                <w:rFonts w:hint="eastAsia" w:eastAsia="宋体"/>
                <w:lang w:eastAsia="zh-CN"/>
              </w:rPr>
            </w:pPr>
            <w:r>
              <w:rPr>
                <w:color w:val="auto"/>
              </w:rPr>
              <w:t>2016年11月，国务院办公厅发布了《控制污染物排放许可制实施方案》，方案指出：</w:t>
            </w:r>
            <w:r>
              <w:rPr>
                <w:rFonts w:hint="eastAsia"/>
                <w:color w:val="auto"/>
                <w:lang w:eastAsia="zh-CN"/>
              </w:rPr>
              <w:t>“</w:t>
            </w:r>
            <w:r>
              <w:rPr>
                <w:color w:val="auto"/>
              </w:rPr>
              <w:t>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w:t>
            </w:r>
            <w:r>
              <w:t>应作为环境影响后评价的重要依据。</w:t>
            </w:r>
            <w:r>
              <w:rPr>
                <w:rFonts w:hint="eastAsia"/>
                <w:lang w:eastAsia="zh-CN"/>
              </w:rPr>
              <w:t>”</w:t>
            </w:r>
          </w:p>
          <w:p w14:paraId="57CF0744">
            <w:pPr>
              <w:pStyle w:val="105"/>
              <w:ind w:firstLine="480"/>
              <w:rPr>
                <w:rFonts w:hint="eastAsia" w:eastAsia="宋体"/>
                <w:color w:val="auto"/>
                <w:lang w:eastAsia="zh-CN"/>
              </w:rPr>
            </w:pPr>
            <w:r>
              <w:t>2021年3月1日起实施的《排污许可管理条例》第二条：</w:t>
            </w:r>
            <w:r>
              <w:rPr>
                <w:rFonts w:hint="eastAsia"/>
                <w:lang w:eastAsia="zh-CN"/>
              </w:rPr>
              <w:t>“</w:t>
            </w:r>
            <w:r>
              <w:t>依照法律规定实行排污许可管理的企业事业单位和其他生产经营者（以下称排污单位</w:t>
            </w:r>
            <w:r>
              <w:rPr>
                <w:rFonts w:hint="eastAsia"/>
                <w:lang w:eastAsia="zh-CN"/>
              </w:rPr>
              <w:t>）</w:t>
            </w:r>
            <w:r>
              <w:t>，应当依照本条例规定申请</w:t>
            </w:r>
            <w:r>
              <w:rPr>
                <w:color w:val="auto"/>
              </w:rPr>
              <w:t>取得排污许可证；未取得排污许可证的，不得排放污染物。</w:t>
            </w:r>
            <w:r>
              <w:rPr>
                <w:rFonts w:hint="eastAsia"/>
                <w:color w:val="auto"/>
                <w:lang w:eastAsia="zh-CN"/>
              </w:rPr>
              <w:t>”</w:t>
            </w:r>
          </w:p>
          <w:p w14:paraId="7E286C6C">
            <w:pPr>
              <w:pStyle w:val="105"/>
              <w:ind w:firstLine="480"/>
              <w:rPr>
                <w:color w:val="auto"/>
              </w:rPr>
            </w:pPr>
            <w:r>
              <w:rPr>
                <w:color w:val="auto"/>
              </w:rPr>
              <w:t>排污许可制是企事业单位生产运营期排污的法律依据，是确保环境影响评价提出的污染防治设施和措施落实落地的重要保障。</w:t>
            </w:r>
          </w:p>
          <w:p w14:paraId="0ED67D7D">
            <w:pPr>
              <w:pStyle w:val="105"/>
              <w:ind w:firstLine="480"/>
              <w:rPr>
                <w:color w:val="auto"/>
              </w:rPr>
            </w:pPr>
            <w:r>
              <w:rPr>
                <w:color w:val="auto"/>
              </w:rPr>
              <w:t>根据《排污许可管理条例》第十五条：</w:t>
            </w:r>
          </w:p>
          <w:p w14:paraId="112A4861">
            <w:pPr>
              <w:pStyle w:val="105"/>
              <w:ind w:firstLine="480"/>
              <w:rPr>
                <w:color w:val="auto"/>
              </w:rPr>
            </w:pPr>
            <w:r>
              <w:rPr>
                <w:rFonts w:hint="eastAsia"/>
                <w:color w:val="auto"/>
                <w:lang w:eastAsia="zh-CN"/>
              </w:rPr>
              <w:t>“</w:t>
            </w:r>
            <w:r>
              <w:rPr>
                <w:color w:val="auto"/>
              </w:rPr>
              <w:t>在排污许可证有效期内，排污单位有下列情形之一的，应当重新申请取得排污许可证：</w:t>
            </w:r>
          </w:p>
          <w:p w14:paraId="2C222CD8">
            <w:pPr>
              <w:pStyle w:val="105"/>
              <w:ind w:firstLine="480"/>
              <w:rPr>
                <w:color w:val="auto"/>
              </w:rPr>
            </w:pPr>
            <w:r>
              <w:rPr>
                <w:color w:val="auto"/>
              </w:rPr>
              <w:t>（一</w:t>
            </w:r>
            <w:r>
              <w:rPr>
                <w:rFonts w:hint="eastAsia"/>
                <w:color w:val="auto"/>
                <w:lang w:eastAsia="zh-CN"/>
              </w:rPr>
              <w:t>）</w:t>
            </w:r>
            <w:r>
              <w:rPr>
                <w:color w:val="auto"/>
              </w:rPr>
              <w:t>新建、改建、扩建排放污染物的项目；</w:t>
            </w:r>
          </w:p>
          <w:p w14:paraId="0D689AF4">
            <w:pPr>
              <w:pStyle w:val="105"/>
              <w:ind w:firstLine="480"/>
              <w:rPr>
                <w:color w:val="auto"/>
              </w:rPr>
            </w:pPr>
            <w:r>
              <w:rPr>
                <w:color w:val="auto"/>
              </w:rPr>
              <w:t>（二</w:t>
            </w:r>
            <w:r>
              <w:rPr>
                <w:rFonts w:hint="eastAsia"/>
                <w:color w:val="auto"/>
                <w:lang w:eastAsia="zh-CN"/>
              </w:rPr>
              <w:t>）</w:t>
            </w:r>
            <w:r>
              <w:rPr>
                <w:color w:val="auto"/>
              </w:rPr>
              <w:t>生产经营场所、污染物排放口位置或者污染物排放方式、排放去向发生变化；</w:t>
            </w:r>
          </w:p>
          <w:p w14:paraId="04C21F7D">
            <w:pPr>
              <w:pStyle w:val="105"/>
              <w:ind w:firstLine="480"/>
              <w:rPr>
                <w:color w:val="auto"/>
              </w:rPr>
            </w:pPr>
            <w:r>
              <w:rPr>
                <w:color w:val="auto"/>
              </w:rPr>
              <w:t>（三</w:t>
            </w:r>
            <w:r>
              <w:rPr>
                <w:rFonts w:hint="eastAsia"/>
                <w:color w:val="auto"/>
                <w:lang w:eastAsia="zh-CN"/>
              </w:rPr>
              <w:t>）</w:t>
            </w:r>
            <w:r>
              <w:rPr>
                <w:color w:val="auto"/>
              </w:rPr>
              <w:t>污染物排放口数量或者污染物排放种类、排放量、排放浓度增加。</w:t>
            </w:r>
            <w:r>
              <w:rPr>
                <w:rFonts w:hint="eastAsia"/>
                <w:color w:val="auto"/>
                <w:lang w:eastAsia="zh-CN"/>
              </w:rPr>
              <w:t>”</w:t>
            </w:r>
            <w:r>
              <w:rPr>
                <w:color w:val="auto"/>
              </w:rPr>
              <w:t>根据《固定污染源排污许可分类管理名录（2019年版</w:t>
            </w:r>
            <w:r>
              <w:rPr>
                <w:rFonts w:hint="eastAsia"/>
                <w:color w:val="auto"/>
                <w:lang w:eastAsia="zh-CN"/>
              </w:rPr>
              <w:t>）</w:t>
            </w:r>
            <w:r>
              <w:rPr>
                <w:color w:val="auto"/>
              </w:rPr>
              <w:t>》（生态环境部令第11号，2019年12月20日</w:t>
            </w:r>
            <w:r>
              <w:rPr>
                <w:rFonts w:hint="eastAsia"/>
                <w:color w:val="auto"/>
                <w:lang w:eastAsia="zh-CN"/>
              </w:rPr>
              <w:t>）</w:t>
            </w:r>
            <w:r>
              <w:rPr>
                <w:color w:val="auto"/>
              </w:rPr>
              <w:t>，本项目为</w:t>
            </w:r>
            <w:r>
              <w:rPr>
                <w:rFonts w:hint="eastAsia"/>
                <w:color w:val="auto"/>
                <w:lang w:eastAsia="zh-CN"/>
              </w:rPr>
              <w:t>“</w:t>
            </w:r>
            <w:r>
              <w:rPr>
                <w:rFonts w:hint="eastAsia"/>
                <w:color w:val="auto"/>
                <w:lang w:val="en-US" w:eastAsia="zh-CN"/>
              </w:rPr>
              <w:t>八、</w:t>
            </w:r>
            <w:r>
              <w:rPr>
                <w:rFonts w:hint="eastAsia"/>
                <w:color w:val="auto"/>
                <w:lang w:eastAsia="zh-CN"/>
              </w:rPr>
              <w:t>农副食品加工业 13</w:t>
            </w:r>
            <w:r>
              <w:rPr>
                <w:rFonts w:hint="eastAsia"/>
                <w:color w:val="auto"/>
                <w:lang w:val="en-US" w:eastAsia="zh-CN"/>
              </w:rPr>
              <w:t xml:space="preserve">-13 </w:t>
            </w:r>
            <w:r>
              <w:rPr>
                <w:rFonts w:hint="eastAsia"/>
                <w:color w:val="auto"/>
                <w:lang w:eastAsia="zh-CN"/>
              </w:rPr>
              <w:t>屠宰及肉类加工135；</w:t>
            </w:r>
            <w:r>
              <w:rPr>
                <w:rFonts w:hint="eastAsia"/>
                <w:color w:val="auto"/>
                <w:lang w:val="en-US" w:eastAsia="zh-CN"/>
              </w:rPr>
              <w:t>八、</w:t>
            </w:r>
            <w:r>
              <w:rPr>
                <w:rFonts w:hint="eastAsia"/>
                <w:color w:val="auto"/>
                <w:lang w:eastAsia="zh-CN"/>
              </w:rPr>
              <w:t>农副食品加工业 13</w:t>
            </w:r>
            <w:r>
              <w:rPr>
                <w:rFonts w:hint="eastAsia"/>
                <w:color w:val="auto"/>
                <w:lang w:val="en-US" w:eastAsia="zh-CN"/>
              </w:rPr>
              <w:t>-16.</w:t>
            </w:r>
            <w:r>
              <w:rPr>
                <w:rFonts w:hint="eastAsia"/>
                <w:color w:val="auto"/>
                <w:lang w:eastAsia="zh-CN"/>
              </w:rPr>
              <w:t>其他农副食品加工139；九、食品制造业 14</w:t>
            </w:r>
            <w:r>
              <w:rPr>
                <w:rFonts w:hint="eastAsia"/>
                <w:color w:val="auto"/>
                <w:lang w:val="en-US" w:eastAsia="zh-CN"/>
              </w:rPr>
              <w:t>-19.</w:t>
            </w:r>
            <w:r>
              <w:rPr>
                <w:rFonts w:hint="eastAsia"/>
                <w:color w:val="auto"/>
                <w:lang w:eastAsia="zh-CN"/>
              </w:rPr>
              <w:t>乳制品制造144”</w:t>
            </w:r>
            <w:r>
              <w:rPr>
                <w:color w:val="auto"/>
              </w:rPr>
              <w:t>，本项</w:t>
            </w:r>
            <w:r>
              <w:rPr>
                <w:rFonts w:hint="eastAsia"/>
                <w:color w:val="auto"/>
                <w:lang w:val="en-US" w:eastAsia="zh-CN"/>
              </w:rPr>
              <w:t>目</w:t>
            </w:r>
            <w:r>
              <w:rPr>
                <w:color w:val="auto"/>
              </w:rPr>
              <w:t>属于简化管理。本项目在报批环评报告</w:t>
            </w:r>
            <w:r>
              <w:rPr>
                <w:rFonts w:hint="eastAsia"/>
                <w:color w:val="auto"/>
                <w:lang w:val="en-US" w:eastAsia="zh-CN"/>
              </w:rPr>
              <w:t>表</w:t>
            </w:r>
            <w:r>
              <w:rPr>
                <w:color w:val="auto"/>
              </w:rPr>
              <w:t>后、项目实际发生排污行为之前，应申请排污许可证，作为本项目合法运行的前提。</w:t>
            </w:r>
          </w:p>
          <w:p w14:paraId="0E5644AB">
            <w:pPr>
              <w:pStyle w:val="105"/>
              <w:ind w:firstLine="480"/>
              <w:rPr>
                <w:color w:val="auto"/>
              </w:rPr>
            </w:pPr>
            <w:r>
              <w:rPr>
                <w:color w:val="auto"/>
              </w:rPr>
              <w:t>在日常运行中，根据</w:t>
            </w:r>
            <w:r>
              <w:rPr>
                <w:rFonts w:hint="eastAsia"/>
                <w:color w:val="auto"/>
              </w:rPr>
              <w:t>《排污单位自行监测技术指南</w:t>
            </w:r>
            <w:r>
              <w:rPr>
                <w:rFonts w:hint="eastAsia"/>
                <w:color w:val="auto"/>
                <w:lang w:val="en-US" w:eastAsia="zh-CN"/>
              </w:rPr>
              <w:t>总则</w:t>
            </w:r>
            <w:r>
              <w:rPr>
                <w:rFonts w:hint="eastAsia"/>
                <w:color w:val="auto"/>
              </w:rPr>
              <w:t>》（HJ820-2017</w:t>
            </w:r>
            <w:r>
              <w:rPr>
                <w:rFonts w:hint="eastAsia"/>
                <w:color w:val="auto"/>
                <w:lang w:eastAsia="zh-CN"/>
              </w:rPr>
              <w:t>）、《排污许可证申请与核发技术规范 水处理通用工序》（HJ1120-2020）</w:t>
            </w:r>
            <w:r>
              <w:rPr>
                <w:rFonts w:hint="eastAsia"/>
                <w:color w:val="auto"/>
              </w:rPr>
              <w:t>和《排污单位自行监测技术指南食品制造》（HJ1084-2020</w:t>
            </w:r>
            <w:r>
              <w:rPr>
                <w:rFonts w:hint="eastAsia"/>
                <w:color w:val="auto"/>
                <w:lang w:eastAsia="zh-CN"/>
              </w:rPr>
              <w:t>）</w:t>
            </w:r>
            <w:r>
              <w:rPr>
                <w:rFonts w:hint="eastAsia"/>
                <w:color w:val="auto"/>
                <w:lang w:val="en-US" w:eastAsia="zh-CN"/>
              </w:rPr>
              <w:t>和</w:t>
            </w:r>
            <w:r>
              <w:rPr>
                <w:rFonts w:hint="eastAsia"/>
                <w:color w:val="auto"/>
              </w:rPr>
              <w:t>《排污单位自行监测技术指南</w:t>
            </w:r>
            <w:r>
              <w:rPr>
                <w:rFonts w:hint="eastAsia"/>
                <w:color w:val="auto"/>
                <w:lang w:val="en-US" w:eastAsia="zh-CN"/>
              </w:rPr>
              <w:t>农副</w:t>
            </w:r>
            <w:r>
              <w:rPr>
                <w:rFonts w:hint="eastAsia"/>
                <w:color w:val="auto"/>
              </w:rPr>
              <w:t>食品</w:t>
            </w:r>
            <w:r>
              <w:rPr>
                <w:rFonts w:hint="eastAsia"/>
                <w:color w:val="auto"/>
                <w:lang w:val="en-US" w:eastAsia="zh-CN"/>
              </w:rPr>
              <w:t>加工业</w:t>
            </w:r>
            <w:r>
              <w:rPr>
                <w:rFonts w:hint="eastAsia"/>
                <w:color w:val="auto"/>
              </w:rPr>
              <w:t>》（HJ</w:t>
            </w:r>
            <w:r>
              <w:rPr>
                <w:rFonts w:hint="eastAsia"/>
                <w:color w:val="auto"/>
                <w:lang w:val="en-US" w:eastAsia="zh-CN"/>
              </w:rPr>
              <w:t>986-2018</w:t>
            </w:r>
            <w:r>
              <w:rPr>
                <w:rFonts w:hint="eastAsia"/>
                <w:color w:val="auto"/>
                <w:lang w:eastAsia="zh-CN"/>
              </w:rPr>
              <w:t>）</w:t>
            </w:r>
            <w:r>
              <w:rPr>
                <w:color w:val="auto"/>
              </w:rPr>
              <w:t>等相关技术规范的要求，梳理项目排污许可证大气污染物排放信息、水污染物排放信息、自行监测要求、执法（守法</w:t>
            </w:r>
            <w:r>
              <w:rPr>
                <w:rFonts w:hint="eastAsia"/>
                <w:color w:val="auto"/>
                <w:lang w:eastAsia="zh-CN"/>
              </w:rPr>
              <w:t>）</w:t>
            </w:r>
            <w:r>
              <w:rPr>
                <w:color w:val="auto"/>
              </w:rPr>
              <w:t>报告要求、信息公开、环境管理台账记录要求。</w:t>
            </w:r>
          </w:p>
          <w:p w14:paraId="3593F530">
            <w:pPr>
              <w:pStyle w:val="105"/>
              <w:ind w:firstLine="480"/>
              <w:rPr>
                <w:color w:val="auto"/>
              </w:rPr>
            </w:pPr>
            <w:r>
              <w:rPr>
                <w:color w:val="auto"/>
              </w:rPr>
              <w:t>建设单位应建立环境管理台账制度，设置专人开展台账记录、整理、维护等管理工作，并对台账记录结果的真实性、准确性、完整性负责；环境管理台账应真实记录污染治理设施运行管理信息、监测记录信息和其他环境管理信息等内容。为便于携带、储存、导出及证明排污许可证执行情况，环境管理台账应采用电子化储存和纸质储存两种形式同步管理，保存期限不少于5年。</w:t>
            </w:r>
          </w:p>
          <w:p w14:paraId="2F9835E8">
            <w:pPr>
              <w:pStyle w:val="5"/>
              <w:ind w:firstLine="482"/>
              <w:rPr>
                <w:szCs w:val="24"/>
              </w:rPr>
            </w:pPr>
            <w:r>
              <w:rPr>
                <w:szCs w:val="24"/>
              </w:rPr>
              <w:t>1</w:t>
            </w:r>
            <w:r>
              <w:rPr>
                <w:rFonts w:hint="eastAsia"/>
                <w:szCs w:val="24"/>
                <w:lang w:val="en-US" w:eastAsia="zh-CN"/>
              </w:rPr>
              <w:t>1</w:t>
            </w:r>
            <w:r>
              <w:rPr>
                <w:szCs w:val="24"/>
              </w:rPr>
              <w:t>、排污口规范化</w:t>
            </w:r>
          </w:p>
          <w:p w14:paraId="211D4616">
            <w:pPr>
              <w:pStyle w:val="105"/>
              <w:ind w:firstLine="480"/>
            </w:pPr>
            <w:r>
              <w:t>本项目应按《环境保护图形标志—排放口（源</w:t>
            </w:r>
            <w:r>
              <w:rPr>
                <w:rFonts w:hint="eastAsia"/>
                <w:lang w:eastAsia="zh-CN"/>
              </w:rPr>
              <w:t>）</w:t>
            </w:r>
            <w:r>
              <w:t>》（GB15562.1-1995</w:t>
            </w:r>
            <w:r>
              <w:rPr>
                <w:rFonts w:hint="eastAsia"/>
                <w:lang w:eastAsia="zh-CN"/>
              </w:rPr>
              <w:t>）</w:t>
            </w:r>
            <w:r>
              <w:t>、《排污单位污染物排放口二维码识别技术规范》（HJ1297-2023</w:t>
            </w:r>
            <w:r>
              <w:rPr>
                <w:rFonts w:hint="eastAsia"/>
                <w:lang w:eastAsia="zh-CN"/>
              </w:rPr>
              <w:t>）</w:t>
            </w:r>
            <w:r>
              <w:t>规定的图形，在各气、水、声排污口（源</w:t>
            </w:r>
            <w:r>
              <w:rPr>
                <w:rFonts w:hint="eastAsia"/>
                <w:lang w:eastAsia="zh-CN"/>
              </w:rPr>
              <w:t>）</w:t>
            </w:r>
            <w:r>
              <w:t>挂牌标识，做到各排污口（源</w:t>
            </w:r>
            <w:r>
              <w:rPr>
                <w:rFonts w:hint="eastAsia"/>
                <w:lang w:eastAsia="zh-CN"/>
              </w:rPr>
              <w:t>）</w:t>
            </w:r>
            <w:r>
              <w:t>的环保标志明显，便于企业管理和公众监督。</w:t>
            </w:r>
          </w:p>
          <w:p w14:paraId="5F39385B">
            <w:pPr>
              <w:pStyle w:val="105"/>
              <w:ind w:firstLine="480"/>
            </w:pPr>
            <w:r>
              <w:t>列入总量控制污染物的排污口为管理的重点，排污口应便于采样与计量监测，便于日常现场监督检查。排污口位置必须合理确定，按环监</w:t>
            </w:r>
            <w:r>
              <w:rPr>
                <w:rFonts w:hint="eastAsia" w:ascii="宋体" w:hAnsi="宋体"/>
              </w:rPr>
              <w:t>〔</w:t>
            </w:r>
            <w:r>
              <w:t>1996</w:t>
            </w:r>
            <w:r>
              <w:rPr>
                <w:rFonts w:hint="eastAsia" w:ascii="宋体" w:hAnsi="宋体"/>
              </w:rPr>
              <w:t>〕</w:t>
            </w:r>
            <w:r>
              <w:t>470号文件要求进行规范化管理。</w:t>
            </w:r>
          </w:p>
          <w:p w14:paraId="54DBD651">
            <w:pPr>
              <w:pStyle w:val="105"/>
              <w:ind w:firstLine="480"/>
            </w:pPr>
            <w:r>
              <w:t>污染物排放口的环保图形标志牌应设置在靠近采样点的醒目位置处，标志牌设置高度为其上缘距地面约2m。</w:t>
            </w:r>
          </w:p>
          <w:p w14:paraId="2CE055AA">
            <w:pPr>
              <w:pStyle w:val="105"/>
              <w:ind w:firstLine="480"/>
            </w:pPr>
            <w:r>
              <w:t>重点排污单位的污染物排放口或固体废物贮存处置场地以设置立式标志牌为主，一般排污单位的污染物排放口或固体废物贮存处置场地可以根据情况设置立式或平面固定式标志牌。一般污染物排放口、危险废物排放口或固体废物贮存堆放场地设置提示性环境保护图形标志牌。</w:t>
            </w:r>
          </w:p>
          <w:p w14:paraId="4CAF87FD">
            <w:pPr>
              <w:adjustRightInd w:val="0"/>
              <w:snapToGrid w:val="0"/>
              <w:spacing w:line="360" w:lineRule="auto"/>
              <w:ind w:firstLine="480" w:firstLineChars="200"/>
              <w:rPr>
                <w:sz w:val="24"/>
              </w:rPr>
            </w:pPr>
            <w:r>
              <w:rPr>
                <w:sz w:val="24"/>
              </w:rPr>
              <w:t>环境保护图形符号见表4-</w:t>
            </w:r>
            <w:r>
              <w:rPr>
                <w:rFonts w:hint="eastAsia"/>
                <w:sz w:val="24"/>
                <w:lang w:val="en-US" w:eastAsia="zh-CN"/>
              </w:rPr>
              <w:t>20</w:t>
            </w:r>
            <w:r>
              <w:rPr>
                <w:sz w:val="24"/>
              </w:rPr>
              <w:t>。</w:t>
            </w:r>
          </w:p>
          <w:p w14:paraId="39CB120A">
            <w:pPr>
              <w:pStyle w:val="91"/>
              <w:rPr>
                <w:color w:val="auto"/>
              </w:rPr>
            </w:pPr>
            <w:r>
              <w:rPr>
                <w:color w:val="auto"/>
              </w:rPr>
              <w:t>表4-</w:t>
            </w:r>
            <w:r>
              <w:rPr>
                <w:rFonts w:hint="eastAsia"/>
                <w:color w:val="auto"/>
                <w:lang w:val="en-US" w:eastAsia="zh-CN"/>
              </w:rPr>
              <w:t xml:space="preserve">20  </w:t>
            </w:r>
            <w:r>
              <w:rPr>
                <w:color w:val="auto"/>
              </w:rPr>
              <w:t>环境保护图形符号一览表</w:t>
            </w:r>
          </w:p>
          <w:tbl>
            <w:tblPr>
              <w:tblStyle w:val="29"/>
              <w:tblW w:w="81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8"/>
              <w:gridCol w:w="1771"/>
              <w:gridCol w:w="1814"/>
              <w:gridCol w:w="1354"/>
              <w:gridCol w:w="2775"/>
            </w:tblGrid>
            <w:tr w14:paraId="4F5306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48" w:type="dxa"/>
                  <w:tcBorders>
                    <w:tl2br w:val="nil"/>
                    <w:tr2bl w:val="nil"/>
                  </w:tcBorders>
                  <w:vAlign w:val="center"/>
                </w:tcPr>
                <w:p w14:paraId="59B584B8">
                  <w:pPr>
                    <w:pStyle w:val="43"/>
                    <w:spacing w:before="7" w:line="257" w:lineRule="exact"/>
                    <w:ind w:right="30"/>
                    <w:jc w:val="center"/>
                    <w:rPr>
                      <w:rFonts w:ascii="Times New Roman" w:hAnsi="Times New Roman" w:cs="Times New Roman"/>
                    </w:rPr>
                  </w:pPr>
                  <w:r>
                    <w:rPr>
                      <w:rFonts w:ascii="Times New Roman" w:hAnsi="Times New Roman" w:cs="Times New Roman"/>
                    </w:rPr>
                    <w:t>序号</w:t>
                  </w:r>
                </w:p>
              </w:tc>
              <w:tc>
                <w:tcPr>
                  <w:tcW w:w="1771" w:type="dxa"/>
                  <w:tcBorders>
                    <w:tl2br w:val="nil"/>
                    <w:tr2bl w:val="nil"/>
                  </w:tcBorders>
                  <w:vAlign w:val="center"/>
                </w:tcPr>
                <w:p w14:paraId="3EF956F4">
                  <w:pPr>
                    <w:pStyle w:val="43"/>
                    <w:spacing w:before="7" w:line="257" w:lineRule="exact"/>
                    <w:ind w:left="274"/>
                    <w:jc w:val="center"/>
                    <w:rPr>
                      <w:rFonts w:ascii="Times New Roman" w:hAnsi="Times New Roman" w:cs="Times New Roman"/>
                    </w:rPr>
                  </w:pPr>
                  <w:r>
                    <w:rPr>
                      <w:rFonts w:ascii="Times New Roman" w:hAnsi="Times New Roman" w:cs="Times New Roman"/>
                    </w:rPr>
                    <w:t>提示图形符号</w:t>
                  </w:r>
                </w:p>
              </w:tc>
              <w:tc>
                <w:tcPr>
                  <w:tcW w:w="1814" w:type="dxa"/>
                  <w:tcBorders>
                    <w:tl2br w:val="nil"/>
                    <w:tr2bl w:val="nil"/>
                  </w:tcBorders>
                  <w:vAlign w:val="center"/>
                </w:tcPr>
                <w:p w14:paraId="1A4A00E1">
                  <w:pPr>
                    <w:pStyle w:val="43"/>
                    <w:spacing w:before="7" w:line="257" w:lineRule="exact"/>
                    <w:ind w:left="356"/>
                    <w:jc w:val="center"/>
                    <w:rPr>
                      <w:rFonts w:ascii="Times New Roman" w:hAnsi="Times New Roman" w:cs="Times New Roman"/>
                    </w:rPr>
                  </w:pPr>
                  <w:r>
                    <w:rPr>
                      <w:rFonts w:ascii="Times New Roman" w:hAnsi="Times New Roman" w:cs="Times New Roman"/>
                    </w:rPr>
                    <w:t>警告图形符号</w:t>
                  </w:r>
                </w:p>
              </w:tc>
              <w:tc>
                <w:tcPr>
                  <w:tcW w:w="1354" w:type="dxa"/>
                  <w:tcBorders>
                    <w:tl2br w:val="nil"/>
                    <w:tr2bl w:val="nil"/>
                  </w:tcBorders>
                  <w:vAlign w:val="center"/>
                </w:tcPr>
                <w:p w14:paraId="50067827">
                  <w:pPr>
                    <w:pStyle w:val="43"/>
                    <w:spacing w:before="7" w:line="257" w:lineRule="exact"/>
                    <w:ind w:left="179" w:right="170"/>
                    <w:jc w:val="center"/>
                    <w:rPr>
                      <w:rFonts w:ascii="Times New Roman" w:hAnsi="Times New Roman" w:cs="Times New Roman"/>
                    </w:rPr>
                  </w:pPr>
                  <w:r>
                    <w:rPr>
                      <w:rFonts w:ascii="Times New Roman" w:hAnsi="Times New Roman" w:cs="Times New Roman"/>
                    </w:rPr>
                    <w:t>名称</w:t>
                  </w:r>
                </w:p>
              </w:tc>
              <w:tc>
                <w:tcPr>
                  <w:tcW w:w="2775" w:type="dxa"/>
                  <w:tcBorders>
                    <w:tl2br w:val="nil"/>
                    <w:tr2bl w:val="nil"/>
                  </w:tcBorders>
                  <w:vAlign w:val="center"/>
                </w:tcPr>
                <w:p w14:paraId="65E39B82">
                  <w:pPr>
                    <w:pStyle w:val="43"/>
                    <w:spacing w:before="7" w:line="257" w:lineRule="exact"/>
                    <w:ind w:left="567" w:right="662"/>
                    <w:jc w:val="center"/>
                    <w:rPr>
                      <w:rFonts w:ascii="Times New Roman" w:hAnsi="Times New Roman" w:cs="Times New Roman"/>
                    </w:rPr>
                  </w:pPr>
                  <w:r>
                    <w:rPr>
                      <w:rFonts w:ascii="Times New Roman" w:hAnsi="Times New Roman" w:cs="Times New Roman"/>
                    </w:rPr>
                    <w:t>功能</w:t>
                  </w:r>
                </w:p>
              </w:tc>
            </w:tr>
            <w:tr w14:paraId="0BBEB7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448" w:type="dxa"/>
                  <w:tcBorders>
                    <w:tl2br w:val="nil"/>
                    <w:tr2bl w:val="nil"/>
                  </w:tcBorders>
                  <w:vAlign w:val="center"/>
                </w:tcPr>
                <w:p w14:paraId="46516E37">
                  <w:pPr>
                    <w:pStyle w:val="43"/>
                    <w:spacing w:before="1"/>
                    <w:jc w:val="center"/>
                    <w:rPr>
                      <w:rFonts w:ascii="Times New Roman" w:hAnsi="Times New Roman" w:cs="Times New Roman"/>
                    </w:rPr>
                  </w:pPr>
                  <w:r>
                    <w:rPr>
                      <w:rFonts w:ascii="Times New Roman" w:hAnsi="Times New Roman" w:cs="Times New Roman"/>
                    </w:rPr>
                    <w:t>1</w:t>
                  </w:r>
                </w:p>
              </w:tc>
              <w:tc>
                <w:tcPr>
                  <w:tcW w:w="1771" w:type="dxa"/>
                  <w:tcBorders>
                    <w:tl2br w:val="nil"/>
                    <w:tr2bl w:val="nil"/>
                  </w:tcBorders>
                  <w:vAlign w:val="center"/>
                </w:tcPr>
                <w:p w14:paraId="21E8716F">
                  <w:pPr>
                    <w:pStyle w:val="43"/>
                    <w:ind w:left="192"/>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897255" cy="912495"/>
                        <wp:effectExtent l="0" t="0" r="17145"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stretch>
                                  <a:fillRect/>
                                </a:stretch>
                              </pic:blipFill>
                              <pic:spPr>
                                <a:xfrm>
                                  <a:off x="0" y="0"/>
                                  <a:ext cx="897255" cy="912495"/>
                                </a:xfrm>
                                <a:prstGeom prst="rect">
                                  <a:avLst/>
                                </a:prstGeom>
                                <a:noFill/>
                                <a:ln>
                                  <a:noFill/>
                                </a:ln>
                              </pic:spPr>
                            </pic:pic>
                          </a:graphicData>
                        </a:graphic>
                      </wp:inline>
                    </w:drawing>
                  </w:r>
                </w:p>
              </w:tc>
              <w:tc>
                <w:tcPr>
                  <w:tcW w:w="1814" w:type="dxa"/>
                  <w:tcBorders>
                    <w:tl2br w:val="nil"/>
                    <w:tr2bl w:val="nil"/>
                  </w:tcBorders>
                  <w:vAlign w:val="center"/>
                </w:tcPr>
                <w:p w14:paraId="0BEDA15B">
                  <w:pPr>
                    <w:pStyle w:val="43"/>
                    <w:ind w:left="174"/>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1035050" cy="877570"/>
                        <wp:effectExtent l="0" t="0" r="12700" b="177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2"/>
                                <a:stretch>
                                  <a:fillRect/>
                                </a:stretch>
                              </pic:blipFill>
                              <pic:spPr>
                                <a:xfrm>
                                  <a:off x="0" y="0"/>
                                  <a:ext cx="1035050" cy="877570"/>
                                </a:xfrm>
                                <a:prstGeom prst="rect">
                                  <a:avLst/>
                                </a:prstGeom>
                                <a:noFill/>
                                <a:ln>
                                  <a:noFill/>
                                </a:ln>
                              </pic:spPr>
                            </pic:pic>
                          </a:graphicData>
                        </a:graphic>
                      </wp:inline>
                    </w:drawing>
                  </w:r>
                </w:p>
              </w:tc>
              <w:tc>
                <w:tcPr>
                  <w:tcW w:w="1354" w:type="dxa"/>
                  <w:tcBorders>
                    <w:tl2br w:val="nil"/>
                    <w:tr2bl w:val="nil"/>
                  </w:tcBorders>
                  <w:vAlign w:val="center"/>
                </w:tcPr>
                <w:p w14:paraId="063372DF">
                  <w:pPr>
                    <w:pStyle w:val="43"/>
                    <w:spacing w:before="1"/>
                    <w:jc w:val="center"/>
                    <w:rPr>
                      <w:rFonts w:ascii="Times New Roman" w:hAnsi="Times New Roman" w:cs="Times New Roman"/>
                      <w:szCs w:val="22"/>
                    </w:rPr>
                  </w:pPr>
                  <w:r>
                    <w:rPr>
                      <w:rFonts w:ascii="Times New Roman" w:hAnsi="Times New Roman" w:cs="Times New Roman"/>
                      <w:szCs w:val="22"/>
                    </w:rPr>
                    <w:t>污水排放口</w:t>
                  </w:r>
                </w:p>
              </w:tc>
              <w:tc>
                <w:tcPr>
                  <w:tcW w:w="2775" w:type="dxa"/>
                  <w:tcBorders>
                    <w:tl2br w:val="nil"/>
                    <w:tr2bl w:val="nil"/>
                  </w:tcBorders>
                  <w:vAlign w:val="center"/>
                </w:tcPr>
                <w:p w14:paraId="49F7D60F">
                  <w:pPr>
                    <w:pStyle w:val="43"/>
                    <w:spacing w:before="1"/>
                    <w:jc w:val="center"/>
                    <w:rPr>
                      <w:rFonts w:ascii="Times New Roman" w:hAnsi="Times New Roman" w:cs="Times New Roman"/>
                      <w:szCs w:val="22"/>
                    </w:rPr>
                  </w:pPr>
                  <w:r>
                    <w:rPr>
                      <w:rFonts w:ascii="Times New Roman" w:hAnsi="Times New Roman" w:cs="Times New Roman"/>
                      <w:szCs w:val="22"/>
                    </w:rPr>
                    <w:t>表示污水向外环境排放</w:t>
                  </w:r>
                </w:p>
              </w:tc>
            </w:tr>
            <w:tr w14:paraId="6BB0F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448" w:type="dxa"/>
                  <w:tcBorders>
                    <w:tl2br w:val="nil"/>
                    <w:tr2bl w:val="nil"/>
                  </w:tcBorders>
                  <w:vAlign w:val="center"/>
                </w:tcPr>
                <w:p w14:paraId="77DA23A7">
                  <w:pPr>
                    <w:pStyle w:val="43"/>
                    <w:spacing w:before="1"/>
                    <w:jc w:val="center"/>
                    <w:rPr>
                      <w:rFonts w:ascii="Times New Roman" w:hAnsi="Times New Roman" w:cs="Times New Roman"/>
                      <w:szCs w:val="22"/>
                    </w:rPr>
                  </w:pPr>
                  <w:r>
                    <w:rPr>
                      <w:rFonts w:ascii="Times New Roman" w:hAnsi="Times New Roman" w:cs="Times New Roman"/>
                      <w:szCs w:val="22"/>
                      <w:lang w:val="en-US"/>
                    </w:rPr>
                    <w:t>2</w:t>
                  </w:r>
                </w:p>
              </w:tc>
              <w:tc>
                <w:tcPr>
                  <w:tcW w:w="1771" w:type="dxa"/>
                  <w:tcBorders>
                    <w:tl2br w:val="nil"/>
                    <w:tr2bl w:val="nil"/>
                  </w:tcBorders>
                  <w:vAlign w:val="center"/>
                </w:tcPr>
                <w:p w14:paraId="7E584F5E">
                  <w:pPr>
                    <w:pStyle w:val="43"/>
                    <w:ind w:left="109"/>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1006475" cy="1005840"/>
                        <wp:effectExtent l="0" t="0" r="3175"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1006475" cy="1005840"/>
                                </a:xfrm>
                                <a:prstGeom prst="rect">
                                  <a:avLst/>
                                </a:prstGeom>
                                <a:noFill/>
                                <a:ln>
                                  <a:noFill/>
                                </a:ln>
                              </pic:spPr>
                            </pic:pic>
                          </a:graphicData>
                        </a:graphic>
                      </wp:inline>
                    </w:drawing>
                  </w:r>
                </w:p>
              </w:tc>
              <w:tc>
                <w:tcPr>
                  <w:tcW w:w="1814" w:type="dxa"/>
                  <w:tcBorders>
                    <w:tl2br w:val="nil"/>
                    <w:tr2bl w:val="nil"/>
                  </w:tcBorders>
                  <w:vAlign w:val="center"/>
                </w:tcPr>
                <w:p w14:paraId="70B4BC93">
                  <w:pPr>
                    <w:pStyle w:val="43"/>
                    <w:ind w:left="191"/>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1008380" cy="817880"/>
                        <wp:effectExtent l="0" t="0" r="1270" b="12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4"/>
                                <a:stretch>
                                  <a:fillRect/>
                                </a:stretch>
                              </pic:blipFill>
                              <pic:spPr>
                                <a:xfrm>
                                  <a:off x="0" y="0"/>
                                  <a:ext cx="1008380" cy="817880"/>
                                </a:xfrm>
                                <a:prstGeom prst="rect">
                                  <a:avLst/>
                                </a:prstGeom>
                                <a:noFill/>
                                <a:ln>
                                  <a:noFill/>
                                </a:ln>
                              </pic:spPr>
                            </pic:pic>
                          </a:graphicData>
                        </a:graphic>
                      </wp:inline>
                    </w:drawing>
                  </w:r>
                </w:p>
              </w:tc>
              <w:tc>
                <w:tcPr>
                  <w:tcW w:w="1354" w:type="dxa"/>
                  <w:tcBorders>
                    <w:tl2br w:val="nil"/>
                    <w:tr2bl w:val="nil"/>
                  </w:tcBorders>
                  <w:vAlign w:val="center"/>
                </w:tcPr>
                <w:p w14:paraId="2BB7DAEC">
                  <w:pPr>
                    <w:pStyle w:val="43"/>
                    <w:spacing w:before="1"/>
                    <w:jc w:val="center"/>
                    <w:rPr>
                      <w:rFonts w:ascii="Times New Roman" w:hAnsi="Times New Roman" w:cs="Times New Roman"/>
                      <w:szCs w:val="22"/>
                    </w:rPr>
                  </w:pPr>
                  <w:r>
                    <w:rPr>
                      <w:rFonts w:ascii="Times New Roman" w:hAnsi="Times New Roman" w:cs="Times New Roman"/>
                      <w:szCs w:val="22"/>
                    </w:rPr>
                    <w:t>一般固体废物</w:t>
                  </w:r>
                </w:p>
              </w:tc>
              <w:tc>
                <w:tcPr>
                  <w:tcW w:w="2775" w:type="dxa"/>
                  <w:tcBorders>
                    <w:tl2br w:val="nil"/>
                    <w:tr2bl w:val="nil"/>
                  </w:tcBorders>
                  <w:vAlign w:val="center"/>
                </w:tcPr>
                <w:p w14:paraId="04A59195">
                  <w:pPr>
                    <w:pStyle w:val="43"/>
                    <w:spacing w:before="1"/>
                    <w:jc w:val="center"/>
                    <w:rPr>
                      <w:rFonts w:ascii="Times New Roman" w:hAnsi="Times New Roman" w:cs="Times New Roman"/>
                      <w:szCs w:val="22"/>
                    </w:rPr>
                  </w:pPr>
                  <w:r>
                    <w:rPr>
                      <w:rFonts w:ascii="Times New Roman" w:hAnsi="Times New Roman" w:cs="Times New Roman"/>
                      <w:szCs w:val="22"/>
                    </w:rPr>
                    <w:t>表示一般固体废物贮存、处置场</w:t>
                  </w:r>
                </w:p>
              </w:tc>
            </w:tr>
            <w:tr w14:paraId="48A4E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448" w:type="dxa"/>
                  <w:tcBorders>
                    <w:tl2br w:val="nil"/>
                    <w:tr2bl w:val="nil"/>
                  </w:tcBorders>
                  <w:vAlign w:val="center"/>
                </w:tcPr>
                <w:p w14:paraId="76512162">
                  <w:pPr>
                    <w:pStyle w:val="43"/>
                    <w:spacing w:before="1"/>
                    <w:jc w:val="center"/>
                    <w:rPr>
                      <w:rFonts w:ascii="Times New Roman" w:hAnsi="Times New Roman" w:cs="Times New Roman"/>
                      <w:szCs w:val="22"/>
                    </w:rPr>
                  </w:pPr>
                  <w:r>
                    <w:rPr>
                      <w:rFonts w:ascii="Times New Roman" w:hAnsi="Times New Roman" w:cs="Times New Roman"/>
                      <w:szCs w:val="22"/>
                      <w:lang w:val="en-US"/>
                    </w:rPr>
                    <w:t>3</w:t>
                  </w:r>
                </w:p>
              </w:tc>
              <w:tc>
                <w:tcPr>
                  <w:tcW w:w="1771" w:type="dxa"/>
                  <w:tcBorders>
                    <w:tl2br w:val="nil"/>
                    <w:tr2bl w:val="nil"/>
                  </w:tcBorders>
                  <w:vAlign w:val="center"/>
                </w:tcPr>
                <w:p w14:paraId="7FBAF5F5">
                  <w:pPr>
                    <w:pStyle w:val="43"/>
                    <w:ind w:left="112"/>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1005840" cy="914400"/>
                        <wp:effectExtent l="0" t="0" r="381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5"/>
                                <a:stretch>
                                  <a:fillRect/>
                                </a:stretch>
                              </pic:blipFill>
                              <pic:spPr>
                                <a:xfrm>
                                  <a:off x="0" y="0"/>
                                  <a:ext cx="1005840" cy="914400"/>
                                </a:xfrm>
                                <a:prstGeom prst="rect">
                                  <a:avLst/>
                                </a:prstGeom>
                                <a:noFill/>
                                <a:ln>
                                  <a:noFill/>
                                </a:ln>
                              </pic:spPr>
                            </pic:pic>
                          </a:graphicData>
                        </a:graphic>
                      </wp:inline>
                    </w:drawing>
                  </w:r>
                </w:p>
              </w:tc>
              <w:tc>
                <w:tcPr>
                  <w:tcW w:w="1814" w:type="dxa"/>
                  <w:tcBorders>
                    <w:tl2br w:val="nil"/>
                    <w:tr2bl w:val="nil"/>
                  </w:tcBorders>
                  <w:vAlign w:val="center"/>
                </w:tcPr>
                <w:p w14:paraId="3AA5BF96">
                  <w:pPr>
                    <w:pStyle w:val="43"/>
                    <w:ind w:left="194"/>
                    <w:jc w:val="center"/>
                    <w:rPr>
                      <w:rFonts w:ascii="Times New Roman" w:hAnsi="Times New Roman" w:cs="Times New Roman"/>
                      <w:sz w:val="20"/>
                    </w:rPr>
                  </w:pPr>
                  <w:r>
                    <w:rPr>
                      <w:rFonts w:ascii="Times New Roman" w:hAnsi="Times New Roman" w:cs="Times New Roman"/>
                      <w:sz w:val="20"/>
                      <w:lang w:val="en-US" w:bidi="ar-SA"/>
                    </w:rPr>
                    <w:drawing>
                      <wp:inline distT="0" distB="0" distL="114300" distR="114300">
                        <wp:extent cx="1003935" cy="821690"/>
                        <wp:effectExtent l="0" t="0" r="5715" b="165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6"/>
                                <a:stretch>
                                  <a:fillRect/>
                                </a:stretch>
                              </pic:blipFill>
                              <pic:spPr>
                                <a:xfrm>
                                  <a:off x="0" y="0"/>
                                  <a:ext cx="1003935" cy="821690"/>
                                </a:xfrm>
                                <a:prstGeom prst="rect">
                                  <a:avLst/>
                                </a:prstGeom>
                                <a:noFill/>
                                <a:ln>
                                  <a:noFill/>
                                </a:ln>
                              </pic:spPr>
                            </pic:pic>
                          </a:graphicData>
                        </a:graphic>
                      </wp:inline>
                    </w:drawing>
                  </w:r>
                </w:p>
              </w:tc>
              <w:tc>
                <w:tcPr>
                  <w:tcW w:w="1354" w:type="dxa"/>
                  <w:tcBorders>
                    <w:tl2br w:val="nil"/>
                    <w:tr2bl w:val="nil"/>
                  </w:tcBorders>
                  <w:vAlign w:val="center"/>
                </w:tcPr>
                <w:p w14:paraId="55771E29">
                  <w:pPr>
                    <w:pStyle w:val="43"/>
                    <w:spacing w:before="1"/>
                    <w:jc w:val="center"/>
                    <w:rPr>
                      <w:rFonts w:ascii="Times New Roman" w:hAnsi="Times New Roman" w:cs="Times New Roman"/>
                      <w:szCs w:val="22"/>
                    </w:rPr>
                  </w:pPr>
                  <w:r>
                    <w:rPr>
                      <w:rFonts w:ascii="Times New Roman" w:hAnsi="Times New Roman" w:cs="Times New Roman"/>
                      <w:szCs w:val="22"/>
                    </w:rPr>
                    <w:t>噪声源</w:t>
                  </w:r>
                </w:p>
              </w:tc>
              <w:tc>
                <w:tcPr>
                  <w:tcW w:w="2775" w:type="dxa"/>
                  <w:tcBorders>
                    <w:tl2br w:val="nil"/>
                    <w:tr2bl w:val="nil"/>
                  </w:tcBorders>
                  <w:vAlign w:val="center"/>
                </w:tcPr>
                <w:p w14:paraId="0D0997CF">
                  <w:pPr>
                    <w:pStyle w:val="43"/>
                    <w:spacing w:before="1"/>
                    <w:jc w:val="center"/>
                    <w:rPr>
                      <w:rFonts w:ascii="Times New Roman" w:hAnsi="Times New Roman" w:cs="Times New Roman"/>
                      <w:szCs w:val="22"/>
                    </w:rPr>
                  </w:pPr>
                  <w:r>
                    <w:rPr>
                      <w:rFonts w:ascii="Times New Roman" w:hAnsi="Times New Roman" w:cs="Times New Roman"/>
                      <w:szCs w:val="22"/>
                    </w:rPr>
                    <w:t>表示噪声向外环境排放</w:t>
                  </w:r>
                </w:p>
              </w:tc>
            </w:tr>
            <w:tr w14:paraId="17935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3" w:hRule="atLeast"/>
              </w:trPr>
              <w:tc>
                <w:tcPr>
                  <w:tcW w:w="448" w:type="dxa"/>
                  <w:tcBorders>
                    <w:tl2br w:val="nil"/>
                    <w:tr2bl w:val="nil"/>
                  </w:tcBorders>
                  <w:vAlign w:val="center"/>
                </w:tcPr>
                <w:p w14:paraId="58BB4241">
                  <w:pPr>
                    <w:pStyle w:val="43"/>
                    <w:spacing w:before="1"/>
                    <w:jc w:val="center"/>
                    <w:rPr>
                      <w:rFonts w:ascii="Times New Roman" w:hAnsi="Times New Roman" w:cs="Times New Roman"/>
                      <w:szCs w:val="22"/>
                      <w:lang w:val="en-US"/>
                    </w:rPr>
                  </w:pPr>
                  <w:r>
                    <w:rPr>
                      <w:rFonts w:ascii="Times New Roman" w:hAnsi="Times New Roman" w:cs="Times New Roman"/>
                      <w:szCs w:val="22"/>
                      <w:lang w:val="en-US"/>
                    </w:rPr>
                    <w:t>4</w:t>
                  </w:r>
                </w:p>
              </w:tc>
              <w:tc>
                <w:tcPr>
                  <w:tcW w:w="1771" w:type="dxa"/>
                  <w:tcBorders>
                    <w:tl2br w:val="nil"/>
                    <w:tr2bl w:val="nil"/>
                  </w:tcBorders>
                  <w:vAlign w:val="center"/>
                </w:tcPr>
                <w:p w14:paraId="7C9EE83A">
                  <w:pPr>
                    <w:pStyle w:val="43"/>
                    <w:ind w:left="112"/>
                    <w:jc w:val="center"/>
                    <w:rPr>
                      <w:rFonts w:ascii="Times New Roman" w:hAnsi="Times New Roman" w:cs="Times New Roman"/>
                      <w:sz w:val="20"/>
                    </w:rPr>
                  </w:pPr>
                  <w:r>
                    <w:rPr>
                      <w:rFonts w:ascii="Times New Roman" w:hAnsi="Times New Roman" w:cs="Times New Roman"/>
                      <w:lang w:val="en-US" w:bidi="ar-SA"/>
                    </w:rPr>
                    <w:drawing>
                      <wp:inline distT="0" distB="0" distL="114300" distR="114300">
                        <wp:extent cx="962025" cy="1200150"/>
                        <wp:effectExtent l="0" t="0" r="952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7"/>
                                <a:stretch>
                                  <a:fillRect/>
                                </a:stretch>
                              </pic:blipFill>
                              <pic:spPr>
                                <a:xfrm>
                                  <a:off x="0" y="0"/>
                                  <a:ext cx="962025" cy="1200150"/>
                                </a:xfrm>
                                <a:prstGeom prst="rect">
                                  <a:avLst/>
                                </a:prstGeom>
                                <a:noFill/>
                                <a:ln>
                                  <a:noFill/>
                                </a:ln>
                              </pic:spPr>
                            </pic:pic>
                          </a:graphicData>
                        </a:graphic>
                      </wp:inline>
                    </w:drawing>
                  </w:r>
                </w:p>
              </w:tc>
              <w:tc>
                <w:tcPr>
                  <w:tcW w:w="1814" w:type="dxa"/>
                  <w:tcBorders>
                    <w:tl2br w:val="nil"/>
                    <w:tr2bl w:val="nil"/>
                  </w:tcBorders>
                  <w:vAlign w:val="center"/>
                </w:tcPr>
                <w:p w14:paraId="403E41FB">
                  <w:pPr>
                    <w:pStyle w:val="43"/>
                    <w:ind w:left="194"/>
                    <w:jc w:val="center"/>
                    <w:rPr>
                      <w:rFonts w:ascii="Times New Roman" w:hAnsi="Times New Roman" w:cs="Times New Roman"/>
                      <w:sz w:val="20"/>
                    </w:rPr>
                  </w:pPr>
                  <w:r>
                    <w:rPr>
                      <w:rFonts w:ascii="Times New Roman" w:hAnsi="Times New Roman" w:cs="Times New Roman"/>
                      <w:lang w:val="en-US" w:bidi="ar-SA"/>
                    </w:rPr>
                    <w:drawing>
                      <wp:inline distT="0" distB="0" distL="114300" distR="114300">
                        <wp:extent cx="1019175" cy="1171575"/>
                        <wp:effectExtent l="0" t="0" r="9525" b="952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8"/>
                                <a:stretch>
                                  <a:fillRect/>
                                </a:stretch>
                              </pic:blipFill>
                              <pic:spPr>
                                <a:xfrm>
                                  <a:off x="0" y="0"/>
                                  <a:ext cx="1019175" cy="1171575"/>
                                </a:xfrm>
                                <a:prstGeom prst="rect">
                                  <a:avLst/>
                                </a:prstGeom>
                                <a:noFill/>
                                <a:ln>
                                  <a:noFill/>
                                </a:ln>
                              </pic:spPr>
                            </pic:pic>
                          </a:graphicData>
                        </a:graphic>
                      </wp:inline>
                    </w:drawing>
                  </w:r>
                </w:p>
              </w:tc>
              <w:tc>
                <w:tcPr>
                  <w:tcW w:w="1354" w:type="dxa"/>
                  <w:tcBorders>
                    <w:tl2br w:val="nil"/>
                    <w:tr2bl w:val="nil"/>
                  </w:tcBorders>
                  <w:vAlign w:val="center"/>
                </w:tcPr>
                <w:p w14:paraId="34A24E74">
                  <w:pPr>
                    <w:pStyle w:val="43"/>
                    <w:spacing w:before="1"/>
                    <w:jc w:val="center"/>
                    <w:rPr>
                      <w:rFonts w:ascii="Times New Roman" w:hAnsi="Times New Roman" w:cs="Times New Roman"/>
                      <w:szCs w:val="22"/>
                      <w:lang w:val="en-US"/>
                    </w:rPr>
                  </w:pPr>
                  <w:r>
                    <w:rPr>
                      <w:rFonts w:ascii="Times New Roman" w:hAnsi="Times New Roman" w:cs="Times New Roman"/>
                      <w:szCs w:val="22"/>
                      <w:lang w:val="en-US"/>
                    </w:rPr>
                    <w:t>废气排放口</w:t>
                  </w:r>
                </w:p>
              </w:tc>
              <w:tc>
                <w:tcPr>
                  <w:tcW w:w="2775" w:type="dxa"/>
                  <w:tcBorders>
                    <w:tl2br w:val="nil"/>
                    <w:tr2bl w:val="nil"/>
                  </w:tcBorders>
                  <w:vAlign w:val="center"/>
                </w:tcPr>
                <w:p w14:paraId="5D632F9F">
                  <w:pPr>
                    <w:pStyle w:val="43"/>
                    <w:spacing w:before="1"/>
                    <w:jc w:val="center"/>
                    <w:rPr>
                      <w:rFonts w:ascii="Times New Roman" w:hAnsi="Times New Roman" w:cs="Times New Roman"/>
                      <w:szCs w:val="22"/>
                    </w:rPr>
                  </w:pPr>
                  <w:r>
                    <w:rPr>
                      <w:rFonts w:ascii="Times New Roman" w:hAnsi="Times New Roman" w:cs="Times New Roman"/>
                      <w:szCs w:val="22"/>
                    </w:rPr>
                    <w:t>表示</w:t>
                  </w:r>
                  <w:r>
                    <w:rPr>
                      <w:rFonts w:ascii="Times New Roman" w:hAnsi="Times New Roman" w:cs="Times New Roman"/>
                      <w:szCs w:val="22"/>
                      <w:lang w:val="en-US"/>
                    </w:rPr>
                    <w:t>废气</w:t>
                  </w:r>
                  <w:r>
                    <w:rPr>
                      <w:rFonts w:ascii="Times New Roman" w:hAnsi="Times New Roman" w:cs="Times New Roman"/>
                      <w:szCs w:val="22"/>
                    </w:rPr>
                    <w:t>向外环境排放</w:t>
                  </w:r>
                </w:p>
              </w:tc>
            </w:tr>
            <w:tr w14:paraId="449CE8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vAlign w:val="center"/>
                </w:tcPr>
                <w:p w14:paraId="6D06BC63">
                  <w:pPr>
                    <w:pStyle w:val="43"/>
                    <w:spacing w:before="1"/>
                    <w:jc w:val="center"/>
                    <w:rPr>
                      <w:rFonts w:hint="eastAsia" w:ascii="Times New Roman" w:hAnsi="Times New Roman" w:eastAsia="宋体" w:cs="Times New Roman"/>
                      <w:szCs w:val="22"/>
                      <w:lang w:val="en-US" w:eastAsia="zh-CN"/>
                    </w:rPr>
                  </w:pPr>
                  <w:r>
                    <w:rPr>
                      <w:rFonts w:hint="eastAsia" w:ascii="Times New Roman" w:hAnsi="Times New Roman" w:cs="Times New Roman"/>
                      <w:szCs w:val="22"/>
                      <w:lang w:val="en-US" w:eastAsia="zh-CN"/>
                    </w:rPr>
                    <w:t>5</w:t>
                  </w:r>
                </w:p>
              </w:tc>
              <w:tc>
                <w:tcPr>
                  <w:tcW w:w="1771" w:type="dxa"/>
                  <w:tcBorders>
                    <w:tl2br w:val="nil"/>
                    <w:tr2bl w:val="nil"/>
                  </w:tcBorders>
                  <w:vAlign w:val="center"/>
                </w:tcPr>
                <w:p w14:paraId="3B3219EC">
                  <w:pPr>
                    <w:pStyle w:val="43"/>
                    <w:ind w:left="112"/>
                    <w:jc w:val="center"/>
                    <w:rPr>
                      <w:rFonts w:hint="eastAsia" w:ascii="Times New Roman" w:hAnsi="Times New Roman" w:eastAsia="宋体" w:cs="Times New Roman"/>
                      <w:lang w:val="en-US" w:eastAsia="zh-CN" w:bidi="ar-SA"/>
                    </w:rPr>
                  </w:pPr>
                  <w:r>
                    <w:rPr>
                      <w:rFonts w:hint="eastAsia" w:ascii="Times New Roman" w:hAnsi="Times New Roman" w:cs="Times New Roman"/>
                      <w:lang w:val="en-US" w:eastAsia="zh-CN" w:bidi="ar-SA"/>
                    </w:rPr>
                    <w:t>/</w:t>
                  </w:r>
                </w:p>
              </w:tc>
              <w:tc>
                <w:tcPr>
                  <w:tcW w:w="1814" w:type="dxa"/>
                  <w:tcBorders>
                    <w:tl2br w:val="nil"/>
                    <w:tr2bl w:val="nil"/>
                  </w:tcBorders>
                  <w:vAlign w:val="center"/>
                </w:tcPr>
                <w:p w14:paraId="10AF86D8">
                  <w:pPr>
                    <w:pStyle w:val="43"/>
                    <w:ind w:left="194"/>
                    <w:jc w:val="center"/>
                    <w:rPr>
                      <w:rFonts w:ascii="Times New Roman" w:hAnsi="Times New Roman" w:cs="Times New Roman"/>
                      <w:lang w:val="en-US" w:bidi="ar-SA"/>
                    </w:rPr>
                  </w:pPr>
                  <w:r>
                    <w:drawing>
                      <wp:inline distT="0" distB="0" distL="114300" distR="114300">
                        <wp:extent cx="1047750" cy="1135380"/>
                        <wp:effectExtent l="0" t="0" r="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1047750" cy="1135380"/>
                                </a:xfrm>
                                <a:prstGeom prst="rect">
                                  <a:avLst/>
                                </a:prstGeom>
                                <a:noFill/>
                                <a:ln>
                                  <a:noFill/>
                                </a:ln>
                              </pic:spPr>
                            </pic:pic>
                          </a:graphicData>
                        </a:graphic>
                      </wp:inline>
                    </w:drawing>
                  </w:r>
                </w:p>
              </w:tc>
              <w:tc>
                <w:tcPr>
                  <w:tcW w:w="1354" w:type="dxa"/>
                  <w:tcBorders>
                    <w:tl2br w:val="nil"/>
                    <w:tr2bl w:val="nil"/>
                  </w:tcBorders>
                  <w:vAlign w:val="center"/>
                </w:tcPr>
                <w:p w14:paraId="6373B8A9">
                  <w:pPr>
                    <w:pStyle w:val="43"/>
                    <w:spacing w:before="1"/>
                    <w:jc w:val="center"/>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危废贮存间</w:t>
                  </w:r>
                </w:p>
              </w:tc>
              <w:tc>
                <w:tcPr>
                  <w:tcW w:w="2775" w:type="dxa"/>
                  <w:tcBorders>
                    <w:tl2br w:val="nil"/>
                    <w:tr2bl w:val="nil"/>
                  </w:tcBorders>
                  <w:vAlign w:val="center"/>
                </w:tcPr>
                <w:p w14:paraId="436C7B95">
                  <w:pPr>
                    <w:pStyle w:val="43"/>
                    <w:spacing w:before="1"/>
                    <w:jc w:val="center"/>
                    <w:rPr>
                      <w:rFonts w:hint="default" w:ascii="Times New Roman" w:hAnsi="Times New Roman" w:eastAsia="宋体" w:cs="Times New Roman"/>
                      <w:szCs w:val="22"/>
                      <w:lang w:val="en-US" w:eastAsia="zh-CN"/>
                    </w:rPr>
                  </w:pPr>
                  <w:r>
                    <w:rPr>
                      <w:rFonts w:hint="eastAsia" w:ascii="Times New Roman" w:hAnsi="Times New Roman" w:cs="Times New Roman"/>
                      <w:szCs w:val="22"/>
                      <w:lang w:val="en-US" w:eastAsia="zh-CN"/>
                    </w:rPr>
                    <w:t>危险废物贮存</w:t>
                  </w:r>
                </w:p>
              </w:tc>
            </w:tr>
          </w:tbl>
          <w:p w14:paraId="2D894277">
            <w:pPr>
              <w:pStyle w:val="5"/>
              <w:ind w:firstLine="482"/>
              <w:rPr>
                <w:szCs w:val="24"/>
                <w:highlight w:val="none"/>
              </w:rPr>
            </w:pPr>
            <w:r>
              <w:rPr>
                <w:rFonts w:hint="eastAsia"/>
                <w:szCs w:val="24"/>
                <w:highlight w:val="none"/>
              </w:rPr>
              <w:t>1</w:t>
            </w:r>
            <w:r>
              <w:rPr>
                <w:rFonts w:hint="eastAsia"/>
                <w:szCs w:val="24"/>
                <w:highlight w:val="none"/>
                <w:lang w:val="en-US" w:eastAsia="zh-CN"/>
              </w:rPr>
              <w:t>2</w:t>
            </w:r>
            <w:r>
              <w:rPr>
                <w:szCs w:val="24"/>
                <w:highlight w:val="none"/>
              </w:rPr>
              <w:t>、环保投资情况</w:t>
            </w:r>
          </w:p>
          <w:p w14:paraId="64CE04FA">
            <w:pPr>
              <w:pStyle w:val="38"/>
              <w:spacing w:line="360" w:lineRule="auto"/>
              <w:ind w:firstLine="480" w:firstLineChars="200"/>
              <w:jc w:val="both"/>
              <w:rPr>
                <w:rFonts w:hint="default" w:ascii="Times New Roman"/>
                <w:color w:val="auto"/>
                <w:highlight w:val="none"/>
              </w:rPr>
            </w:pPr>
            <w:r>
              <w:rPr>
                <w:rFonts w:hint="default" w:ascii="Times New Roman"/>
                <w:b w:val="0"/>
                <w:color w:val="auto"/>
                <w:highlight w:val="none"/>
              </w:rPr>
              <w:t>本项目总投资</w:t>
            </w:r>
            <w:r>
              <w:rPr>
                <w:rFonts w:hint="eastAsia" w:ascii="Times New Roman"/>
                <w:b w:val="0"/>
                <w:color w:val="auto"/>
                <w:highlight w:val="none"/>
                <w:lang w:val="en-US" w:eastAsia="zh-CN"/>
              </w:rPr>
              <w:t>850</w:t>
            </w:r>
            <w:r>
              <w:rPr>
                <w:rFonts w:hint="default" w:ascii="Times New Roman"/>
                <w:b w:val="0"/>
                <w:color w:val="auto"/>
                <w:highlight w:val="none"/>
              </w:rPr>
              <w:t>万元，其中环保投资</w:t>
            </w:r>
            <w:r>
              <w:rPr>
                <w:rFonts w:hint="eastAsia" w:ascii="Times New Roman"/>
                <w:b w:val="0"/>
                <w:color w:val="auto"/>
                <w:highlight w:val="none"/>
                <w:lang w:val="en-US" w:eastAsia="zh-CN"/>
              </w:rPr>
              <w:t>145</w:t>
            </w:r>
            <w:r>
              <w:rPr>
                <w:rFonts w:hint="default" w:ascii="Times New Roman"/>
                <w:b w:val="0"/>
                <w:color w:val="auto"/>
                <w:highlight w:val="none"/>
              </w:rPr>
              <w:t>万元，占总投资的</w:t>
            </w:r>
            <w:r>
              <w:rPr>
                <w:rFonts w:hint="eastAsia" w:ascii="Times New Roman"/>
                <w:b w:val="0"/>
                <w:color w:val="auto"/>
                <w:highlight w:val="none"/>
                <w:lang w:val="en-US" w:eastAsia="zh-CN"/>
              </w:rPr>
              <w:t>18.13</w:t>
            </w:r>
            <w:r>
              <w:rPr>
                <w:rFonts w:hint="default" w:ascii="Times New Roman"/>
                <w:b w:val="0"/>
                <w:color w:val="auto"/>
                <w:highlight w:val="none"/>
              </w:rPr>
              <w:t>%。项目环保投资一览表见表4-2</w:t>
            </w:r>
            <w:r>
              <w:rPr>
                <w:rFonts w:hint="eastAsia" w:ascii="Times New Roman"/>
                <w:b w:val="0"/>
                <w:color w:val="auto"/>
                <w:highlight w:val="none"/>
                <w:lang w:val="en-US" w:eastAsia="zh-CN"/>
              </w:rPr>
              <w:t>1</w:t>
            </w:r>
            <w:r>
              <w:rPr>
                <w:rFonts w:hint="default" w:ascii="Times New Roman"/>
                <w:b w:val="0"/>
                <w:color w:val="auto"/>
                <w:highlight w:val="none"/>
              </w:rPr>
              <w:t>。</w:t>
            </w:r>
          </w:p>
          <w:p w14:paraId="3B3975D2">
            <w:pPr>
              <w:pStyle w:val="9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rPr>
            </w:pPr>
            <w:r>
              <w:rPr>
                <w:color w:val="auto"/>
              </w:rPr>
              <w:t>表4-2</w:t>
            </w:r>
            <w:r>
              <w:rPr>
                <w:rFonts w:hint="eastAsia"/>
                <w:color w:val="auto"/>
                <w:lang w:val="en-US" w:eastAsia="zh-CN"/>
              </w:rPr>
              <w:t xml:space="preserve">1   </w:t>
            </w:r>
            <w:r>
              <w:rPr>
                <w:color w:val="auto"/>
              </w:rPr>
              <w:t>环保投资一览表</w:t>
            </w:r>
          </w:p>
          <w:tbl>
            <w:tblPr>
              <w:tblStyle w:val="29"/>
              <w:tblW w:w="841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029"/>
              <w:gridCol w:w="2045"/>
              <w:gridCol w:w="3496"/>
              <w:gridCol w:w="1118"/>
            </w:tblGrid>
            <w:tr w14:paraId="2C363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259" w:type="pct"/>
                  <w:gridSpan w:val="3"/>
                  <w:tcBorders>
                    <w:tl2br w:val="nil"/>
                    <w:tr2bl w:val="nil"/>
                  </w:tcBorders>
                  <w:vAlign w:val="center"/>
                </w:tcPr>
                <w:p w14:paraId="7BDA07A0">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环保项目</w:t>
                  </w:r>
                </w:p>
              </w:tc>
              <w:tc>
                <w:tcPr>
                  <w:tcW w:w="2076" w:type="pct"/>
                  <w:tcBorders>
                    <w:tl2br w:val="nil"/>
                    <w:tr2bl w:val="nil"/>
                  </w:tcBorders>
                  <w:vAlign w:val="center"/>
                </w:tcPr>
                <w:p w14:paraId="1F3CA488">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工程内容</w:t>
                  </w:r>
                </w:p>
              </w:tc>
              <w:tc>
                <w:tcPr>
                  <w:tcW w:w="663" w:type="pct"/>
                  <w:tcBorders>
                    <w:tl2br w:val="nil"/>
                    <w:tr2bl w:val="nil"/>
                  </w:tcBorders>
                  <w:vAlign w:val="center"/>
                </w:tcPr>
                <w:p w14:paraId="10992334">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hAnsi="Times New Roman" w:eastAsia="宋体"/>
                      <w:color w:val="auto"/>
                      <w:szCs w:val="21"/>
                      <w:lang w:eastAsia="zh-CN"/>
                    </w:rPr>
                  </w:pPr>
                  <w:r>
                    <w:rPr>
                      <w:rFonts w:hAnsi="Times New Roman"/>
                      <w:color w:val="auto"/>
                      <w:szCs w:val="21"/>
                    </w:rPr>
                    <w:t>投资估算（万元</w:t>
                  </w:r>
                  <w:r>
                    <w:rPr>
                      <w:rFonts w:hint="eastAsia" w:hAnsi="Times New Roman"/>
                      <w:color w:val="auto"/>
                      <w:szCs w:val="21"/>
                      <w:lang w:eastAsia="zh-CN"/>
                    </w:rPr>
                    <w:t>）</w:t>
                  </w:r>
                </w:p>
              </w:tc>
            </w:tr>
            <w:tr w14:paraId="6BB36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434" w:type="pct"/>
                  <w:vMerge w:val="restart"/>
                  <w:tcBorders>
                    <w:tl2br w:val="nil"/>
                    <w:tr2bl w:val="nil"/>
                  </w:tcBorders>
                  <w:vAlign w:val="center"/>
                </w:tcPr>
                <w:p w14:paraId="28CD2E53">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施工期污染防治设施</w:t>
                  </w:r>
                </w:p>
              </w:tc>
              <w:tc>
                <w:tcPr>
                  <w:tcW w:w="611" w:type="pct"/>
                  <w:tcBorders>
                    <w:tl2br w:val="nil"/>
                    <w:tr2bl w:val="nil"/>
                  </w:tcBorders>
                  <w:vAlign w:val="center"/>
                </w:tcPr>
                <w:p w14:paraId="66C67D16">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废气治理</w:t>
                  </w:r>
                </w:p>
              </w:tc>
              <w:tc>
                <w:tcPr>
                  <w:tcW w:w="1214" w:type="pct"/>
                  <w:tcBorders>
                    <w:tl2br w:val="nil"/>
                    <w:tr2bl w:val="nil"/>
                  </w:tcBorders>
                  <w:vAlign w:val="center"/>
                </w:tcPr>
                <w:p w14:paraId="2D6AF00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施工扬尘</w:t>
                  </w:r>
                </w:p>
              </w:tc>
              <w:tc>
                <w:tcPr>
                  <w:tcW w:w="2076" w:type="pct"/>
                  <w:tcBorders>
                    <w:tl2br w:val="nil"/>
                    <w:tr2bl w:val="nil"/>
                  </w:tcBorders>
                  <w:vAlign w:val="center"/>
                </w:tcPr>
                <w:p w14:paraId="1E5F9D1B">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土建施工场地周边设置围挡、不定时对施工场地洒水抑尘</w:t>
                  </w:r>
                </w:p>
              </w:tc>
              <w:tc>
                <w:tcPr>
                  <w:tcW w:w="663" w:type="pct"/>
                  <w:tcBorders>
                    <w:tl2br w:val="nil"/>
                    <w:tr2bl w:val="nil"/>
                  </w:tcBorders>
                  <w:vAlign w:val="center"/>
                </w:tcPr>
                <w:p w14:paraId="11380CC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3</w:t>
                  </w:r>
                </w:p>
              </w:tc>
            </w:tr>
            <w:tr w14:paraId="6CD31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434" w:type="pct"/>
                  <w:vMerge w:val="continue"/>
                  <w:tcBorders>
                    <w:tl2br w:val="nil"/>
                    <w:tr2bl w:val="nil"/>
                  </w:tcBorders>
                  <w:vAlign w:val="center"/>
                </w:tcPr>
                <w:p w14:paraId="2A7E97DD">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3532DCC6">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废水治理</w:t>
                  </w:r>
                </w:p>
              </w:tc>
              <w:tc>
                <w:tcPr>
                  <w:tcW w:w="1214" w:type="pct"/>
                  <w:tcBorders>
                    <w:tl2br w:val="nil"/>
                    <w:tr2bl w:val="nil"/>
                  </w:tcBorders>
                  <w:vAlign w:val="center"/>
                </w:tcPr>
                <w:p w14:paraId="45DF2DE5">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施工废水和施工人员</w:t>
                  </w:r>
                  <w:r>
                    <w:rPr>
                      <w:rFonts w:hint="eastAsia" w:hAnsi="Times New Roman"/>
                      <w:color w:val="auto"/>
                      <w:szCs w:val="21"/>
                    </w:rPr>
                    <w:t>生活污水</w:t>
                  </w:r>
                </w:p>
              </w:tc>
              <w:tc>
                <w:tcPr>
                  <w:tcW w:w="2076" w:type="pct"/>
                  <w:tcBorders>
                    <w:tl2br w:val="nil"/>
                    <w:tr2bl w:val="nil"/>
                  </w:tcBorders>
                  <w:vAlign w:val="center"/>
                </w:tcPr>
                <w:p w14:paraId="6A754D6E">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项目不设置施工驻地，设置临时沉淀池收集施工废水，用以施工场地洒水抑尘</w:t>
                  </w:r>
                </w:p>
              </w:tc>
              <w:tc>
                <w:tcPr>
                  <w:tcW w:w="663" w:type="pct"/>
                  <w:tcBorders>
                    <w:tl2br w:val="nil"/>
                    <w:tr2bl w:val="nil"/>
                  </w:tcBorders>
                  <w:vAlign w:val="center"/>
                </w:tcPr>
                <w:p w14:paraId="6861CE08">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2</w:t>
                  </w:r>
                </w:p>
              </w:tc>
            </w:tr>
            <w:tr w14:paraId="17A5D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434" w:type="pct"/>
                  <w:vMerge w:val="continue"/>
                  <w:tcBorders>
                    <w:tl2br w:val="nil"/>
                    <w:tr2bl w:val="nil"/>
                  </w:tcBorders>
                  <w:vAlign w:val="center"/>
                </w:tcPr>
                <w:p w14:paraId="554C6BC5">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1DD0B8E4">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噪声治理</w:t>
                  </w:r>
                </w:p>
              </w:tc>
              <w:tc>
                <w:tcPr>
                  <w:tcW w:w="1214" w:type="pct"/>
                  <w:tcBorders>
                    <w:tl2br w:val="nil"/>
                    <w:tr2bl w:val="nil"/>
                  </w:tcBorders>
                  <w:vAlign w:val="center"/>
                </w:tcPr>
                <w:p w14:paraId="03894377">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施工噪声</w:t>
                  </w:r>
                </w:p>
              </w:tc>
              <w:tc>
                <w:tcPr>
                  <w:tcW w:w="2076" w:type="pct"/>
                  <w:tcBorders>
                    <w:tl2br w:val="nil"/>
                    <w:tr2bl w:val="nil"/>
                  </w:tcBorders>
                  <w:vAlign w:val="center"/>
                </w:tcPr>
                <w:p w14:paraId="1865BCC3">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尽量选用低噪声设备，部分施工机械设置基础减振和隔板隔音，为施工人员配备降噪耳机等</w:t>
                  </w:r>
                </w:p>
              </w:tc>
              <w:tc>
                <w:tcPr>
                  <w:tcW w:w="663" w:type="pct"/>
                  <w:tcBorders>
                    <w:tl2br w:val="nil"/>
                    <w:tr2bl w:val="nil"/>
                  </w:tcBorders>
                  <w:vAlign w:val="center"/>
                </w:tcPr>
                <w:p w14:paraId="6C6751CE">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1</w:t>
                  </w:r>
                </w:p>
              </w:tc>
            </w:tr>
            <w:tr w14:paraId="36305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434" w:type="pct"/>
                  <w:vMerge w:val="continue"/>
                  <w:tcBorders>
                    <w:tl2br w:val="nil"/>
                    <w:tr2bl w:val="nil"/>
                  </w:tcBorders>
                  <w:vAlign w:val="center"/>
                </w:tcPr>
                <w:p w14:paraId="5D36DA7B">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5FBE9F90">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固废治理</w:t>
                  </w:r>
                </w:p>
              </w:tc>
              <w:tc>
                <w:tcPr>
                  <w:tcW w:w="1214" w:type="pct"/>
                  <w:tcBorders>
                    <w:tl2br w:val="nil"/>
                    <w:tr2bl w:val="nil"/>
                  </w:tcBorders>
                  <w:vAlign w:val="center"/>
                </w:tcPr>
                <w:p w14:paraId="1791ECA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施工固废和生活固废</w:t>
                  </w:r>
                </w:p>
              </w:tc>
              <w:tc>
                <w:tcPr>
                  <w:tcW w:w="2076" w:type="pct"/>
                  <w:tcBorders>
                    <w:tl2br w:val="nil"/>
                    <w:tr2bl w:val="nil"/>
                  </w:tcBorders>
                  <w:vAlign w:val="center"/>
                </w:tcPr>
                <w:p w14:paraId="620EEFE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施工固废运至指定建筑垃圾填埋场，生活垃圾统一收集交由环卫部门清运</w:t>
                  </w:r>
                </w:p>
              </w:tc>
              <w:tc>
                <w:tcPr>
                  <w:tcW w:w="663" w:type="pct"/>
                  <w:tcBorders>
                    <w:tl2br w:val="nil"/>
                    <w:tr2bl w:val="nil"/>
                  </w:tcBorders>
                  <w:vAlign w:val="center"/>
                </w:tcPr>
                <w:p w14:paraId="7BF824E8">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1</w:t>
                  </w:r>
                </w:p>
                <w:p w14:paraId="4F111D73">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r>
            <w:tr w14:paraId="18B9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restart"/>
                  <w:tcBorders>
                    <w:tl2br w:val="nil"/>
                    <w:tr2bl w:val="nil"/>
                  </w:tcBorders>
                  <w:vAlign w:val="center"/>
                </w:tcPr>
                <w:p w14:paraId="6F17B5F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运营期污染防治设施</w:t>
                  </w:r>
                </w:p>
              </w:tc>
              <w:tc>
                <w:tcPr>
                  <w:tcW w:w="611" w:type="pct"/>
                  <w:vMerge w:val="restart"/>
                  <w:tcBorders>
                    <w:tl2br w:val="nil"/>
                    <w:tr2bl w:val="nil"/>
                  </w:tcBorders>
                  <w:vAlign w:val="center"/>
                </w:tcPr>
                <w:p w14:paraId="4599653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废气治理</w:t>
                  </w:r>
                </w:p>
              </w:tc>
              <w:tc>
                <w:tcPr>
                  <w:tcW w:w="1214" w:type="pct"/>
                  <w:tcBorders>
                    <w:tl2br w:val="nil"/>
                    <w:tr2bl w:val="nil"/>
                  </w:tcBorders>
                  <w:vAlign w:val="center"/>
                </w:tcPr>
                <w:p w14:paraId="1DFEF9B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车间内通风、换气</w:t>
                  </w:r>
                </w:p>
              </w:tc>
              <w:tc>
                <w:tcPr>
                  <w:tcW w:w="2076" w:type="pct"/>
                  <w:tcBorders>
                    <w:tl2br w:val="nil"/>
                    <w:tr2bl w:val="nil"/>
                  </w:tcBorders>
                  <w:vAlign w:val="center"/>
                </w:tcPr>
                <w:p w14:paraId="69F755E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安装换气扇、风机等</w:t>
                  </w:r>
                </w:p>
              </w:tc>
              <w:tc>
                <w:tcPr>
                  <w:tcW w:w="663" w:type="pct"/>
                  <w:tcBorders>
                    <w:tl2br w:val="nil"/>
                    <w:tr2bl w:val="nil"/>
                  </w:tcBorders>
                  <w:vAlign w:val="center"/>
                </w:tcPr>
                <w:p w14:paraId="25943EB1">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12</w:t>
                  </w:r>
                </w:p>
              </w:tc>
            </w:tr>
            <w:tr w14:paraId="643D3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329CFAC3">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vMerge w:val="continue"/>
                  <w:tcBorders>
                    <w:tl2br w:val="nil"/>
                    <w:tr2bl w:val="nil"/>
                  </w:tcBorders>
                  <w:vAlign w:val="center"/>
                </w:tcPr>
                <w:p w14:paraId="09EA58F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1214" w:type="pct"/>
                  <w:tcBorders>
                    <w:tl2br w:val="nil"/>
                    <w:tr2bl w:val="nil"/>
                  </w:tcBorders>
                  <w:vAlign w:val="center"/>
                </w:tcPr>
                <w:p w14:paraId="12D6E74B">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污水处理站恶臭</w:t>
                  </w:r>
                </w:p>
              </w:tc>
              <w:tc>
                <w:tcPr>
                  <w:tcW w:w="2076" w:type="pct"/>
                  <w:tcBorders>
                    <w:tl2br w:val="nil"/>
                    <w:tr2bl w:val="nil"/>
                  </w:tcBorders>
                  <w:vAlign w:val="center"/>
                </w:tcPr>
                <w:p w14:paraId="27137838">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hAnsi="Times New Roman" w:eastAsia="宋体"/>
                      <w:color w:val="auto"/>
                      <w:szCs w:val="21"/>
                      <w:lang w:val="en-US" w:eastAsia="zh-CN"/>
                    </w:rPr>
                  </w:pPr>
                  <w:r>
                    <w:rPr>
                      <w:rFonts w:hint="eastAsia" w:hAnsi="Times New Roman"/>
                      <w:color w:val="auto"/>
                      <w:szCs w:val="21"/>
                      <w:lang w:val="en-US" w:eastAsia="zh-CN"/>
                    </w:rPr>
                    <w:t>活性炭吸附装置</w:t>
                  </w:r>
                </w:p>
              </w:tc>
              <w:tc>
                <w:tcPr>
                  <w:tcW w:w="663" w:type="pct"/>
                  <w:tcBorders>
                    <w:tl2br w:val="nil"/>
                    <w:tr2bl w:val="nil"/>
                  </w:tcBorders>
                  <w:vAlign w:val="center"/>
                </w:tcPr>
                <w:p w14:paraId="70D9441E">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20</w:t>
                  </w:r>
                </w:p>
              </w:tc>
            </w:tr>
            <w:tr w14:paraId="2A36D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02BEC276">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vMerge w:val="continue"/>
                  <w:tcBorders>
                    <w:tl2br w:val="nil"/>
                    <w:tr2bl w:val="nil"/>
                  </w:tcBorders>
                  <w:vAlign w:val="center"/>
                </w:tcPr>
                <w:p w14:paraId="08E5880F">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1214" w:type="pct"/>
                  <w:tcBorders>
                    <w:tl2br w:val="nil"/>
                    <w:tr2bl w:val="nil"/>
                  </w:tcBorders>
                  <w:vAlign w:val="center"/>
                </w:tcPr>
                <w:p w14:paraId="4FDEE040">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油烟治理</w:t>
                  </w:r>
                </w:p>
              </w:tc>
              <w:tc>
                <w:tcPr>
                  <w:tcW w:w="2076" w:type="pct"/>
                  <w:tcBorders>
                    <w:tl2br w:val="nil"/>
                    <w:tr2bl w:val="nil"/>
                  </w:tcBorders>
                  <w:vAlign w:val="center"/>
                </w:tcPr>
                <w:p w14:paraId="6FEEDA8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安装去除效率＞60%油烟净化设备</w:t>
                  </w:r>
                </w:p>
              </w:tc>
              <w:tc>
                <w:tcPr>
                  <w:tcW w:w="663" w:type="pct"/>
                  <w:tcBorders>
                    <w:tl2br w:val="nil"/>
                    <w:tr2bl w:val="nil"/>
                  </w:tcBorders>
                  <w:vAlign w:val="center"/>
                </w:tcPr>
                <w:p w14:paraId="5E040FB5">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8</w:t>
                  </w:r>
                </w:p>
              </w:tc>
            </w:tr>
            <w:tr w14:paraId="34A67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3A8887B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5C234CEF">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固废治理</w:t>
                  </w:r>
                </w:p>
              </w:tc>
              <w:tc>
                <w:tcPr>
                  <w:tcW w:w="1214" w:type="pct"/>
                  <w:tcBorders>
                    <w:tl2br w:val="nil"/>
                    <w:tr2bl w:val="nil"/>
                  </w:tcBorders>
                  <w:vAlign w:val="center"/>
                </w:tcPr>
                <w:p w14:paraId="59B1A7A7">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生产固废处置</w:t>
                  </w:r>
                </w:p>
              </w:tc>
              <w:tc>
                <w:tcPr>
                  <w:tcW w:w="2076" w:type="pct"/>
                  <w:tcBorders>
                    <w:tl2br w:val="nil"/>
                    <w:tr2bl w:val="nil"/>
                  </w:tcBorders>
                  <w:vAlign w:val="center"/>
                </w:tcPr>
                <w:p w14:paraId="39731823">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int="default" w:hAnsi="Times New Roman" w:eastAsia="宋体"/>
                      <w:color w:val="auto"/>
                      <w:szCs w:val="21"/>
                      <w:lang w:val="en-US" w:eastAsia="zh-CN"/>
                    </w:rPr>
                  </w:pPr>
                  <w:r>
                    <w:rPr>
                      <w:rFonts w:hint="eastAsia" w:hAnsi="Times New Roman"/>
                      <w:color w:val="auto"/>
                      <w:szCs w:val="21"/>
                      <w:lang w:val="en-US" w:eastAsia="zh-CN"/>
                    </w:rPr>
                    <w:t>收集装置和处置费</w:t>
                  </w:r>
                </w:p>
              </w:tc>
              <w:tc>
                <w:tcPr>
                  <w:tcW w:w="663" w:type="pct"/>
                  <w:tcBorders>
                    <w:tl2br w:val="nil"/>
                    <w:tr2bl w:val="nil"/>
                  </w:tcBorders>
                  <w:vAlign w:val="center"/>
                </w:tcPr>
                <w:p w14:paraId="4697C871">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10</w:t>
                  </w:r>
                </w:p>
              </w:tc>
            </w:tr>
            <w:tr w14:paraId="2461B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4574C02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vMerge w:val="restart"/>
                  <w:tcBorders>
                    <w:tl2br w:val="nil"/>
                    <w:tr2bl w:val="nil"/>
                  </w:tcBorders>
                  <w:vAlign w:val="center"/>
                </w:tcPr>
                <w:p w14:paraId="3D2D1D4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废水治理</w:t>
                  </w:r>
                </w:p>
              </w:tc>
              <w:tc>
                <w:tcPr>
                  <w:tcW w:w="1214" w:type="pct"/>
                  <w:tcBorders>
                    <w:tl2br w:val="nil"/>
                    <w:tr2bl w:val="nil"/>
                  </w:tcBorders>
                  <w:vAlign w:val="center"/>
                </w:tcPr>
                <w:p w14:paraId="6BF00E37">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生产废水</w:t>
                  </w:r>
                </w:p>
              </w:tc>
              <w:tc>
                <w:tcPr>
                  <w:tcW w:w="2076" w:type="pct"/>
                  <w:tcBorders>
                    <w:tl2br w:val="nil"/>
                    <w:tr2bl w:val="nil"/>
                  </w:tcBorders>
                  <w:vAlign w:val="center"/>
                </w:tcPr>
                <w:p w14:paraId="797D485D">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污水处理系统</w:t>
                  </w:r>
                </w:p>
              </w:tc>
              <w:tc>
                <w:tcPr>
                  <w:tcW w:w="663" w:type="pct"/>
                  <w:tcBorders>
                    <w:tl2br w:val="nil"/>
                    <w:tr2bl w:val="nil"/>
                  </w:tcBorders>
                  <w:vAlign w:val="center"/>
                </w:tcPr>
                <w:p w14:paraId="050C532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63</w:t>
                  </w:r>
                </w:p>
              </w:tc>
            </w:tr>
            <w:tr w14:paraId="19E43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3A7AE3C4">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vMerge w:val="continue"/>
                  <w:tcBorders>
                    <w:tl2br w:val="nil"/>
                    <w:tr2bl w:val="nil"/>
                  </w:tcBorders>
                  <w:vAlign w:val="center"/>
                </w:tcPr>
                <w:p w14:paraId="62AFF9C5">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1214" w:type="pct"/>
                  <w:tcBorders>
                    <w:tl2br w:val="nil"/>
                    <w:tr2bl w:val="nil"/>
                  </w:tcBorders>
                  <w:vAlign w:val="center"/>
                </w:tcPr>
                <w:p w14:paraId="621988F4">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生活废水</w:t>
                  </w:r>
                </w:p>
              </w:tc>
              <w:tc>
                <w:tcPr>
                  <w:tcW w:w="2076" w:type="pct"/>
                  <w:tcBorders>
                    <w:tl2br w:val="nil"/>
                    <w:tr2bl w:val="nil"/>
                  </w:tcBorders>
                  <w:vAlign w:val="center"/>
                </w:tcPr>
                <w:p w14:paraId="6D941BB8">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隔油池+防渗化粪池</w:t>
                  </w:r>
                </w:p>
              </w:tc>
              <w:tc>
                <w:tcPr>
                  <w:tcW w:w="663" w:type="pct"/>
                  <w:tcBorders>
                    <w:tl2br w:val="nil"/>
                    <w:tr2bl w:val="nil"/>
                  </w:tcBorders>
                  <w:vAlign w:val="center"/>
                </w:tcPr>
                <w:p w14:paraId="3399D384">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2</w:t>
                  </w:r>
                </w:p>
              </w:tc>
            </w:tr>
            <w:tr w14:paraId="2873D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6293E80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1880BF15">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噪声控制</w:t>
                  </w:r>
                </w:p>
              </w:tc>
              <w:tc>
                <w:tcPr>
                  <w:tcW w:w="1214" w:type="pct"/>
                  <w:tcBorders>
                    <w:tl2br w:val="nil"/>
                    <w:tr2bl w:val="nil"/>
                  </w:tcBorders>
                  <w:vAlign w:val="center"/>
                </w:tcPr>
                <w:p w14:paraId="05CBCC3A">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车间噪声治理</w:t>
                  </w:r>
                </w:p>
              </w:tc>
              <w:tc>
                <w:tcPr>
                  <w:tcW w:w="2076" w:type="pct"/>
                  <w:tcBorders>
                    <w:tl2br w:val="nil"/>
                    <w:tr2bl w:val="nil"/>
                  </w:tcBorders>
                  <w:vAlign w:val="center"/>
                </w:tcPr>
                <w:p w14:paraId="0FF326C0">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both"/>
                    <w:textAlignment w:val="auto"/>
                    <w:rPr>
                      <w:rFonts w:hAnsi="Times New Roman"/>
                      <w:color w:val="auto"/>
                      <w:szCs w:val="21"/>
                    </w:rPr>
                  </w:pPr>
                  <w:r>
                    <w:rPr>
                      <w:rFonts w:hAnsi="Times New Roman"/>
                      <w:color w:val="auto"/>
                      <w:szCs w:val="21"/>
                    </w:rPr>
                    <w:t>安装基础减振、消声阻尼、消声器</w:t>
                  </w:r>
                </w:p>
              </w:tc>
              <w:tc>
                <w:tcPr>
                  <w:tcW w:w="663" w:type="pct"/>
                  <w:tcBorders>
                    <w:tl2br w:val="nil"/>
                    <w:tr2bl w:val="nil"/>
                  </w:tcBorders>
                  <w:vAlign w:val="center"/>
                </w:tcPr>
                <w:p w14:paraId="6D14EFB6">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4</w:t>
                  </w:r>
                </w:p>
              </w:tc>
            </w:tr>
            <w:tr w14:paraId="2D386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restart"/>
                  <w:tcBorders>
                    <w:tl2br w:val="nil"/>
                    <w:tr2bl w:val="nil"/>
                  </w:tcBorders>
                  <w:vAlign w:val="center"/>
                </w:tcPr>
                <w:p w14:paraId="1C0D5E9A">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hAnsi="Times New Roman" w:eastAsia="宋体"/>
                      <w:color w:val="auto"/>
                      <w:szCs w:val="21"/>
                      <w:lang w:val="en-US" w:eastAsia="zh-CN"/>
                    </w:rPr>
                  </w:pPr>
                  <w:r>
                    <w:rPr>
                      <w:rFonts w:hint="eastAsia" w:hAnsi="Times New Roman"/>
                      <w:color w:val="auto"/>
                      <w:szCs w:val="21"/>
                      <w:lang w:val="en-US" w:eastAsia="zh-CN"/>
                    </w:rPr>
                    <w:t>其他</w:t>
                  </w:r>
                </w:p>
              </w:tc>
              <w:tc>
                <w:tcPr>
                  <w:tcW w:w="611" w:type="pct"/>
                  <w:tcBorders>
                    <w:tl2br w:val="nil"/>
                    <w:tr2bl w:val="nil"/>
                  </w:tcBorders>
                  <w:vAlign w:val="center"/>
                </w:tcPr>
                <w:p w14:paraId="382D0E0A">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hAnsi="Times New Roman" w:eastAsia="宋体"/>
                      <w:color w:val="auto"/>
                      <w:szCs w:val="21"/>
                      <w:lang w:val="en-US" w:eastAsia="zh-CN"/>
                    </w:rPr>
                  </w:pPr>
                  <w:r>
                    <w:rPr>
                      <w:rFonts w:hint="eastAsia" w:hAnsi="Times New Roman"/>
                      <w:color w:val="auto"/>
                      <w:szCs w:val="21"/>
                      <w:lang w:val="en-US" w:eastAsia="zh-CN"/>
                    </w:rPr>
                    <w:t>环境风险</w:t>
                  </w:r>
                </w:p>
              </w:tc>
              <w:tc>
                <w:tcPr>
                  <w:tcW w:w="3290" w:type="pct"/>
                  <w:gridSpan w:val="2"/>
                  <w:tcBorders>
                    <w:tl2br w:val="nil"/>
                    <w:tr2bl w:val="nil"/>
                  </w:tcBorders>
                  <w:vAlign w:val="center"/>
                </w:tcPr>
                <w:p w14:paraId="6705B7F6">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int="eastAsia" w:hAnsi="Times New Roman"/>
                      <w:color w:val="auto"/>
                      <w:szCs w:val="21"/>
                      <w:lang w:val="en-US" w:eastAsia="zh-CN"/>
                    </w:rPr>
                    <w:t>设置警示牌、储备应急物资等</w:t>
                  </w:r>
                </w:p>
              </w:tc>
              <w:tc>
                <w:tcPr>
                  <w:tcW w:w="663" w:type="pct"/>
                  <w:tcBorders>
                    <w:tl2br w:val="nil"/>
                    <w:tr2bl w:val="nil"/>
                  </w:tcBorders>
                  <w:vAlign w:val="center"/>
                </w:tcPr>
                <w:p w14:paraId="7791926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eastAsia" w:hAnsi="Times New Roman" w:eastAsia="宋体"/>
                      <w:color w:val="auto"/>
                      <w:szCs w:val="21"/>
                      <w:lang w:val="en-US" w:eastAsia="zh-CN"/>
                    </w:rPr>
                  </w:pPr>
                  <w:r>
                    <w:rPr>
                      <w:rFonts w:hint="eastAsia" w:hAnsi="Times New Roman"/>
                      <w:color w:val="auto"/>
                      <w:szCs w:val="21"/>
                      <w:lang w:val="en-US" w:eastAsia="zh-CN"/>
                    </w:rPr>
                    <w:t>5</w:t>
                  </w:r>
                </w:p>
              </w:tc>
            </w:tr>
            <w:tr w14:paraId="39462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34" w:type="pct"/>
                  <w:vMerge w:val="continue"/>
                  <w:tcBorders>
                    <w:tl2br w:val="nil"/>
                    <w:tr2bl w:val="nil"/>
                  </w:tcBorders>
                  <w:vAlign w:val="center"/>
                </w:tcPr>
                <w:p w14:paraId="5EC8E2D0">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11" w:type="pct"/>
                  <w:tcBorders>
                    <w:tl2br w:val="nil"/>
                    <w:tr2bl w:val="nil"/>
                  </w:tcBorders>
                  <w:vAlign w:val="center"/>
                </w:tcPr>
                <w:p w14:paraId="30C139DB">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防渗工程</w:t>
                  </w:r>
                </w:p>
              </w:tc>
              <w:tc>
                <w:tcPr>
                  <w:tcW w:w="3290" w:type="pct"/>
                  <w:gridSpan w:val="2"/>
                  <w:tcBorders>
                    <w:tl2br w:val="nil"/>
                    <w:tr2bl w:val="nil"/>
                  </w:tcBorders>
                  <w:vAlign w:val="center"/>
                </w:tcPr>
                <w:p w14:paraId="49FBEDFA">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int="eastAsia" w:hAnsi="Times New Roman"/>
                      <w:color w:val="auto"/>
                      <w:szCs w:val="21"/>
                      <w:lang w:val="en-US" w:eastAsia="zh-CN"/>
                    </w:rPr>
                    <w:t>地面硬化、重点防渗涂层等</w:t>
                  </w:r>
                </w:p>
              </w:tc>
              <w:tc>
                <w:tcPr>
                  <w:tcW w:w="663" w:type="pct"/>
                  <w:tcBorders>
                    <w:tl2br w:val="nil"/>
                    <w:tr2bl w:val="nil"/>
                  </w:tcBorders>
                  <w:vAlign w:val="center"/>
                </w:tcPr>
                <w:p w14:paraId="3276325C">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lang w:val="en-US" w:eastAsia="zh-CN"/>
                    </w:rPr>
                    <w:t>14</w:t>
                  </w:r>
                </w:p>
              </w:tc>
            </w:tr>
            <w:tr w14:paraId="2244D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259" w:type="pct"/>
                  <w:gridSpan w:val="3"/>
                  <w:tcBorders>
                    <w:tl2br w:val="nil"/>
                    <w:tr2bl w:val="nil"/>
                  </w:tcBorders>
                  <w:shd w:val="clear" w:color="auto" w:fill="auto"/>
                  <w:vAlign w:val="center"/>
                </w:tcPr>
                <w:p w14:paraId="5CF99257">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r>
                    <w:rPr>
                      <w:rFonts w:hAnsi="Times New Roman"/>
                      <w:color w:val="auto"/>
                      <w:szCs w:val="21"/>
                    </w:rPr>
                    <w:t>合计</w:t>
                  </w:r>
                </w:p>
              </w:tc>
              <w:tc>
                <w:tcPr>
                  <w:tcW w:w="2076" w:type="pct"/>
                  <w:tcBorders>
                    <w:tl2br w:val="nil"/>
                    <w:tr2bl w:val="nil"/>
                  </w:tcBorders>
                  <w:shd w:val="clear" w:color="auto" w:fill="auto"/>
                  <w:vAlign w:val="center"/>
                </w:tcPr>
                <w:p w14:paraId="298FADB9">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Ansi="Times New Roman"/>
                      <w:color w:val="auto"/>
                      <w:szCs w:val="21"/>
                    </w:rPr>
                  </w:pPr>
                </w:p>
              </w:tc>
              <w:tc>
                <w:tcPr>
                  <w:tcW w:w="663" w:type="pct"/>
                  <w:tcBorders>
                    <w:tl2br w:val="nil"/>
                    <w:tr2bl w:val="nil"/>
                  </w:tcBorders>
                  <w:shd w:val="clear" w:color="auto" w:fill="auto"/>
                  <w:vAlign w:val="center"/>
                </w:tcPr>
                <w:p w14:paraId="14D99C3A">
                  <w:pPr>
                    <w:pStyle w:val="98"/>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firstLine="0" w:firstLineChars="0"/>
                    <w:jc w:val="center"/>
                    <w:textAlignment w:val="auto"/>
                    <w:rPr>
                      <w:rFonts w:hint="default" w:hAnsi="Times New Roman" w:eastAsia="宋体"/>
                      <w:color w:val="auto"/>
                      <w:szCs w:val="21"/>
                      <w:lang w:val="en-US" w:eastAsia="zh-CN"/>
                    </w:rPr>
                  </w:pPr>
                  <w:r>
                    <w:rPr>
                      <w:rFonts w:hint="eastAsia" w:hAnsi="Times New Roman"/>
                      <w:color w:val="auto"/>
                      <w:szCs w:val="21"/>
                      <w:highlight w:val="none"/>
                      <w:lang w:val="en-US" w:eastAsia="zh-CN"/>
                    </w:rPr>
                    <w:t>145</w:t>
                  </w:r>
                </w:p>
              </w:tc>
            </w:tr>
          </w:tbl>
          <w:p w14:paraId="31041A10">
            <w:pPr>
              <w:pStyle w:val="105"/>
              <w:ind w:firstLine="482"/>
              <w:rPr>
                <w:b/>
                <w:bCs/>
                <w:kern w:val="0"/>
              </w:rPr>
            </w:pPr>
            <w:r>
              <w:rPr>
                <w:b/>
                <w:bCs/>
                <w:kern w:val="0"/>
              </w:rPr>
              <w:t>1</w:t>
            </w:r>
            <w:r>
              <w:rPr>
                <w:rFonts w:hint="eastAsia"/>
                <w:b/>
                <w:bCs/>
                <w:kern w:val="0"/>
                <w:lang w:val="en-US" w:eastAsia="zh-CN"/>
              </w:rPr>
              <w:t>3</w:t>
            </w:r>
            <w:r>
              <w:rPr>
                <w:b/>
                <w:bCs/>
                <w:kern w:val="0"/>
              </w:rPr>
              <w:t>、环保验收清单</w:t>
            </w:r>
          </w:p>
          <w:p w14:paraId="19C9CEF2">
            <w:pPr>
              <w:pStyle w:val="105"/>
              <w:ind w:firstLine="480"/>
            </w:pPr>
            <w:bookmarkStart w:id="19" w:name="_Toc29402"/>
            <w:bookmarkStart w:id="20" w:name="_Toc16866"/>
            <w:bookmarkStart w:id="21" w:name="_Toc21452"/>
            <w:r>
              <w:t>建设项目竣工环境保护验收是指建设项目竣工后，建设单位根据有关法律、法规和条例的规定，依据环境保护验收监测或调查结果，并通过现场检查等手段，考核建设项目是否达到环境保护要求的管理方式，是进行环境管理的重要手段之一。</w:t>
            </w:r>
            <w:bookmarkEnd w:id="19"/>
            <w:bookmarkEnd w:id="20"/>
            <w:bookmarkEnd w:id="21"/>
          </w:p>
          <w:p w14:paraId="79228BDB">
            <w:pPr>
              <w:pStyle w:val="105"/>
              <w:ind w:firstLine="480"/>
            </w:pPr>
            <w:bookmarkStart w:id="22" w:name="_Toc28395"/>
            <w:bookmarkStart w:id="23" w:name="_Toc14117"/>
            <w:bookmarkStart w:id="24" w:name="_Toc23655"/>
            <w:r>
              <w:t>根据国家及地方有关建设项目竣工验收的相关要求，其验收范围主要包括：与建设项目有关的污染防治和生态保护设施，包括为防治污染和生态保护所建成或配备的工程、设备、装置和监测手段等；环评报告和设计文件中规定应采取的各项环境保护措施。</w:t>
            </w:r>
            <w:bookmarkEnd w:id="22"/>
            <w:bookmarkEnd w:id="23"/>
            <w:bookmarkEnd w:id="24"/>
          </w:p>
          <w:p w14:paraId="6FC759CF">
            <w:pPr>
              <w:pStyle w:val="105"/>
              <w:ind w:firstLine="480"/>
            </w:pPr>
            <w:bookmarkStart w:id="25" w:name="_Toc32700"/>
            <w:bookmarkStart w:id="26" w:name="_Toc7091"/>
            <w:bookmarkStart w:id="27" w:name="_Toc16"/>
            <w:r>
              <w:t>根据工程建设内容，确定项目环保竣工验收内容见表4-2</w:t>
            </w:r>
            <w:r>
              <w:rPr>
                <w:rFonts w:hint="eastAsia"/>
                <w:lang w:val="en-US" w:eastAsia="zh-CN"/>
              </w:rPr>
              <w:t>1</w:t>
            </w:r>
            <w:r>
              <w:t>。</w:t>
            </w:r>
            <w:bookmarkEnd w:id="25"/>
            <w:bookmarkEnd w:id="26"/>
            <w:bookmarkEnd w:id="27"/>
          </w:p>
          <w:p w14:paraId="74A44969">
            <w:pPr>
              <w:pStyle w:val="39"/>
              <w:rPr>
                <w:color w:val="auto"/>
              </w:rPr>
            </w:pPr>
          </w:p>
          <w:p w14:paraId="1F74FA67">
            <w:pPr>
              <w:pStyle w:val="39"/>
              <w:rPr>
                <w:color w:val="auto"/>
              </w:rPr>
            </w:pPr>
            <w:r>
              <w:rPr>
                <w:color w:val="auto"/>
              </w:rPr>
              <w:t>表4-2</w:t>
            </w:r>
            <w:r>
              <w:rPr>
                <w:rFonts w:hint="eastAsia"/>
                <w:color w:val="auto"/>
                <w:lang w:val="en-US" w:eastAsia="zh-CN"/>
              </w:rPr>
              <w:t xml:space="preserve">1  </w:t>
            </w:r>
            <w:r>
              <w:rPr>
                <w:color w:val="auto"/>
              </w:rPr>
              <w:t>项目竣工环保验收一览表</w:t>
            </w:r>
          </w:p>
          <w:tbl>
            <w:tblPr>
              <w:tblStyle w:val="29"/>
              <w:tblW w:w="83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80"/>
              <w:gridCol w:w="1245"/>
              <w:gridCol w:w="2355"/>
              <w:gridCol w:w="3305"/>
            </w:tblGrid>
            <w:tr w14:paraId="21D2F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Align w:val="center"/>
                </w:tcPr>
                <w:p w14:paraId="2C6F7FD0">
                  <w:pPr>
                    <w:pStyle w:val="87"/>
                    <w:rPr>
                      <w:sz w:val="21"/>
                      <w:szCs w:val="21"/>
                    </w:rPr>
                  </w:pPr>
                  <w:r>
                    <w:rPr>
                      <w:sz w:val="21"/>
                      <w:szCs w:val="21"/>
                    </w:rPr>
                    <w:t>序号</w:t>
                  </w:r>
                </w:p>
              </w:tc>
              <w:tc>
                <w:tcPr>
                  <w:tcW w:w="780" w:type="dxa"/>
                  <w:vAlign w:val="center"/>
                </w:tcPr>
                <w:p w14:paraId="4D63771A">
                  <w:pPr>
                    <w:pStyle w:val="87"/>
                    <w:rPr>
                      <w:sz w:val="21"/>
                      <w:szCs w:val="21"/>
                    </w:rPr>
                  </w:pPr>
                  <w:r>
                    <w:rPr>
                      <w:sz w:val="21"/>
                      <w:szCs w:val="21"/>
                    </w:rPr>
                    <w:t>项目</w:t>
                  </w:r>
                </w:p>
              </w:tc>
              <w:tc>
                <w:tcPr>
                  <w:tcW w:w="1245" w:type="dxa"/>
                  <w:vAlign w:val="center"/>
                </w:tcPr>
                <w:p w14:paraId="0570592A">
                  <w:pPr>
                    <w:pStyle w:val="87"/>
                    <w:rPr>
                      <w:sz w:val="21"/>
                      <w:szCs w:val="21"/>
                    </w:rPr>
                  </w:pPr>
                  <w:r>
                    <w:rPr>
                      <w:sz w:val="21"/>
                      <w:szCs w:val="21"/>
                    </w:rPr>
                    <w:t>污染源</w:t>
                  </w:r>
                </w:p>
              </w:tc>
              <w:tc>
                <w:tcPr>
                  <w:tcW w:w="2355" w:type="dxa"/>
                  <w:vAlign w:val="center"/>
                </w:tcPr>
                <w:p w14:paraId="600AF0FA">
                  <w:pPr>
                    <w:pStyle w:val="87"/>
                    <w:rPr>
                      <w:sz w:val="21"/>
                      <w:szCs w:val="21"/>
                    </w:rPr>
                  </w:pPr>
                  <w:r>
                    <w:rPr>
                      <w:sz w:val="21"/>
                      <w:szCs w:val="21"/>
                    </w:rPr>
                    <w:t>治理措施</w:t>
                  </w:r>
                </w:p>
              </w:tc>
              <w:tc>
                <w:tcPr>
                  <w:tcW w:w="3305" w:type="dxa"/>
                  <w:vAlign w:val="center"/>
                </w:tcPr>
                <w:p w14:paraId="2B6899D3">
                  <w:pPr>
                    <w:pStyle w:val="87"/>
                    <w:rPr>
                      <w:sz w:val="21"/>
                      <w:szCs w:val="21"/>
                    </w:rPr>
                  </w:pPr>
                  <w:r>
                    <w:rPr>
                      <w:sz w:val="21"/>
                      <w:szCs w:val="21"/>
                    </w:rPr>
                    <w:t>验收标准</w:t>
                  </w:r>
                </w:p>
              </w:tc>
            </w:tr>
            <w:tr w14:paraId="40C0C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09" w:type="dxa"/>
                  <w:vMerge w:val="restart"/>
                  <w:vAlign w:val="center"/>
                </w:tcPr>
                <w:p w14:paraId="3E7D32E5">
                  <w:pPr>
                    <w:pStyle w:val="87"/>
                    <w:rPr>
                      <w:sz w:val="21"/>
                      <w:szCs w:val="21"/>
                    </w:rPr>
                  </w:pPr>
                  <w:r>
                    <w:rPr>
                      <w:sz w:val="21"/>
                      <w:szCs w:val="21"/>
                    </w:rPr>
                    <w:t>1</w:t>
                  </w:r>
                </w:p>
              </w:tc>
              <w:tc>
                <w:tcPr>
                  <w:tcW w:w="780" w:type="dxa"/>
                  <w:vMerge w:val="restart"/>
                  <w:vAlign w:val="center"/>
                </w:tcPr>
                <w:p w14:paraId="2E93973A">
                  <w:pPr>
                    <w:pStyle w:val="87"/>
                    <w:rPr>
                      <w:sz w:val="21"/>
                      <w:szCs w:val="21"/>
                    </w:rPr>
                  </w:pPr>
                  <w:r>
                    <w:rPr>
                      <w:rFonts w:hint="eastAsia"/>
                      <w:sz w:val="21"/>
                      <w:szCs w:val="21"/>
                      <w:lang w:val="en-US" w:eastAsia="zh-CN"/>
                    </w:rPr>
                    <w:t>有组织</w:t>
                  </w:r>
                  <w:r>
                    <w:rPr>
                      <w:sz w:val="21"/>
                      <w:szCs w:val="21"/>
                    </w:rPr>
                    <w:t>废气</w:t>
                  </w:r>
                </w:p>
              </w:tc>
              <w:tc>
                <w:tcPr>
                  <w:tcW w:w="1245" w:type="dxa"/>
                  <w:vAlign w:val="center"/>
                </w:tcPr>
                <w:p w14:paraId="4717A824">
                  <w:pPr>
                    <w:pStyle w:val="87"/>
                    <w:rPr>
                      <w:rFonts w:hint="default" w:eastAsia="宋体"/>
                      <w:sz w:val="21"/>
                      <w:szCs w:val="21"/>
                      <w:lang w:val="en-US" w:eastAsia="zh-CN"/>
                    </w:rPr>
                  </w:pPr>
                  <w:r>
                    <w:rPr>
                      <w:rFonts w:hint="eastAsia"/>
                      <w:sz w:val="21"/>
                      <w:szCs w:val="21"/>
                      <w:lang w:val="en-US" w:eastAsia="zh-CN"/>
                    </w:rPr>
                    <w:t>油烟</w:t>
                  </w:r>
                </w:p>
              </w:tc>
              <w:tc>
                <w:tcPr>
                  <w:tcW w:w="2355" w:type="dxa"/>
                  <w:vAlign w:val="center"/>
                </w:tcPr>
                <w:p w14:paraId="4D1C2F6E">
                  <w:pPr>
                    <w:pStyle w:val="87"/>
                    <w:rPr>
                      <w:sz w:val="21"/>
                      <w:szCs w:val="21"/>
                    </w:rPr>
                  </w:pPr>
                  <w:r>
                    <w:rPr>
                      <w:rFonts w:hint="default" w:ascii="Times New Roman" w:hAnsi="Times New Roman" w:eastAsia="宋体" w:cs="Times New Roman"/>
                      <w:sz w:val="21"/>
                      <w:szCs w:val="21"/>
                    </w:rPr>
                    <w:t>油烟净化器</w:t>
                  </w:r>
                </w:p>
              </w:tc>
              <w:tc>
                <w:tcPr>
                  <w:tcW w:w="3305" w:type="dxa"/>
                  <w:vAlign w:val="center"/>
                </w:tcPr>
                <w:p w14:paraId="449B0C59">
                  <w:pPr>
                    <w:pStyle w:val="87"/>
                    <w:keepNext w:val="0"/>
                    <w:keepLines w:val="0"/>
                    <w:pageBreakBefore w:val="0"/>
                    <w:widowControl w:val="0"/>
                    <w:kinsoku/>
                    <w:wordWrap/>
                    <w:overflowPunct/>
                    <w:topLinePunct w:val="0"/>
                    <w:autoSpaceDE/>
                    <w:autoSpaceDN/>
                    <w:bidi w:val="0"/>
                    <w:adjustRightInd/>
                    <w:snapToGrid/>
                    <w:ind w:left="-63" w:leftChars="-30" w:right="-63" w:rightChars="-30"/>
                    <w:textAlignment w:val="auto"/>
                    <w:rPr>
                      <w:sz w:val="21"/>
                      <w:szCs w:val="21"/>
                    </w:rPr>
                  </w:pPr>
                  <w:r>
                    <w:rPr>
                      <w:rFonts w:hint="default" w:ascii="Times New Roman" w:hAnsi="Times New Roman" w:eastAsia="宋体" w:cs="Times New Roman"/>
                      <w:sz w:val="21"/>
                      <w:szCs w:val="21"/>
                      <w:lang w:val="en-US" w:eastAsia="zh-CN"/>
                    </w:rPr>
                    <w:t>《饮食业油烟排放标准</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试行</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GB18483-2001</w:t>
                  </w:r>
                  <w:r>
                    <w:rPr>
                      <w:rFonts w:hint="eastAsia" w:cs="Times New Roman"/>
                      <w:sz w:val="21"/>
                      <w:szCs w:val="21"/>
                      <w:lang w:val="en-US" w:eastAsia="zh-CN"/>
                    </w:rPr>
                    <w:t>）</w:t>
                  </w:r>
                </w:p>
              </w:tc>
            </w:tr>
            <w:tr w14:paraId="1152B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59679D3C">
                  <w:pPr>
                    <w:pStyle w:val="87"/>
                    <w:rPr>
                      <w:sz w:val="21"/>
                      <w:szCs w:val="21"/>
                    </w:rPr>
                  </w:pPr>
                </w:p>
              </w:tc>
              <w:tc>
                <w:tcPr>
                  <w:tcW w:w="780" w:type="dxa"/>
                  <w:vMerge w:val="continue"/>
                  <w:vAlign w:val="center"/>
                </w:tcPr>
                <w:p w14:paraId="3363ED8B">
                  <w:pPr>
                    <w:pStyle w:val="87"/>
                    <w:rPr>
                      <w:sz w:val="21"/>
                      <w:szCs w:val="21"/>
                    </w:rPr>
                  </w:pPr>
                </w:p>
              </w:tc>
              <w:tc>
                <w:tcPr>
                  <w:tcW w:w="1245" w:type="dxa"/>
                  <w:vAlign w:val="center"/>
                </w:tcPr>
                <w:p w14:paraId="163122FF">
                  <w:pPr>
                    <w:pStyle w:val="87"/>
                    <w:rPr>
                      <w:rFonts w:hint="eastAsia" w:eastAsia="宋体"/>
                      <w:sz w:val="21"/>
                      <w:szCs w:val="21"/>
                      <w:lang w:eastAsia="zh-CN"/>
                    </w:rPr>
                  </w:pPr>
                  <w:r>
                    <w:rPr>
                      <w:sz w:val="21"/>
                      <w:szCs w:val="21"/>
                    </w:rPr>
                    <w:t>污水处理站排气口DA00</w:t>
                  </w:r>
                  <w:r>
                    <w:rPr>
                      <w:rFonts w:hint="eastAsia"/>
                      <w:sz w:val="21"/>
                      <w:szCs w:val="21"/>
                      <w:lang w:val="en-US" w:eastAsia="zh-CN"/>
                    </w:rPr>
                    <w:t>1</w:t>
                  </w:r>
                </w:p>
              </w:tc>
              <w:tc>
                <w:tcPr>
                  <w:tcW w:w="2355" w:type="dxa"/>
                  <w:vAlign w:val="center"/>
                </w:tcPr>
                <w:p w14:paraId="7508AF2B">
                  <w:pPr>
                    <w:adjustRightInd w:val="0"/>
                    <w:snapToGrid w:val="0"/>
                    <w:jc w:val="center"/>
                    <w:rPr>
                      <w:sz w:val="21"/>
                      <w:szCs w:val="21"/>
                    </w:rPr>
                  </w:pPr>
                  <w:r>
                    <w:rPr>
                      <w:sz w:val="21"/>
                      <w:szCs w:val="21"/>
                    </w:rPr>
                    <w:t>活性炭吸附+</w:t>
                  </w:r>
                  <w:r>
                    <w:rPr>
                      <w:rFonts w:hint="eastAsia"/>
                      <w:sz w:val="21"/>
                      <w:szCs w:val="21"/>
                      <w:lang w:val="en-US" w:eastAsia="zh-CN"/>
                    </w:rPr>
                    <w:t>1</w:t>
                  </w:r>
                  <w:r>
                    <w:rPr>
                      <w:sz w:val="21"/>
                      <w:szCs w:val="21"/>
                    </w:rPr>
                    <w:t>5m高排气筒</w:t>
                  </w:r>
                </w:p>
              </w:tc>
              <w:tc>
                <w:tcPr>
                  <w:tcW w:w="3305" w:type="dxa"/>
                  <w:vAlign w:val="center"/>
                </w:tcPr>
                <w:p w14:paraId="50C85E82">
                  <w:pPr>
                    <w:adjustRightInd w:val="0"/>
                    <w:snapToGrid w:val="0"/>
                    <w:rPr>
                      <w:sz w:val="21"/>
                      <w:szCs w:val="21"/>
                    </w:rPr>
                  </w:pPr>
                  <w:r>
                    <w:rPr>
                      <w:sz w:val="21"/>
                      <w:szCs w:val="21"/>
                    </w:rPr>
                    <w:t>《恶臭污染物排放标准》（GB14554-1993</w:t>
                  </w:r>
                  <w:r>
                    <w:rPr>
                      <w:rFonts w:hint="eastAsia"/>
                      <w:sz w:val="21"/>
                      <w:szCs w:val="21"/>
                      <w:lang w:eastAsia="zh-CN"/>
                    </w:rPr>
                    <w:t>）</w:t>
                  </w:r>
                  <w:r>
                    <w:rPr>
                      <w:sz w:val="21"/>
                      <w:szCs w:val="21"/>
                    </w:rPr>
                    <w:t>中表2恶臭污染物排放标准值标准</w:t>
                  </w:r>
                </w:p>
              </w:tc>
            </w:tr>
            <w:tr w14:paraId="75E75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restart"/>
                  <w:vAlign w:val="center"/>
                </w:tcPr>
                <w:p w14:paraId="6519EC84">
                  <w:pPr>
                    <w:pStyle w:val="87"/>
                    <w:rPr>
                      <w:rFonts w:hint="eastAsia" w:eastAsia="宋体"/>
                      <w:sz w:val="21"/>
                      <w:szCs w:val="21"/>
                      <w:lang w:val="en-US" w:eastAsia="zh-CN"/>
                    </w:rPr>
                  </w:pPr>
                  <w:r>
                    <w:rPr>
                      <w:rFonts w:hint="eastAsia"/>
                      <w:sz w:val="21"/>
                      <w:szCs w:val="21"/>
                      <w:lang w:val="en-US" w:eastAsia="zh-CN"/>
                    </w:rPr>
                    <w:t>2</w:t>
                  </w:r>
                </w:p>
              </w:tc>
              <w:tc>
                <w:tcPr>
                  <w:tcW w:w="780" w:type="dxa"/>
                  <w:vMerge w:val="restart"/>
                  <w:vAlign w:val="center"/>
                </w:tcPr>
                <w:p w14:paraId="6FA45F7D">
                  <w:pPr>
                    <w:pStyle w:val="87"/>
                    <w:rPr>
                      <w:rFonts w:hint="default" w:eastAsia="宋体"/>
                      <w:sz w:val="21"/>
                      <w:szCs w:val="21"/>
                      <w:lang w:val="en-US" w:eastAsia="zh-CN"/>
                    </w:rPr>
                  </w:pPr>
                  <w:r>
                    <w:rPr>
                      <w:rFonts w:hint="eastAsia"/>
                      <w:sz w:val="21"/>
                      <w:szCs w:val="21"/>
                      <w:lang w:val="en-US" w:eastAsia="zh-CN"/>
                    </w:rPr>
                    <w:t>无组织废气</w:t>
                  </w:r>
                </w:p>
              </w:tc>
              <w:tc>
                <w:tcPr>
                  <w:tcW w:w="1245" w:type="dxa"/>
                  <w:vAlign w:val="center"/>
                </w:tcPr>
                <w:p w14:paraId="7AC47200">
                  <w:pPr>
                    <w:pStyle w:val="87"/>
                    <w:rPr>
                      <w:rFonts w:hint="eastAsia" w:eastAsia="宋体"/>
                      <w:sz w:val="21"/>
                      <w:szCs w:val="21"/>
                      <w:lang w:val="en-US" w:eastAsia="zh-CN"/>
                    </w:rPr>
                  </w:pPr>
                  <w:r>
                    <w:rPr>
                      <w:rFonts w:hint="eastAsia"/>
                      <w:sz w:val="21"/>
                      <w:szCs w:val="21"/>
                      <w:lang w:val="en-US" w:eastAsia="zh-CN"/>
                    </w:rPr>
                    <w:t>颗粒物</w:t>
                  </w:r>
                </w:p>
              </w:tc>
              <w:tc>
                <w:tcPr>
                  <w:tcW w:w="2355" w:type="dxa"/>
                  <w:shd w:val="clear" w:color="auto" w:fill="auto"/>
                  <w:vAlign w:val="center"/>
                </w:tcPr>
                <w:p w14:paraId="13E310EC">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面粉装卸、搬运、投加过程中轻拿轻放</w:t>
                  </w:r>
                </w:p>
              </w:tc>
              <w:tc>
                <w:tcPr>
                  <w:tcW w:w="3305" w:type="dxa"/>
                  <w:shd w:val="clear" w:color="auto" w:fill="auto"/>
                  <w:vAlign w:val="center"/>
                </w:tcPr>
                <w:p w14:paraId="64BF3443">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《大气污染物综合排放标准》</w:t>
                  </w:r>
                  <w:r>
                    <w:rPr>
                      <w:rFonts w:hint="eastAsia"/>
                      <w:sz w:val="21"/>
                      <w:szCs w:val="21"/>
                      <w:lang w:val="en-US" w:eastAsia="zh-CN"/>
                    </w:rPr>
                    <w:t>（</w:t>
                  </w:r>
                  <w:r>
                    <w:rPr>
                      <w:rFonts w:hint="default"/>
                      <w:sz w:val="21"/>
                      <w:szCs w:val="21"/>
                      <w:lang w:val="en-US" w:eastAsia="zh-CN"/>
                    </w:rPr>
                    <w:t>GB16297-1996</w:t>
                  </w:r>
                  <w:r>
                    <w:rPr>
                      <w:rFonts w:hint="eastAsia"/>
                      <w:sz w:val="21"/>
                      <w:szCs w:val="21"/>
                      <w:lang w:val="en-US" w:eastAsia="zh-CN"/>
                    </w:rPr>
                    <w:t>）</w:t>
                  </w:r>
                  <w:r>
                    <w:rPr>
                      <w:rFonts w:hint="default"/>
                      <w:sz w:val="21"/>
                      <w:szCs w:val="21"/>
                      <w:lang w:val="en-US" w:eastAsia="zh-CN"/>
                    </w:rPr>
                    <w:t>二级标准</w:t>
                  </w:r>
                </w:p>
              </w:tc>
            </w:tr>
            <w:tr w14:paraId="7B721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5E2A2E2D">
                  <w:pPr>
                    <w:pStyle w:val="87"/>
                    <w:rPr>
                      <w:rFonts w:hint="eastAsia" w:eastAsia="宋体"/>
                      <w:sz w:val="21"/>
                      <w:szCs w:val="21"/>
                      <w:lang w:val="en-US" w:eastAsia="zh-CN"/>
                    </w:rPr>
                  </w:pPr>
                </w:p>
              </w:tc>
              <w:tc>
                <w:tcPr>
                  <w:tcW w:w="780" w:type="dxa"/>
                  <w:vMerge w:val="continue"/>
                  <w:vAlign w:val="center"/>
                </w:tcPr>
                <w:p w14:paraId="20A55064">
                  <w:pPr>
                    <w:pStyle w:val="87"/>
                    <w:rPr>
                      <w:rFonts w:hint="eastAsia"/>
                      <w:sz w:val="21"/>
                      <w:szCs w:val="21"/>
                      <w:lang w:val="en-US" w:eastAsia="zh-CN"/>
                    </w:rPr>
                  </w:pPr>
                </w:p>
              </w:tc>
              <w:tc>
                <w:tcPr>
                  <w:tcW w:w="1245" w:type="dxa"/>
                  <w:vAlign w:val="center"/>
                </w:tcPr>
                <w:p w14:paraId="59DCA95E">
                  <w:pPr>
                    <w:pStyle w:val="87"/>
                    <w:rPr>
                      <w:rFonts w:hint="default"/>
                      <w:sz w:val="21"/>
                      <w:szCs w:val="21"/>
                      <w:lang w:val="en-US" w:eastAsia="zh-CN"/>
                    </w:rPr>
                  </w:pPr>
                  <w:r>
                    <w:rPr>
                      <w:rFonts w:hint="eastAsia"/>
                      <w:sz w:val="21"/>
                      <w:szCs w:val="21"/>
                      <w:lang w:val="en-US" w:eastAsia="zh-CN"/>
                    </w:rPr>
                    <w:t>氨（氨气）、硫化氢、臭气浓度</w:t>
                  </w:r>
                </w:p>
              </w:tc>
              <w:tc>
                <w:tcPr>
                  <w:tcW w:w="2355" w:type="dxa"/>
                  <w:shd w:val="clear" w:color="auto" w:fill="auto"/>
                  <w:vAlign w:val="center"/>
                </w:tcPr>
                <w:p w14:paraId="5F042DE2">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sz w:val="21"/>
                      <w:szCs w:val="21"/>
                      <w:lang w:val="en-US" w:eastAsia="zh-CN"/>
                    </w:rPr>
                  </w:pPr>
                  <w:r>
                    <w:rPr>
                      <w:rFonts w:hint="eastAsia"/>
                      <w:sz w:val="21"/>
                      <w:szCs w:val="21"/>
                      <w:lang w:val="en-US" w:eastAsia="zh-CN"/>
                    </w:rPr>
                    <w:t>增加项目区周边绿化</w:t>
                  </w:r>
                </w:p>
              </w:tc>
              <w:tc>
                <w:tcPr>
                  <w:tcW w:w="3305" w:type="dxa"/>
                  <w:shd w:val="clear" w:color="auto" w:fill="auto"/>
                  <w:vAlign w:val="center"/>
                </w:tcPr>
                <w:p w14:paraId="41562585">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rFonts w:hint="eastAsia" w:eastAsia="宋体"/>
                      <w:sz w:val="21"/>
                      <w:szCs w:val="21"/>
                      <w:lang w:val="en-US" w:eastAsia="zh-CN"/>
                    </w:rPr>
                  </w:pPr>
                  <w:r>
                    <w:rPr>
                      <w:sz w:val="21"/>
                      <w:szCs w:val="21"/>
                    </w:rPr>
                    <w:t>《恶臭污染物排放标准》（GB14554-1993</w:t>
                  </w:r>
                  <w:r>
                    <w:rPr>
                      <w:rFonts w:hint="eastAsia"/>
                      <w:sz w:val="21"/>
                      <w:szCs w:val="21"/>
                      <w:lang w:eastAsia="zh-CN"/>
                    </w:rPr>
                    <w:t>）</w:t>
                  </w:r>
                  <w:r>
                    <w:rPr>
                      <w:sz w:val="21"/>
                      <w:szCs w:val="21"/>
                    </w:rPr>
                    <w:t>中表</w:t>
                  </w:r>
                  <w:r>
                    <w:rPr>
                      <w:rFonts w:hint="eastAsia"/>
                      <w:sz w:val="21"/>
                      <w:szCs w:val="21"/>
                      <w:lang w:val="en-US" w:eastAsia="zh-CN"/>
                    </w:rPr>
                    <w:t>1</w:t>
                  </w:r>
                  <w:r>
                    <w:rPr>
                      <w:sz w:val="21"/>
                      <w:szCs w:val="21"/>
                    </w:rPr>
                    <w:t>恶臭污染物</w:t>
                  </w:r>
                  <w:r>
                    <w:rPr>
                      <w:rFonts w:hint="eastAsia"/>
                      <w:sz w:val="21"/>
                      <w:szCs w:val="21"/>
                      <w:lang w:val="en-US" w:eastAsia="zh-CN"/>
                    </w:rPr>
                    <w:t>厂界标</w:t>
                  </w:r>
                  <w:r>
                    <w:rPr>
                      <w:sz w:val="21"/>
                      <w:szCs w:val="21"/>
                    </w:rPr>
                    <w:t>准</w:t>
                  </w:r>
                  <w:r>
                    <w:rPr>
                      <w:rFonts w:hint="eastAsia"/>
                      <w:sz w:val="21"/>
                      <w:szCs w:val="21"/>
                      <w:lang w:val="en-US" w:eastAsia="zh-CN"/>
                    </w:rPr>
                    <w:t>值</w:t>
                  </w:r>
                </w:p>
              </w:tc>
            </w:tr>
            <w:tr w14:paraId="12DDB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09" w:type="dxa"/>
                  <w:vMerge w:val="restart"/>
                  <w:vAlign w:val="center"/>
                </w:tcPr>
                <w:p w14:paraId="6C39305D">
                  <w:pPr>
                    <w:pStyle w:val="87"/>
                    <w:rPr>
                      <w:rFonts w:hint="eastAsia" w:eastAsia="宋体"/>
                      <w:sz w:val="21"/>
                      <w:szCs w:val="21"/>
                      <w:lang w:eastAsia="zh-CN"/>
                    </w:rPr>
                  </w:pPr>
                  <w:r>
                    <w:rPr>
                      <w:rFonts w:hint="eastAsia"/>
                      <w:sz w:val="21"/>
                      <w:szCs w:val="21"/>
                      <w:lang w:val="en-US" w:eastAsia="zh-CN"/>
                    </w:rPr>
                    <w:t>3</w:t>
                  </w:r>
                </w:p>
              </w:tc>
              <w:tc>
                <w:tcPr>
                  <w:tcW w:w="780" w:type="dxa"/>
                  <w:vMerge w:val="restart"/>
                  <w:vAlign w:val="center"/>
                </w:tcPr>
                <w:p w14:paraId="29CA0F67">
                  <w:pPr>
                    <w:pStyle w:val="87"/>
                    <w:rPr>
                      <w:sz w:val="21"/>
                      <w:szCs w:val="21"/>
                    </w:rPr>
                  </w:pPr>
                  <w:r>
                    <w:rPr>
                      <w:sz w:val="21"/>
                      <w:szCs w:val="21"/>
                    </w:rPr>
                    <w:t>废水</w:t>
                  </w:r>
                </w:p>
              </w:tc>
              <w:tc>
                <w:tcPr>
                  <w:tcW w:w="1245" w:type="dxa"/>
                  <w:vAlign w:val="center"/>
                </w:tcPr>
                <w:p w14:paraId="72194897">
                  <w:pPr>
                    <w:pStyle w:val="87"/>
                    <w:rPr>
                      <w:sz w:val="21"/>
                      <w:szCs w:val="21"/>
                    </w:rPr>
                  </w:pPr>
                  <w:r>
                    <w:rPr>
                      <w:sz w:val="21"/>
                      <w:szCs w:val="21"/>
                    </w:rPr>
                    <w:t>生产废水</w:t>
                  </w:r>
                </w:p>
              </w:tc>
              <w:tc>
                <w:tcPr>
                  <w:tcW w:w="2355" w:type="dxa"/>
                  <w:vAlign w:val="center"/>
                </w:tcPr>
                <w:p w14:paraId="02BA878B">
                  <w:pPr>
                    <w:adjustRightInd w:val="0"/>
                    <w:snapToGrid w:val="0"/>
                    <w:jc w:val="center"/>
                    <w:rPr>
                      <w:rFonts w:hint="default"/>
                      <w:sz w:val="21"/>
                      <w:szCs w:val="21"/>
                      <w:lang w:val="en-US"/>
                    </w:rPr>
                  </w:pPr>
                  <w:r>
                    <w:rPr>
                      <w:sz w:val="21"/>
                      <w:szCs w:val="21"/>
                    </w:rPr>
                    <w:t>隔油池+</w:t>
                  </w:r>
                  <w:r>
                    <w:rPr>
                      <w:rFonts w:hint="eastAsia"/>
                      <w:sz w:val="21"/>
                      <w:szCs w:val="21"/>
                      <w:lang w:val="en-US" w:eastAsia="zh-CN"/>
                    </w:rPr>
                    <w:t>配套污水处理站</w:t>
                  </w:r>
                </w:p>
              </w:tc>
              <w:tc>
                <w:tcPr>
                  <w:tcW w:w="3305" w:type="dxa"/>
                  <w:vMerge w:val="restart"/>
                  <w:vAlign w:val="center"/>
                </w:tcPr>
                <w:p w14:paraId="443F2A83">
                  <w:pPr>
                    <w:pStyle w:val="11"/>
                    <w:rPr>
                      <w:rFonts w:hint="eastAsia" w:eastAsia="宋体"/>
                      <w:sz w:val="21"/>
                      <w:szCs w:val="21"/>
                      <w:highlight w:val="none"/>
                      <w:lang w:eastAsia="zh-CN"/>
                    </w:rPr>
                  </w:pPr>
                  <w:r>
                    <w:rPr>
                      <w:rFonts w:hint="eastAsia" w:ascii="Times New Roman" w:cs="Times New Roman"/>
                      <w:b w:val="0"/>
                      <w:bCs/>
                      <w:color w:val="auto"/>
                      <w:sz w:val="21"/>
                      <w:szCs w:val="21"/>
                      <w:highlight w:val="none"/>
                      <w:lang w:eastAsia="zh-CN"/>
                    </w:rPr>
                    <w:t>《肉类加工工业水污染物排放标准》</w:t>
                  </w:r>
                  <w:r>
                    <w:rPr>
                      <w:rFonts w:hint="eastAsia" w:cs="Times New Roman"/>
                      <w:b w:val="0"/>
                      <w:bCs/>
                      <w:color w:val="auto"/>
                      <w:sz w:val="21"/>
                      <w:szCs w:val="21"/>
                      <w:highlight w:val="none"/>
                      <w:lang w:eastAsia="zh-CN"/>
                    </w:rPr>
                    <w:t>（</w:t>
                  </w:r>
                  <w:r>
                    <w:rPr>
                      <w:rFonts w:hint="eastAsia" w:ascii="Times New Roman" w:cs="Times New Roman"/>
                      <w:b w:val="0"/>
                      <w:bCs/>
                      <w:color w:val="auto"/>
                      <w:sz w:val="21"/>
                      <w:szCs w:val="21"/>
                      <w:highlight w:val="none"/>
                      <w:lang w:eastAsia="zh-CN"/>
                    </w:rPr>
                    <w:t>GB13457-92</w:t>
                  </w:r>
                  <w:r>
                    <w:rPr>
                      <w:rFonts w:hint="eastAsia" w:cs="Times New Roman"/>
                      <w:b w:val="0"/>
                      <w:bCs/>
                      <w:color w:val="auto"/>
                      <w:sz w:val="21"/>
                      <w:szCs w:val="21"/>
                      <w:highlight w:val="none"/>
                      <w:lang w:eastAsia="zh-CN"/>
                    </w:rPr>
                    <w:t>）</w:t>
                  </w:r>
                  <w:r>
                    <w:rPr>
                      <w:rFonts w:hint="eastAsia" w:ascii="Times New Roman" w:cs="Times New Roman"/>
                      <w:b w:val="0"/>
                      <w:bCs/>
                      <w:color w:val="auto"/>
                      <w:sz w:val="21"/>
                      <w:szCs w:val="21"/>
                      <w:highlight w:val="none"/>
                      <w:lang w:eastAsia="zh-CN"/>
                    </w:rPr>
                    <w:t>中表3三级排放限值标准</w:t>
                  </w:r>
                  <w:r>
                    <w:rPr>
                      <w:rFonts w:hint="eastAsia" w:cs="Times New Roman"/>
                      <w:b w:val="0"/>
                      <w:bCs/>
                      <w:color w:val="auto"/>
                      <w:sz w:val="21"/>
                      <w:szCs w:val="21"/>
                      <w:highlight w:val="none"/>
                      <w:lang w:val="en-US" w:eastAsia="zh-CN"/>
                    </w:rPr>
                    <w:t>后</w:t>
                  </w:r>
                  <w:r>
                    <w:rPr>
                      <w:rFonts w:hint="default" w:ascii="Times New Roman" w:hAnsi="Times New Roman" w:cs="Times New Roman"/>
                      <w:b w:val="0"/>
                      <w:bCs/>
                      <w:color w:val="auto"/>
                      <w:sz w:val="21"/>
                      <w:szCs w:val="21"/>
                      <w:highlight w:val="none"/>
                    </w:rPr>
                    <w:t>排入</w:t>
                  </w:r>
                  <w:r>
                    <w:rPr>
                      <w:rFonts w:hint="default" w:ascii="Times New Roman" w:hAnsi="Times New Roman" w:cs="Times New Roman"/>
                      <w:b w:val="0"/>
                      <w:bCs/>
                      <w:color w:val="auto"/>
                      <w:sz w:val="21"/>
                      <w:szCs w:val="21"/>
                      <w:highlight w:val="none"/>
                      <w:lang w:val="en-US" w:eastAsia="zh-CN"/>
                    </w:rPr>
                    <w:t>市政</w:t>
                  </w:r>
                  <w:r>
                    <w:rPr>
                      <w:rFonts w:hint="default" w:ascii="Times New Roman" w:hAnsi="Times New Roman" w:cs="Times New Roman"/>
                      <w:b w:val="0"/>
                      <w:bCs/>
                      <w:color w:val="auto"/>
                      <w:sz w:val="21"/>
                      <w:szCs w:val="21"/>
                      <w:highlight w:val="none"/>
                    </w:rPr>
                    <w:t>污水管网，最终进入库尔勒金城洁净排水有限责任公司库尔勒市老城区污水处理厂处理</w:t>
                  </w:r>
                </w:p>
              </w:tc>
            </w:tr>
            <w:tr w14:paraId="0357C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0D59DF1E">
                  <w:pPr>
                    <w:pStyle w:val="87"/>
                    <w:rPr>
                      <w:sz w:val="21"/>
                      <w:szCs w:val="21"/>
                    </w:rPr>
                  </w:pPr>
                </w:p>
              </w:tc>
              <w:tc>
                <w:tcPr>
                  <w:tcW w:w="780" w:type="dxa"/>
                  <w:vMerge w:val="continue"/>
                  <w:vAlign w:val="center"/>
                </w:tcPr>
                <w:p w14:paraId="729C7B73">
                  <w:pPr>
                    <w:pStyle w:val="87"/>
                    <w:rPr>
                      <w:sz w:val="21"/>
                      <w:szCs w:val="21"/>
                    </w:rPr>
                  </w:pPr>
                </w:p>
              </w:tc>
              <w:tc>
                <w:tcPr>
                  <w:tcW w:w="1245" w:type="dxa"/>
                  <w:vAlign w:val="center"/>
                </w:tcPr>
                <w:p w14:paraId="1F071885">
                  <w:pPr>
                    <w:pStyle w:val="87"/>
                    <w:rPr>
                      <w:sz w:val="21"/>
                      <w:szCs w:val="21"/>
                    </w:rPr>
                  </w:pPr>
                  <w:r>
                    <w:rPr>
                      <w:sz w:val="21"/>
                      <w:szCs w:val="21"/>
                    </w:rPr>
                    <w:t>生活污水</w:t>
                  </w:r>
                </w:p>
              </w:tc>
              <w:tc>
                <w:tcPr>
                  <w:tcW w:w="2355" w:type="dxa"/>
                  <w:vAlign w:val="center"/>
                </w:tcPr>
                <w:p w14:paraId="1CC3EC47">
                  <w:pPr>
                    <w:adjustRightInd w:val="0"/>
                    <w:snapToGrid w:val="0"/>
                    <w:jc w:val="center"/>
                    <w:rPr>
                      <w:sz w:val="21"/>
                      <w:szCs w:val="21"/>
                    </w:rPr>
                  </w:pPr>
                  <w:r>
                    <w:rPr>
                      <w:sz w:val="21"/>
                      <w:szCs w:val="21"/>
                    </w:rPr>
                    <w:t>化粪池</w:t>
                  </w:r>
                  <w:r>
                    <w:rPr>
                      <w:rFonts w:hint="eastAsia"/>
                      <w:sz w:val="21"/>
                      <w:szCs w:val="21"/>
                      <w:lang w:val="en-US" w:eastAsia="zh-CN"/>
                    </w:rPr>
                    <w:t>-配套污水处理站</w:t>
                  </w:r>
                </w:p>
              </w:tc>
              <w:tc>
                <w:tcPr>
                  <w:tcW w:w="3305" w:type="dxa"/>
                  <w:vMerge w:val="continue"/>
                  <w:vAlign w:val="center"/>
                </w:tcPr>
                <w:p w14:paraId="025F967E">
                  <w:pPr>
                    <w:adjustRightInd w:val="0"/>
                    <w:snapToGrid w:val="0"/>
                    <w:jc w:val="center"/>
                    <w:rPr>
                      <w:rFonts w:hint="eastAsia" w:eastAsia="宋体"/>
                      <w:sz w:val="21"/>
                      <w:szCs w:val="21"/>
                      <w:lang w:eastAsia="zh-CN"/>
                    </w:rPr>
                  </w:pPr>
                </w:p>
              </w:tc>
            </w:tr>
            <w:tr w14:paraId="2E193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Align w:val="center"/>
                </w:tcPr>
                <w:p w14:paraId="79E14506">
                  <w:pPr>
                    <w:pStyle w:val="87"/>
                    <w:rPr>
                      <w:rFonts w:hint="eastAsia" w:eastAsia="宋体"/>
                      <w:sz w:val="21"/>
                      <w:szCs w:val="21"/>
                      <w:lang w:eastAsia="zh-CN"/>
                    </w:rPr>
                  </w:pPr>
                  <w:r>
                    <w:rPr>
                      <w:rFonts w:hint="eastAsia"/>
                      <w:sz w:val="21"/>
                      <w:szCs w:val="21"/>
                      <w:lang w:val="en-US" w:eastAsia="zh-CN"/>
                    </w:rPr>
                    <w:t>4</w:t>
                  </w:r>
                </w:p>
              </w:tc>
              <w:tc>
                <w:tcPr>
                  <w:tcW w:w="780" w:type="dxa"/>
                  <w:vAlign w:val="center"/>
                </w:tcPr>
                <w:p w14:paraId="546E47A0">
                  <w:pPr>
                    <w:pStyle w:val="87"/>
                    <w:rPr>
                      <w:sz w:val="21"/>
                      <w:szCs w:val="21"/>
                    </w:rPr>
                  </w:pPr>
                  <w:r>
                    <w:rPr>
                      <w:sz w:val="21"/>
                      <w:szCs w:val="21"/>
                    </w:rPr>
                    <w:t>噪声</w:t>
                  </w:r>
                </w:p>
              </w:tc>
              <w:tc>
                <w:tcPr>
                  <w:tcW w:w="1245" w:type="dxa"/>
                  <w:vAlign w:val="center"/>
                </w:tcPr>
                <w:p w14:paraId="5B35228B">
                  <w:pPr>
                    <w:pStyle w:val="87"/>
                    <w:rPr>
                      <w:sz w:val="21"/>
                      <w:szCs w:val="21"/>
                    </w:rPr>
                  </w:pPr>
                  <w:r>
                    <w:rPr>
                      <w:sz w:val="21"/>
                      <w:szCs w:val="21"/>
                    </w:rPr>
                    <w:t>设备噪声</w:t>
                  </w:r>
                </w:p>
              </w:tc>
              <w:tc>
                <w:tcPr>
                  <w:tcW w:w="2355" w:type="dxa"/>
                  <w:vAlign w:val="center"/>
                </w:tcPr>
                <w:p w14:paraId="404CA841">
                  <w:pPr>
                    <w:adjustRightInd w:val="0"/>
                    <w:snapToGrid w:val="0"/>
                    <w:jc w:val="center"/>
                    <w:rPr>
                      <w:sz w:val="21"/>
                      <w:szCs w:val="21"/>
                    </w:rPr>
                  </w:pPr>
                  <w:r>
                    <w:rPr>
                      <w:sz w:val="21"/>
                      <w:szCs w:val="21"/>
                    </w:rPr>
                    <w:t>选择低噪声设备、设备基础减振降噪、建筑隔声等</w:t>
                  </w:r>
                </w:p>
              </w:tc>
              <w:tc>
                <w:tcPr>
                  <w:tcW w:w="3305" w:type="dxa"/>
                  <w:vAlign w:val="center"/>
                </w:tcPr>
                <w:p w14:paraId="5711F096">
                  <w:pPr>
                    <w:adjustRightInd w:val="0"/>
                    <w:snapToGrid w:val="0"/>
                    <w:jc w:val="center"/>
                    <w:rPr>
                      <w:rFonts w:hint="default" w:eastAsia="宋体"/>
                      <w:sz w:val="21"/>
                      <w:szCs w:val="21"/>
                      <w:lang w:val="en-US" w:eastAsia="zh-CN"/>
                    </w:rPr>
                  </w:pPr>
                  <w:r>
                    <w:rPr>
                      <w:sz w:val="21"/>
                      <w:szCs w:val="21"/>
                    </w:rPr>
                    <w:t>《工业企业厂界环境噪声排放标准》（GB12348-2008</w:t>
                  </w:r>
                  <w:r>
                    <w:rPr>
                      <w:rFonts w:hint="eastAsia"/>
                      <w:sz w:val="21"/>
                      <w:szCs w:val="21"/>
                      <w:lang w:eastAsia="zh-CN"/>
                    </w:rPr>
                    <w:t>）</w:t>
                  </w:r>
                  <w:r>
                    <w:rPr>
                      <w:rFonts w:hint="eastAsia"/>
                      <w:sz w:val="21"/>
                      <w:szCs w:val="21"/>
                      <w:lang w:val="en-US" w:eastAsia="zh-CN"/>
                    </w:rPr>
                    <w:t>2类</w:t>
                  </w:r>
                </w:p>
              </w:tc>
            </w:tr>
            <w:tr w14:paraId="6B1AA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restart"/>
                  <w:vAlign w:val="center"/>
                </w:tcPr>
                <w:p w14:paraId="105FFEBD">
                  <w:pPr>
                    <w:pStyle w:val="87"/>
                    <w:rPr>
                      <w:rFonts w:hint="eastAsia" w:eastAsia="宋体"/>
                      <w:sz w:val="21"/>
                      <w:szCs w:val="21"/>
                      <w:lang w:eastAsia="zh-CN"/>
                    </w:rPr>
                  </w:pPr>
                  <w:r>
                    <w:rPr>
                      <w:rFonts w:hint="eastAsia"/>
                      <w:sz w:val="21"/>
                      <w:szCs w:val="21"/>
                      <w:lang w:val="en-US" w:eastAsia="zh-CN"/>
                    </w:rPr>
                    <w:t>5</w:t>
                  </w:r>
                </w:p>
              </w:tc>
              <w:tc>
                <w:tcPr>
                  <w:tcW w:w="780" w:type="dxa"/>
                  <w:vMerge w:val="restart"/>
                  <w:vAlign w:val="center"/>
                </w:tcPr>
                <w:p w14:paraId="45C668AC">
                  <w:pPr>
                    <w:pStyle w:val="87"/>
                    <w:rPr>
                      <w:sz w:val="21"/>
                      <w:szCs w:val="21"/>
                    </w:rPr>
                  </w:pPr>
                  <w:r>
                    <w:rPr>
                      <w:sz w:val="21"/>
                      <w:szCs w:val="21"/>
                    </w:rPr>
                    <w:t>固废</w:t>
                  </w:r>
                </w:p>
              </w:tc>
              <w:tc>
                <w:tcPr>
                  <w:tcW w:w="1245" w:type="dxa"/>
                  <w:vAlign w:val="center"/>
                </w:tcPr>
                <w:p w14:paraId="07D66BE9">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ascii="Times New Roman" w:hAnsi="Times New Roman" w:eastAsia="宋体" w:cs="Times New Roman"/>
                      <w:kern w:val="2"/>
                      <w:sz w:val="21"/>
                      <w:szCs w:val="21"/>
                      <w:lang w:val="en-US" w:eastAsia="zh-CN" w:bidi="ar-SA"/>
                    </w:rPr>
                    <w:t>不合格产品、过期产品</w:t>
                  </w:r>
                </w:p>
              </w:tc>
              <w:tc>
                <w:tcPr>
                  <w:tcW w:w="2355" w:type="dxa"/>
                  <w:vAlign w:val="center"/>
                </w:tcPr>
                <w:p w14:paraId="5B686EE7">
                  <w:pPr>
                    <w:keepNext w:val="0"/>
                    <w:keepLines w:val="0"/>
                    <w:pageBreakBefore w:val="0"/>
                    <w:kinsoku/>
                    <w:wordWrap/>
                    <w:overflowPunct/>
                    <w:topLinePunct w:val="0"/>
                    <w:autoSpaceDE/>
                    <w:autoSpaceDN/>
                    <w:bidi w:val="0"/>
                    <w:adjustRightInd/>
                    <w:snapToGrid/>
                    <w:spacing w:line="240" w:lineRule="auto"/>
                    <w:ind w:left="-42" w:leftChars="-20" w:right="-113" w:rightChars="0" w:firstLine="0" w:firstLineChars="0"/>
                    <w:jc w:val="center"/>
                    <w:rPr>
                      <w:rFonts w:hint="default" w:eastAsia="宋体"/>
                      <w:color w:val="auto"/>
                      <w:kern w:val="0"/>
                      <w:sz w:val="21"/>
                      <w:szCs w:val="21"/>
                      <w:lang w:val="en-US" w:eastAsia="zh-CN" w:bidi="ar"/>
                    </w:rPr>
                  </w:pPr>
                  <w:r>
                    <w:rPr>
                      <w:rFonts w:ascii="Times New Roman" w:hAnsi="Times New Roman" w:eastAsia="宋体" w:cs="Times New Roman"/>
                      <w:kern w:val="2"/>
                      <w:sz w:val="21"/>
                      <w:szCs w:val="21"/>
                      <w:lang w:val="en-US" w:eastAsia="zh-CN" w:bidi="ar-SA"/>
                    </w:rPr>
                    <w:t>集中</w:t>
                  </w:r>
                  <w:r>
                    <w:rPr>
                      <w:rFonts w:hint="eastAsia" w:ascii="Times New Roman" w:hAnsi="Times New Roman" w:eastAsia="宋体" w:cs="Times New Roman"/>
                      <w:sz w:val="21"/>
                      <w:szCs w:val="21"/>
                      <w:lang w:val="en-US" w:eastAsia="zh-CN"/>
                    </w:rPr>
                    <w:t>收集后外售给肥料厂制造肥料</w:t>
                  </w:r>
                </w:p>
              </w:tc>
              <w:tc>
                <w:tcPr>
                  <w:tcW w:w="3305" w:type="dxa"/>
                  <w:vMerge w:val="restart"/>
                  <w:vAlign w:val="center"/>
                </w:tcPr>
                <w:p w14:paraId="5542B0EB">
                  <w:pPr>
                    <w:pStyle w:val="107"/>
                    <w:rPr>
                      <w:rFonts w:hint="eastAsia" w:eastAsia="宋体"/>
                      <w:color w:val="auto"/>
                      <w:sz w:val="21"/>
                      <w:szCs w:val="21"/>
                      <w:lang w:eastAsia="zh-CN"/>
                    </w:rPr>
                  </w:pPr>
                  <w:r>
                    <w:rPr>
                      <w:color w:val="auto"/>
                      <w:sz w:val="21"/>
                      <w:szCs w:val="21"/>
                    </w:rPr>
                    <w:t>一般固体废物贮存过程中应满足项目防渗漏、防雨淋、防扬尘等环境保护要求，一般固体废物执行《中华人民共和国固体废物污染环境防治法》（2020年9月1日起实施</w:t>
                  </w:r>
                  <w:r>
                    <w:rPr>
                      <w:rFonts w:hint="eastAsia"/>
                      <w:color w:val="auto"/>
                      <w:sz w:val="21"/>
                      <w:szCs w:val="21"/>
                      <w:lang w:eastAsia="zh-CN"/>
                    </w:rPr>
                    <w:t>）</w:t>
                  </w:r>
                </w:p>
              </w:tc>
            </w:tr>
            <w:tr w14:paraId="4535A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1E8E40A1">
                  <w:pPr>
                    <w:pStyle w:val="87"/>
                    <w:rPr>
                      <w:sz w:val="21"/>
                      <w:szCs w:val="21"/>
                    </w:rPr>
                  </w:pPr>
                </w:p>
              </w:tc>
              <w:tc>
                <w:tcPr>
                  <w:tcW w:w="780" w:type="dxa"/>
                  <w:vMerge w:val="continue"/>
                  <w:vAlign w:val="center"/>
                </w:tcPr>
                <w:p w14:paraId="21649272">
                  <w:pPr>
                    <w:pStyle w:val="87"/>
                    <w:rPr>
                      <w:sz w:val="21"/>
                      <w:szCs w:val="21"/>
                    </w:rPr>
                  </w:pPr>
                </w:p>
              </w:tc>
              <w:tc>
                <w:tcPr>
                  <w:tcW w:w="1245" w:type="dxa"/>
                  <w:vAlign w:val="center"/>
                </w:tcPr>
                <w:p w14:paraId="5ED3CA15">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ascii="Times New Roman" w:hAnsi="Times New Roman" w:eastAsia="宋体" w:cs="Times New Roman"/>
                      <w:kern w:val="2"/>
                      <w:sz w:val="21"/>
                      <w:szCs w:val="21"/>
                      <w:lang w:val="en-US" w:eastAsia="zh-CN" w:bidi="ar-SA"/>
                    </w:rPr>
                    <w:t>包装固废</w:t>
                  </w:r>
                </w:p>
              </w:tc>
              <w:tc>
                <w:tcPr>
                  <w:tcW w:w="2355" w:type="dxa"/>
                  <w:vAlign w:val="center"/>
                </w:tcPr>
                <w:p w14:paraId="2EDF83E0">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jc w:val="both"/>
                    <w:rPr>
                      <w:rFonts w:hint="eastAsia" w:eastAsia="宋体"/>
                      <w:color w:val="auto"/>
                      <w:kern w:val="0"/>
                      <w:sz w:val="21"/>
                      <w:szCs w:val="21"/>
                      <w:lang w:eastAsia="zh-CN" w:bidi="ar"/>
                    </w:rPr>
                  </w:pPr>
                  <w:r>
                    <w:rPr>
                      <w:rFonts w:hint="eastAsia" w:ascii="Times New Roman" w:hAnsi="Times New Roman" w:eastAsia="宋体" w:cs="Times New Roman"/>
                      <w:kern w:val="2"/>
                      <w:sz w:val="21"/>
                      <w:szCs w:val="21"/>
                      <w:lang w:val="en-US" w:eastAsia="zh-CN" w:bidi="ar-SA"/>
                    </w:rPr>
                    <w:t>集中</w:t>
                  </w:r>
                  <w:r>
                    <w:rPr>
                      <w:rFonts w:ascii="Times New Roman" w:hAnsi="Times New Roman" w:eastAsia="宋体" w:cs="Times New Roman"/>
                      <w:kern w:val="2"/>
                      <w:sz w:val="21"/>
                      <w:szCs w:val="21"/>
                      <w:lang w:val="en-US" w:eastAsia="zh-CN" w:bidi="ar-SA"/>
                    </w:rPr>
                    <w:t>收集</w:t>
                  </w:r>
                  <w:r>
                    <w:rPr>
                      <w:rFonts w:hint="eastAsia" w:ascii="Times New Roman" w:hAnsi="Times New Roman" w:eastAsia="宋体" w:cs="Times New Roman"/>
                      <w:kern w:val="2"/>
                      <w:sz w:val="21"/>
                      <w:szCs w:val="21"/>
                      <w:lang w:val="en-US" w:eastAsia="zh-CN" w:bidi="ar-SA"/>
                    </w:rPr>
                    <w:t>后</w:t>
                  </w:r>
                  <w:r>
                    <w:rPr>
                      <w:rFonts w:ascii="Times New Roman" w:hAnsi="Times New Roman" w:eastAsia="宋体" w:cs="Times New Roman"/>
                      <w:kern w:val="2"/>
                      <w:sz w:val="21"/>
                      <w:szCs w:val="21"/>
                      <w:lang w:val="en-US" w:eastAsia="zh-CN" w:bidi="ar-SA"/>
                    </w:rPr>
                    <w:t>外售</w:t>
                  </w:r>
                  <w:r>
                    <w:rPr>
                      <w:rFonts w:hint="eastAsia" w:ascii="Times New Roman" w:hAnsi="Times New Roman" w:eastAsia="宋体" w:cs="Times New Roman"/>
                      <w:kern w:val="2"/>
                      <w:sz w:val="21"/>
                      <w:szCs w:val="21"/>
                      <w:lang w:val="en-US" w:eastAsia="zh-CN" w:bidi="ar-SA"/>
                    </w:rPr>
                    <w:t>给废品回收站</w:t>
                  </w:r>
                </w:p>
              </w:tc>
              <w:tc>
                <w:tcPr>
                  <w:tcW w:w="3305" w:type="dxa"/>
                  <w:vMerge w:val="continue"/>
                  <w:vAlign w:val="center"/>
                </w:tcPr>
                <w:p w14:paraId="5CECD0E4">
                  <w:pPr>
                    <w:pStyle w:val="107"/>
                    <w:rPr>
                      <w:color w:val="auto"/>
                      <w:sz w:val="21"/>
                      <w:szCs w:val="21"/>
                    </w:rPr>
                  </w:pPr>
                </w:p>
              </w:tc>
            </w:tr>
            <w:tr w14:paraId="44A0A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09" w:type="dxa"/>
                  <w:vMerge w:val="continue"/>
                  <w:vAlign w:val="center"/>
                </w:tcPr>
                <w:p w14:paraId="5A010D40">
                  <w:pPr>
                    <w:pStyle w:val="87"/>
                    <w:rPr>
                      <w:sz w:val="21"/>
                      <w:szCs w:val="21"/>
                    </w:rPr>
                  </w:pPr>
                </w:p>
              </w:tc>
              <w:tc>
                <w:tcPr>
                  <w:tcW w:w="780" w:type="dxa"/>
                  <w:vMerge w:val="continue"/>
                  <w:vAlign w:val="center"/>
                </w:tcPr>
                <w:p w14:paraId="2FC79BC5">
                  <w:pPr>
                    <w:pStyle w:val="87"/>
                    <w:rPr>
                      <w:sz w:val="21"/>
                      <w:szCs w:val="21"/>
                    </w:rPr>
                  </w:pPr>
                </w:p>
              </w:tc>
              <w:tc>
                <w:tcPr>
                  <w:tcW w:w="1245" w:type="dxa"/>
                  <w:vAlign w:val="center"/>
                </w:tcPr>
                <w:p w14:paraId="4AD0D60F">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hint="eastAsia" w:ascii="Times New Roman" w:hAnsi="Times New Roman" w:eastAsia="宋体" w:cs="Times New Roman"/>
                      <w:kern w:val="2"/>
                      <w:sz w:val="21"/>
                      <w:szCs w:val="21"/>
                      <w:lang w:val="en-US" w:eastAsia="zh-CN" w:bidi="ar-SA"/>
                    </w:rPr>
                    <w:t>隔油池油污</w:t>
                  </w:r>
                </w:p>
              </w:tc>
              <w:tc>
                <w:tcPr>
                  <w:tcW w:w="2355" w:type="dxa"/>
                  <w:vAlign w:val="center"/>
                </w:tcPr>
                <w:p w14:paraId="612545D2">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jc w:val="center"/>
                    <w:rPr>
                      <w:color w:val="auto"/>
                      <w:kern w:val="0"/>
                      <w:sz w:val="21"/>
                      <w:szCs w:val="21"/>
                      <w:lang w:bidi="ar"/>
                    </w:rPr>
                  </w:pPr>
                  <w:r>
                    <w:rPr>
                      <w:rFonts w:hint="eastAsia" w:ascii="Times New Roman" w:hAnsi="Times New Roman" w:eastAsia="宋体" w:cs="Times New Roman"/>
                      <w:kern w:val="2"/>
                      <w:sz w:val="21"/>
                      <w:szCs w:val="21"/>
                      <w:lang w:val="en-US" w:eastAsia="zh-CN" w:bidi="ar-SA"/>
                    </w:rPr>
                    <w:t>收集后外售给肥料厂制造肥料</w:t>
                  </w:r>
                </w:p>
              </w:tc>
              <w:tc>
                <w:tcPr>
                  <w:tcW w:w="3305" w:type="dxa"/>
                  <w:vMerge w:val="continue"/>
                  <w:vAlign w:val="center"/>
                </w:tcPr>
                <w:p w14:paraId="1BDD0A36">
                  <w:pPr>
                    <w:pStyle w:val="107"/>
                    <w:rPr>
                      <w:color w:val="auto"/>
                      <w:sz w:val="21"/>
                      <w:szCs w:val="21"/>
                    </w:rPr>
                  </w:pPr>
                </w:p>
              </w:tc>
            </w:tr>
            <w:tr w14:paraId="5307E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05502055">
                  <w:pPr>
                    <w:pStyle w:val="87"/>
                    <w:rPr>
                      <w:sz w:val="21"/>
                      <w:szCs w:val="21"/>
                    </w:rPr>
                  </w:pPr>
                </w:p>
              </w:tc>
              <w:tc>
                <w:tcPr>
                  <w:tcW w:w="780" w:type="dxa"/>
                  <w:vMerge w:val="continue"/>
                  <w:vAlign w:val="center"/>
                </w:tcPr>
                <w:p w14:paraId="0B466B87">
                  <w:pPr>
                    <w:pStyle w:val="87"/>
                    <w:rPr>
                      <w:sz w:val="21"/>
                      <w:szCs w:val="21"/>
                    </w:rPr>
                  </w:pPr>
                </w:p>
              </w:tc>
              <w:tc>
                <w:tcPr>
                  <w:tcW w:w="1245" w:type="dxa"/>
                  <w:vAlign w:val="center"/>
                </w:tcPr>
                <w:p w14:paraId="16D93EA8">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hint="eastAsia" w:ascii="Times New Roman" w:hAnsi="Times New Roman" w:eastAsia="宋体" w:cs="Times New Roman"/>
                      <w:kern w:val="2"/>
                      <w:sz w:val="21"/>
                      <w:szCs w:val="21"/>
                      <w:lang w:val="en-US" w:eastAsia="zh-CN" w:bidi="ar-SA"/>
                    </w:rPr>
                    <w:t>废RO膜</w:t>
                  </w:r>
                </w:p>
              </w:tc>
              <w:tc>
                <w:tcPr>
                  <w:tcW w:w="2355" w:type="dxa"/>
                  <w:vAlign w:val="center"/>
                </w:tcPr>
                <w:p w14:paraId="0CDDC3B2">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rFonts w:hint="eastAsia" w:eastAsia="宋体"/>
                      <w:color w:val="auto"/>
                      <w:kern w:val="0"/>
                      <w:sz w:val="21"/>
                      <w:szCs w:val="21"/>
                      <w:lang w:eastAsia="zh-CN" w:bidi="ar"/>
                    </w:rPr>
                  </w:pPr>
                  <w:r>
                    <w:rPr>
                      <w:rFonts w:hint="eastAsia" w:ascii="Times New Roman" w:hAnsi="Times New Roman" w:eastAsia="宋体" w:cs="Times New Roman"/>
                      <w:kern w:val="2"/>
                      <w:sz w:val="21"/>
                      <w:szCs w:val="21"/>
                      <w:lang w:val="en-US" w:eastAsia="zh-CN" w:bidi="ar-SA"/>
                    </w:rPr>
                    <w:t>更换时由厂家回收</w:t>
                  </w:r>
                </w:p>
              </w:tc>
              <w:tc>
                <w:tcPr>
                  <w:tcW w:w="3305" w:type="dxa"/>
                  <w:vMerge w:val="continue"/>
                  <w:vAlign w:val="center"/>
                </w:tcPr>
                <w:p w14:paraId="5734C769">
                  <w:pPr>
                    <w:pStyle w:val="107"/>
                    <w:rPr>
                      <w:color w:val="auto"/>
                      <w:sz w:val="21"/>
                      <w:szCs w:val="21"/>
                    </w:rPr>
                  </w:pPr>
                </w:p>
              </w:tc>
            </w:tr>
            <w:tr w14:paraId="24F45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2B82BDC0">
                  <w:pPr>
                    <w:pStyle w:val="87"/>
                    <w:rPr>
                      <w:sz w:val="21"/>
                      <w:szCs w:val="21"/>
                    </w:rPr>
                  </w:pPr>
                </w:p>
              </w:tc>
              <w:tc>
                <w:tcPr>
                  <w:tcW w:w="780" w:type="dxa"/>
                  <w:vMerge w:val="continue"/>
                  <w:vAlign w:val="center"/>
                </w:tcPr>
                <w:p w14:paraId="4A23B875">
                  <w:pPr>
                    <w:pStyle w:val="87"/>
                    <w:rPr>
                      <w:sz w:val="21"/>
                      <w:szCs w:val="21"/>
                    </w:rPr>
                  </w:pPr>
                </w:p>
              </w:tc>
              <w:tc>
                <w:tcPr>
                  <w:tcW w:w="1245" w:type="dxa"/>
                  <w:vAlign w:val="center"/>
                </w:tcPr>
                <w:p w14:paraId="7C92606E">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hint="eastAsia" w:ascii="Times New Roman" w:hAnsi="Times New Roman" w:eastAsia="宋体" w:cs="Times New Roman"/>
                      <w:kern w:val="2"/>
                      <w:sz w:val="21"/>
                      <w:szCs w:val="21"/>
                      <w:lang w:val="en-US" w:eastAsia="zh-CN" w:bidi="ar-SA"/>
                    </w:rPr>
                    <w:t>豆渣</w:t>
                  </w:r>
                </w:p>
              </w:tc>
              <w:tc>
                <w:tcPr>
                  <w:tcW w:w="2355" w:type="dxa"/>
                  <w:vAlign w:val="center"/>
                </w:tcPr>
                <w:p w14:paraId="23BD8CC0">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rFonts w:hint="eastAsia" w:eastAsia="宋体"/>
                      <w:color w:val="auto"/>
                      <w:kern w:val="0"/>
                      <w:sz w:val="21"/>
                      <w:szCs w:val="21"/>
                      <w:lang w:eastAsia="zh-CN" w:bidi="ar"/>
                    </w:rPr>
                  </w:pPr>
                  <w:r>
                    <w:rPr>
                      <w:rFonts w:hint="eastAsia" w:ascii="Times New Roman" w:hAnsi="Times New Roman" w:eastAsia="宋体" w:cs="Times New Roman"/>
                      <w:kern w:val="2"/>
                      <w:sz w:val="21"/>
                      <w:szCs w:val="21"/>
                      <w:lang w:val="en-US" w:eastAsia="zh-CN" w:bidi="ar-SA"/>
                    </w:rPr>
                    <w:t>收集后外售给肥料厂制造肥料</w:t>
                  </w:r>
                </w:p>
              </w:tc>
              <w:tc>
                <w:tcPr>
                  <w:tcW w:w="3305" w:type="dxa"/>
                  <w:vMerge w:val="continue"/>
                  <w:vAlign w:val="center"/>
                </w:tcPr>
                <w:p w14:paraId="7CB583B5">
                  <w:pPr>
                    <w:pStyle w:val="107"/>
                    <w:rPr>
                      <w:color w:val="auto"/>
                      <w:sz w:val="21"/>
                      <w:szCs w:val="21"/>
                    </w:rPr>
                  </w:pPr>
                </w:p>
              </w:tc>
            </w:tr>
            <w:tr w14:paraId="7BC2E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0124D4C5">
                  <w:pPr>
                    <w:pStyle w:val="87"/>
                    <w:rPr>
                      <w:sz w:val="21"/>
                      <w:szCs w:val="21"/>
                    </w:rPr>
                  </w:pPr>
                </w:p>
              </w:tc>
              <w:tc>
                <w:tcPr>
                  <w:tcW w:w="780" w:type="dxa"/>
                  <w:vMerge w:val="continue"/>
                  <w:vAlign w:val="center"/>
                </w:tcPr>
                <w:p w14:paraId="4ED5AF5A">
                  <w:pPr>
                    <w:pStyle w:val="87"/>
                    <w:rPr>
                      <w:sz w:val="21"/>
                      <w:szCs w:val="21"/>
                    </w:rPr>
                  </w:pPr>
                </w:p>
              </w:tc>
              <w:tc>
                <w:tcPr>
                  <w:tcW w:w="1245" w:type="dxa"/>
                  <w:vAlign w:val="center"/>
                </w:tcPr>
                <w:p w14:paraId="49F350A1">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hint="eastAsia" w:ascii="Times New Roman" w:hAnsi="Times New Roman" w:eastAsia="宋体" w:cs="Times New Roman"/>
                      <w:kern w:val="2"/>
                      <w:sz w:val="21"/>
                      <w:szCs w:val="21"/>
                      <w:lang w:val="en-US" w:eastAsia="zh-CN" w:bidi="ar-SA"/>
                    </w:rPr>
                    <w:t>废卤渣</w:t>
                  </w:r>
                </w:p>
              </w:tc>
              <w:tc>
                <w:tcPr>
                  <w:tcW w:w="2355" w:type="dxa"/>
                  <w:vAlign w:val="center"/>
                </w:tcPr>
                <w:p w14:paraId="60E74161">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rFonts w:hint="eastAsia" w:eastAsia="宋体"/>
                      <w:color w:val="auto"/>
                      <w:kern w:val="0"/>
                      <w:sz w:val="21"/>
                      <w:szCs w:val="21"/>
                      <w:lang w:eastAsia="zh-CN" w:bidi="ar"/>
                    </w:rPr>
                  </w:pPr>
                  <w:r>
                    <w:rPr>
                      <w:rFonts w:hint="eastAsia" w:ascii="Times New Roman" w:hAnsi="Times New Roman" w:eastAsia="宋体" w:cs="Times New Roman"/>
                      <w:kern w:val="2"/>
                      <w:sz w:val="21"/>
                      <w:szCs w:val="21"/>
                      <w:lang w:val="en-US" w:eastAsia="zh-CN" w:bidi="ar-SA"/>
                    </w:rPr>
                    <w:t>收集后外售给肥料厂制造肥料</w:t>
                  </w:r>
                </w:p>
              </w:tc>
              <w:tc>
                <w:tcPr>
                  <w:tcW w:w="3305" w:type="dxa"/>
                  <w:vMerge w:val="continue"/>
                  <w:vAlign w:val="center"/>
                </w:tcPr>
                <w:p w14:paraId="5CEB96C3">
                  <w:pPr>
                    <w:pStyle w:val="107"/>
                    <w:rPr>
                      <w:color w:val="auto"/>
                      <w:sz w:val="21"/>
                      <w:szCs w:val="21"/>
                    </w:rPr>
                  </w:pPr>
                </w:p>
              </w:tc>
            </w:tr>
            <w:tr w14:paraId="7534C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1628411C">
                  <w:pPr>
                    <w:pStyle w:val="87"/>
                    <w:rPr>
                      <w:sz w:val="21"/>
                      <w:szCs w:val="21"/>
                    </w:rPr>
                  </w:pPr>
                </w:p>
              </w:tc>
              <w:tc>
                <w:tcPr>
                  <w:tcW w:w="780" w:type="dxa"/>
                  <w:vMerge w:val="continue"/>
                  <w:vAlign w:val="center"/>
                </w:tcPr>
                <w:p w14:paraId="2B214A73">
                  <w:pPr>
                    <w:pStyle w:val="87"/>
                    <w:rPr>
                      <w:sz w:val="21"/>
                      <w:szCs w:val="21"/>
                    </w:rPr>
                  </w:pPr>
                </w:p>
              </w:tc>
              <w:tc>
                <w:tcPr>
                  <w:tcW w:w="1245" w:type="dxa"/>
                  <w:shd w:val="clear" w:color="auto" w:fill="auto"/>
                  <w:vAlign w:val="center"/>
                </w:tcPr>
                <w:p w14:paraId="13FF54DA">
                  <w:pPr>
                    <w:pStyle w:val="87"/>
                    <w:rPr>
                      <w:rFonts w:ascii="Times New Roman" w:hAnsi="Times New Roman" w:eastAsia="宋体" w:cs="Times New Roman"/>
                      <w:kern w:val="0"/>
                      <w:sz w:val="21"/>
                      <w:szCs w:val="21"/>
                      <w:lang w:val="en-US" w:eastAsia="zh-CN" w:bidi="ar-SA"/>
                    </w:rPr>
                  </w:pPr>
                  <w:r>
                    <w:rPr>
                      <w:sz w:val="21"/>
                      <w:szCs w:val="21"/>
                      <w:lang w:bidi="ar"/>
                    </w:rPr>
                    <w:t>废活性炭</w:t>
                  </w:r>
                </w:p>
              </w:tc>
              <w:tc>
                <w:tcPr>
                  <w:tcW w:w="2355" w:type="dxa"/>
                  <w:shd w:val="clear" w:color="auto" w:fill="auto"/>
                  <w:vAlign w:val="center"/>
                </w:tcPr>
                <w:p w14:paraId="5EDA4862">
                  <w:pPr>
                    <w:adjustRightInd w:val="0"/>
                    <w:snapToGrid w:val="0"/>
                    <w:jc w:val="center"/>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暂存于危废暂存间，定期交由有资质的单位处置</w:t>
                  </w:r>
                </w:p>
              </w:tc>
              <w:tc>
                <w:tcPr>
                  <w:tcW w:w="3305" w:type="dxa"/>
                  <w:vAlign w:val="center"/>
                </w:tcPr>
                <w:p w14:paraId="5D8E78E0">
                  <w:pPr>
                    <w:pStyle w:val="107"/>
                    <w:jc w:val="both"/>
                    <w:rPr>
                      <w:color w:val="auto"/>
                      <w:sz w:val="21"/>
                      <w:szCs w:val="21"/>
                    </w:rPr>
                  </w:pPr>
                  <w:r>
                    <w:rPr>
                      <w:rFonts w:hint="eastAsia"/>
                      <w:color w:val="auto"/>
                      <w:sz w:val="21"/>
                      <w:szCs w:val="21"/>
                      <w:lang w:val="en-US" w:eastAsia="zh-CN"/>
                    </w:rPr>
                    <w:t>《危险废物转移管理办法》及</w:t>
                  </w:r>
                  <w:r>
                    <w:rPr>
                      <w:color w:val="auto"/>
                      <w:sz w:val="21"/>
                      <w:szCs w:val="21"/>
                    </w:rPr>
                    <w:t>《危险废物贮存污染控制标准》（GB185</w:t>
                  </w:r>
                  <w:r>
                    <w:rPr>
                      <w:rFonts w:hint="eastAsia"/>
                      <w:color w:val="auto"/>
                      <w:sz w:val="21"/>
                      <w:szCs w:val="21"/>
                      <w:lang w:val="en-US" w:eastAsia="zh-CN"/>
                    </w:rPr>
                    <w:t>97</w:t>
                  </w:r>
                  <w:r>
                    <w:rPr>
                      <w:color w:val="auto"/>
                      <w:sz w:val="21"/>
                      <w:szCs w:val="21"/>
                    </w:rPr>
                    <w:t>-2</w:t>
                  </w:r>
                  <w:r>
                    <w:rPr>
                      <w:rFonts w:hint="eastAsia"/>
                      <w:color w:val="auto"/>
                      <w:sz w:val="21"/>
                      <w:szCs w:val="21"/>
                      <w:lang w:val="en-US" w:eastAsia="zh-CN"/>
                    </w:rPr>
                    <w:t>023</w:t>
                  </w:r>
                  <w:r>
                    <w:rPr>
                      <w:rFonts w:hint="eastAsia"/>
                      <w:color w:val="auto"/>
                      <w:sz w:val="21"/>
                      <w:szCs w:val="21"/>
                      <w:lang w:eastAsia="zh-CN"/>
                    </w:rPr>
                    <w:t>）</w:t>
                  </w:r>
                  <w:r>
                    <w:rPr>
                      <w:rFonts w:hint="eastAsia"/>
                      <w:color w:val="auto"/>
                      <w:sz w:val="21"/>
                      <w:szCs w:val="21"/>
                      <w:lang w:val="en-US" w:eastAsia="zh-CN"/>
                    </w:rPr>
                    <w:t>中相关要求</w:t>
                  </w:r>
                </w:p>
              </w:tc>
            </w:tr>
            <w:tr w14:paraId="4050A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9" w:type="dxa"/>
                  <w:vMerge w:val="continue"/>
                  <w:vAlign w:val="center"/>
                </w:tcPr>
                <w:p w14:paraId="7EBB762A">
                  <w:pPr>
                    <w:pStyle w:val="87"/>
                    <w:rPr>
                      <w:sz w:val="21"/>
                      <w:szCs w:val="21"/>
                    </w:rPr>
                  </w:pPr>
                </w:p>
              </w:tc>
              <w:tc>
                <w:tcPr>
                  <w:tcW w:w="780" w:type="dxa"/>
                  <w:vMerge w:val="continue"/>
                  <w:vAlign w:val="center"/>
                </w:tcPr>
                <w:p w14:paraId="11102A5F">
                  <w:pPr>
                    <w:pStyle w:val="87"/>
                    <w:rPr>
                      <w:sz w:val="21"/>
                      <w:szCs w:val="21"/>
                    </w:rPr>
                  </w:pPr>
                </w:p>
              </w:tc>
              <w:tc>
                <w:tcPr>
                  <w:tcW w:w="1245" w:type="dxa"/>
                  <w:vAlign w:val="center"/>
                </w:tcPr>
                <w:p w14:paraId="29432289">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kern w:val="0"/>
                      <w:sz w:val="21"/>
                      <w:szCs w:val="21"/>
                      <w:lang w:bidi="ar"/>
                    </w:rPr>
                  </w:pPr>
                  <w:r>
                    <w:rPr>
                      <w:rFonts w:ascii="Times New Roman" w:hAnsi="Times New Roman" w:eastAsia="宋体" w:cs="Times New Roman"/>
                      <w:kern w:val="2"/>
                      <w:sz w:val="21"/>
                      <w:szCs w:val="21"/>
                      <w:lang w:val="en-US" w:eastAsia="zh-CN" w:bidi="ar-SA"/>
                    </w:rPr>
                    <w:t>办公生活</w:t>
                  </w:r>
                  <w:r>
                    <w:rPr>
                      <w:rFonts w:hint="eastAsia" w:cs="Times New Roman"/>
                      <w:kern w:val="2"/>
                      <w:sz w:val="21"/>
                      <w:szCs w:val="21"/>
                      <w:lang w:val="en-US" w:eastAsia="zh-CN" w:bidi="ar-SA"/>
                    </w:rPr>
                    <w:t>垃圾</w:t>
                  </w:r>
                </w:p>
              </w:tc>
              <w:tc>
                <w:tcPr>
                  <w:tcW w:w="2355" w:type="dxa"/>
                  <w:vAlign w:val="center"/>
                </w:tcPr>
                <w:p w14:paraId="7509B9B4">
                  <w:pPr>
                    <w:keepNext w:val="0"/>
                    <w:keepLines w:val="0"/>
                    <w:pageBreakBefore w:val="0"/>
                    <w:widowControl w:val="0"/>
                    <w:kinsoku/>
                    <w:wordWrap/>
                    <w:overflowPunct/>
                    <w:topLinePunct w:val="0"/>
                    <w:autoSpaceDE/>
                    <w:autoSpaceDN/>
                    <w:bidi w:val="0"/>
                    <w:adjustRightInd/>
                    <w:snapToGrid/>
                    <w:spacing w:line="240" w:lineRule="auto"/>
                    <w:ind w:left="-42" w:leftChars="-20" w:right="-113" w:rightChars="0" w:firstLine="0" w:firstLineChars="0"/>
                    <w:contextualSpacing/>
                    <w:jc w:val="center"/>
                    <w:rPr>
                      <w:color w:val="auto"/>
                      <w:kern w:val="0"/>
                      <w:sz w:val="21"/>
                      <w:szCs w:val="21"/>
                      <w:lang w:bidi="ar"/>
                    </w:rPr>
                  </w:pPr>
                  <w:r>
                    <w:rPr>
                      <w:rFonts w:ascii="Times New Roman" w:hAnsi="Times New Roman" w:eastAsia="宋体" w:cs="Times New Roman"/>
                      <w:kern w:val="2"/>
                      <w:sz w:val="21"/>
                      <w:szCs w:val="21"/>
                      <w:lang w:val="en-US" w:eastAsia="zh-CN" w:bidi="ar-SA"/>
                    </w:rPr>
                    <w:t>集中收集</w:t>
                  </w:r>
                  <w:r>
                    <w:rPr>
                      <w:rFonts w:hint="eastAsia" w:ascii="Times New Roman" w:hAnsi="Times New Roman" w:eastAsia="宋体" w:cs="Times New Roman"/>
                      <w:kern w:val="2"/>
                      <w:sz w:val="21"/>
                      <w:szCs w:val="21"/>
                      <w:lang w:val="en-US" w:eastAsia="zh-CN" w:bidi="ar-SA"/>
                    </w:rPr>
                    <w:t>后交由环卫部门处置</w:t>
                  </w:r>
                </w:p>
              </w:tc>
              <w:tc>
                <w:tcPr>
                  <w:tcW w:w="3305" w:type="dxa"/>
                  <w:vAlign w:val="center"/>
                </w:tcPr>
                <w:p w14:paraId="474BAE7C">
                  <w:pPr>
                    <w:pStyle w:val="107"/>
                    <w:rPr>
                      <w:rFonts w:hint="eastAsia" w:eastAsia="宋体"/>
                      <w:color w:val="auto"/>
                      <w:sz w:val="21"/>
                      <w:szCs w:val="21"/>
                      <w:lang w:eastAsia="zh-CN"/>
                    </w:rPr>
                  </w:pPr>
                  <w:r>
                    <w:rPr>
                      <w:color w:val="auto"/>
                      <w:sz w:val="21"/>
                      <w:szCs w:val="21"/>
                    </w:rPr>
                    <w:t>生活垃圾</w:t>
                  </w:r>
                  <w:r>
                    <w:rPr>
                      <w:rFonts w:hint="eastAsia"/>
                      <w:color w:val="auto"/>
                      <w:sz w:val="21"/>
                      <w:szCs w:val="21"/>
                      <w:lang w:val="en-US" w:eastAsia="zh-CN"/>
                    </w:rPr>
                    <w:t>入场</w:t>
                  </w:r>
                  <w:r>
                    <w:rPr>
                      <w:color w:val="auto"/>
                      <w:sz w:val="21"/>
                      <w:szCs w:val="21"/>
                    </w:rPr>
                    <w:t>执行《生活垃圾填埋厂污染控制标准》（GB16889-2008</w:t>
                  </w:r>
                  <w:r>
                    <w:rPr>
                      <w:rFonts w:hint="eastAsia"/>
                      <w:color w:val="auto"/>
                      <w:sz w:val="21"/>
                      <w:szCs w:val="21"/>
                      <w:lang w:eastAsia="zh-CN"/>
                    </w:rPr>
                    <w:t>）</w:t>
                  </w:r>
                </w:p>
              </w:tc>
            </w:tr>
          </w:tbl>
          <w:p w14:paraId="6291B876">
            <w:pPr>
              <w:pStyle w:val="16"/>
              <w:numPr>
                <w:ilvl w:val="0"/>
                <w:numId w:val="0"/>
              </w:numPr>
            </w:pPr>
          </w:p>
        </w:tc>
      </w:tr>
    </w:tbl>
    <w:p w14:paraId="71F58F9E">
      <w:pPr>
        <w:adjustRightInd w:val="0"/>
        <w:snapToGrid w:val="0"/>
        <w:spacing w:line="360" w:lineRule="auto"/>
        <w:rPr>
          <w:b/>
          <w:kern w:val="0"/>
          <w:sz w:val="28"/>
          <w:szCs w:val="28"/>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2057E363">
      <w:pPr>
        <w:pStyle w:val="26"/>
        <w:rPr>
          <w:rFonts w:ascii="Times New Roman" w:hAnsi="Times New Roman" w:cs="Times New Roman"/>
          <w:snapToGrid w:val="0"/>
        </w:rPr>
      </w:pPr>
      <w:r>
        <w:rPr>
          <w:rFonts w:ascii="Times New Roman" w:hAnsi="Times New Roman" w:cs="Times New Roman"/>
          <w:snapToGrid w:val="0"/>
        </w:rPr>
        <w:t>五、</w:t>
      </w:r>
      <w:bookmarkStart w:id="28" w:name="_Hlk54167917"/>
      <w:r>
        <w:rPr>
          <w:rFonts w:ascii="Times New Roman" w:hAnsi="Times New Roman" w:cs="Times New Roman"/>
          <w:snapToGrid w:val="0"/>
        </w:rPr>
        <w:t>环境保护措施监督检查清单</w:t>
      </w:r>
      <w:bookmarkEnd w:id="28"/>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567"/>
        <w:gridCol w:w="1699"/>
        <w:gridCol w:w="1886"/>
        <w:gridCol w:w="2579"/>
      </w:tblGrid>
      <w:tr w14:paraId="1CFD2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1" w:type="pct"/>
            <w:tcBorders>
              <w:tl2br w:val="single" w:color="auto" w:sz="4" w:space="0"/>
            </w:tcBorders>
          </w:tcPr>
          <w:p w14:paraId="7912CB6C">
            <w:pPr>
              <w:keepNext w:val="0"/>
              <w:keepLines w:val="0"/>
              <w:pageBreakBefore w:val="0"/>
              <w:widowControl w:val="0"/>
              <w:kinsoku/>
              <w:wordWrap/>
              <w:overflowPunct/>
              <w:topLinePunct w:val="0"/>
              <w:autoSpaceDE/>
              <w:autoSpaceDN/>
              <w:bidi w:val="0"/>
              <w:adjustRightInd w:val="0"/>
              <w:snapToGrid w:val="0"/>
              <w:ind w:left="-42" w:leftChars="-20" w:right="-42" w:rightChars="-20" w:firstLine="480" w:firstLineChars="200"/>
              <w:textAlignment w:val="auto"/>
              <w:rPr>
                <w:sz w:val="24"/>
              </w:rPr>
            </w:pPr>
            <w:r>
              <w:rPr>
                <w:sz w:val="24"/>
              </w:rPr>
              <w:t>内容</w:t>
            </w:r>
          </w:p>
          <w:p w14:paraId="16CD5474">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sz w:val="24"/>
              </w:rPr>
            </w:pPr>
            <w:r>
              <w:rPr>
                <w:sz w:val="24"/>
              </w:rPr>
              <w:t>要素</w:t>
            </w:r>
          </w:p>
        </w:tc>
        <w:tc>
          <w:tcPr>
            <w:tcW w:w="865" w:type="pct"/>
            <w:vAlign w:val="center"/>
          </w:tcPr>
          <w:p w14:paraId="1DDE2EBE">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排放</w:t>
            </w:r>
            <w:r>
              <w:rPr>
                <w:rFonts w:hint="eastAsia"/>
                <w:sz w:val="24"/>
              </w:rPr>
              <w:t>（</w:t>
            </w:r>
            <w:r>
              <w:rPr>
                <w:sz w:val="24"/>
              </w:rPr>
              <w:t>编号、名称</w:t>
            </w:r>
            <w:r>
              <w:rPr>
                <w:rFonts w:hint="eastAsia"/>
                <w:sz w:val="24"/>
                <w:lang w:eastAsia="zh-CN"/>
              </w:rPr>
              <w:t>）</w:t>
            </w:r>
            <w:r>
              <w:rPr>
                <w:sz w:val="24"/>
              </w:rPr>
              <w:t>/污染源</w:t>
            </w:r>
          </w:p>
        </w:tc>
        <w:tc>
          <w:tcPr>
            <w:tcW w:w="938" w:type="pct"/>
            <w:vAlign w:val="center"/>
          </w:tcPr>
          <w:p w14:paraId="2665B53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污染物项目</w:t>
            </w:r>
          </w:p>
        </w:tc>
        <w:tc>
          <w:tcPr>
            <w:tcW w:w="1041" w:type="pct"/>
            <w:vAlign w:val="center"/>
          </w:tcPr>
          <w:p w14:paraId="34B14C1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环境保护措施</w:t>
            </w:r>
          </w:p>
        </w:tc>
        <w:tc>
          <w:tcPr>
            <w:tcW w:w="1424" w:type="pct"/>
            <w:vAlign w:val="center"/>
          </w:tcPr>
          <w:p w14:paraId="26095BB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执行标准</w:t>
            </w:r>
          </w:p>
        </w:tc>
      </w:tr>
      <w:tr w14:paraId="75042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31" w:type="pct"/>
            <w:vMerge w:val="restart"/>
            <w:vAlign w:val="center"/>
          </w:tcPr>
          <w:p w14:paraId="40B1713E">
            <w:pPr>
              <w:pStyle w:val="8"/>
              <w:keepNext w:val="0"/>
              <w:keepLines w:val="0"/>
              <w:pageBreakBefore w:val="0"/>
              <w:widowControl w:val="0"/>
              <w:kinsoku/>
              <w:wordWrap/>
              <w:overflowPunct/>
              <w:topLinePunct w:val="0"/>
              <w:autoSpaceDE/>
              <w:autoSpaceDN/>
              <w:bidi w:val="0"/>
              <w:ind w:left="-42" w:leftChars="-20" w:right="-42" w:rightChars="-20" w:firstLine="0" w:firstLineChars="0"/>
              <w:textAlignment w:val="auto"/>
              <w:rPr>
                <w:sz w:val="24"/>
              </w:rPr>
            </w:pPr>
            <w:r>
              <w:rPr>
                <w:sz w:val="24"/>
              </w:rPr>
              <w:t>大气环境</w:t>
            </w:r>
          </w:p>
        </w:tc>
        <w:tc>
          <w:tcPr>
            <w:tcW w:w="865" w:type="pct"/>
            <w:vAlign w:val="center"/>
          </w:tcPr>
          <w:p w14:paraId="63E16CFD">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default" w:eastAsia="宋体"/>
                <w:sz w:val="24"/>
                <w:lang w:val="en-US" w:eastAsia="zh-CN"/>
              </w:rPr>
            </w:pPr>
            <w:r>
              <w:rPr>
                <w:rFonts w:hint="eastAsia"/>
                <w:sz w:val="24"/>
                <w:lang w:val="en-US" w:eastAsia="zh-CN"/>
              </w:rPr>
              <w:t>油烟净化器排放口</w:t>
            </w:r>
          </w:p>
        </w:tc>
        <w:tc>
          <w:tcPr>
            <w:tcW w:w="938" w:type="pct"/>
            <w:vAlign w:val="center"/>
          </w:tcPr>
          <w:p w14:paraId="52E7FFB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eastAsia="宋体"/>
                <w:sz w:val="24"/>
                <w:lang w:eastAsia="zh-CN"/>
              </w:rPr>
            </w:pPr>
            <w:r>
              <w:rPr>
                <w:rFonts w:hint="eastAsia"/>
                <w:sz w:val="24"/>
                <w:lang w:val="en-US" w:eastAsia="zh-CN"/>
              </w:rPr>
              <w:t>油烟</w:t>
            </w:r>
          </w:p>
        </w:tc>
        <w:tc>
          <w:tcPr>
            <w:tcW w:w="1041" w:type="pct"/>
            <w:vAlign w:val="center"/>
          </w:tcPr>
          <w:p w14:paraId="6787BA3D">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eastAsia" w:eastAsia="宋体"/>
                <w:sz w:val="24"/>
                <w:lang w:eastAsia="zh-CN"/>
              </w:rPr>
            </w:pPr>
            <w:r>
              <w:rPr>
                <w:rFonts w:hint="eastAsia"/>
                <w:sz w:val="24"/>
                <w:lang w:val="en-US" w:eastAsia="zh-CN"/>
              </w:rPr>
              <w:t>油烟净化器</w:t>
            </w:r>
          </w:p>
        </w:tc>
        <w:tc>
          <w:tcPr>
            <w:tcW w:w="1424" w:type="pct"/>
            <w:vAlign w:val="center"/>
          </w:tcPr>
          <w:p w14:paraId="6675C59F">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sz w:val="24"/>
              </w:rPr>
            </w:pPr>
            <w:r>
              <w:rPr>
                <w:rFonts w:hint="default"/>
                <w:sz w:val="24"/>
              </w:rPr>
              <w:t>《饮食业油烟排放标准》（GB18483-2001</w:t>
            </w:r>
            <w:r>
              <w:rPr>
                <w:rFonts w:hint="eastAsia"/>
                <w:sz w:val="24"/>
                <w:lang w:eastAsia="zh-CN"/>
              </w:rPr>
              <w:t>）</w:t>
            </w:r>
            <w:r>
              <w:rPr>
                <w:rFonts w:hint="default"/>
                <w:sz w:val="24"/>
              </w:rPr>
              <w:t>中大型规模限值</w:t>
            </w:r>
          </w:p>
        </w:tc>
      </w:tr>
      <w:tr w14:paraId="545A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31" w:type="pct"/>
            <w:vMerge w:val="continue"/>
            <w:vAlign w:val="center"/>
          </w:tcPr>
          <w:p w14:paraId="1784BCA8">
            <w:pPr>
              <w:pStyle w:val="8"/>
              <w:keepNext w:val="0"/>
              <w:keepLines w:val="0"/>
              <w:pageBreakBefore w:val="0"/>
              <w:widowControl w:val="0"/>
              <w:kinsoku/>
              <w:wordWrap/>
              <w:overflowPunct/>
              <w:topLinePunct w:val="0"/>
              <w:autoSpaceDE/>
              <w:autoSpaceDN/>
              <w:bidi w:val="0"/>
              <w:ind w:left="-42" w:leftChars="-20" w:right="-42" w:rightChars="-20"/>
              <w:textAlignment w:val="auto"/>
            </w:pPr>
          </w:p>
        </w:tc>
        <w:tc>
          <w:tcPr>
            <w:tcW w:w="865" w:type="pct"/>
            <w:vMerge w:val="restart"/>
            <w:vAlign w:val="center"/>
          </w:tcPr>
          <w:p w14:paraId="58EE4361">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eastAsia" w:eastAsia="宋体"/>
                <w:sz w:val="24"/>
                <w:lang w:eastAsia="zh-CN"/>
              </w:rPr>
            </w:pPr>
            <w:r>
              <w:rPr>
                <w:sz w:val="24"/>
              </w:rPr>
              <w:t>污水处理站排气口DA00</w:t>
            </w:r>
            <w:r>
              <w:rPr>
                <w:rFonts w:hint="eastAsia"/>
                <w:sz w:val="24"/>
                <w:lang w:val="en-US" w:eastAsia="zh-CN"/>
              </w:rPr>
              <w:t>1</w:t>
            </w:r>
          </w:p>
        </w:tc>
        <w:tc>
          <w:tcPr>
            <w:tcW w:w="938" w:type="pct"/>
            <w:vAlign w:val="center"/>
          </w:tcPr>
          <w:p w14:paraId="415A41D5">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H</w:t>
            </w:r>
            <w:r>
              <w:rPr>
                <w:sz w:val="24"/>
                <w:vertAlign w:val="subscript"/>
              </w:rPr>
              <w:t>2</w:t>
            </w:r>
            <w:r>
              <w:rPr>
                <w:sz w:val="24"/>
              </w:rPr>
              <w:t>S</w:t>
            </w:r>
          </w:p>
        </w:tc>
        <w:tc>
          <w:tcPr>
            <w:tcW w:w="1041" w:type="pct"/>
            <w:vMerge w:val="restart"/>
            <w:vAlign w:val="center"/>
          </w:tcPr>
          <w:p w14:paraId="06048186">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default" w:eastAsia="宋体"/>
                <w:sz w:val="24"/>
                <w:lang w:val="en-US" w:eastAsia="zh-CN"/>
              </w:rPr>
            </w:pPr>
            <w:r>
              <w:rPr>
                <w:sz w:val="24"/>
              </w:rPr>
              <w:t>活性炭吸附</w:t>
            </w:r>
            <w:r>
              <w:rPr>
                <w:rFonts w:hint="eastAsia"/>
                <w:sz w:val="24"/>
                <w:lang w:val="en-US" w:eastAsia="zh-CN"/>
              </w:rPr>
              <w:t>+15m高排气筒</w:t>
            </w:r>
          </w:p>
        </w:tc>
        <w:tc>
          <w:tcPr>
            <w:tcW w:w="1424" w:type="pct"/>
            <w:vMerge w:val="restart"/>
            <w:vAlign w:val="center"/>
          </w:tcPr>
          <w:p w14:paraId="7B97D99E">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sz w:val="24"/>
              </w:rPr>
            </w:pPr>
            <w:r>
              <w:rPr>
                <w:sz w:val="24"/>
              </w:rPr>
              <w:t>《恶臭污染物排放标准》（GB14554-1993</w:t>
            </w:r>
            <w:r>
              <w:rPr>
                <w:rFonts w:hint="eastAsia"/>
                <w:sz w:val="24"/>
                <w:lang w:eastAsia="zh-CN"/>
              </w:rPr>
              <w:t>）</w:t>
            </w:r>
            <w:r>
              <w:rPr>
                <w:sz w:val="24"/>
              </w:rPr>
              <w:t>中表2恶臭污染物排放标准</w:t>
            </w:r>
          </w:p>
        </w:tc>
      </w:tr>
      <w:tr w14:paraId="4AF43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31" w:type="pct"/>
            <w:vMerge w:val="continue"/>
            <w:vAlign w:val="center"/>
          </w:tcPr>
          <w:p w14:paraId="7D1EA556">
            <w:pPr>
              <w:pStyle w:val="8"/>
              <w:keepNext w:val="0"/>
              <w:keepLines w:val="0"/>
              <w:pageBreakBefore w:val="0"/>
              <w:widowControl w:val="0"/>
              <w:kinsoku/>
              <w:wordWrap/>
              <w:overflowPunct/>
              <w:topLinePunct w:val="0"/>
              <w:autoSpaceDE/>
              <w:autoSpaceDN/>
              <w:bidi w:val="0"/>
              <w:ind w:left="-42" w:leftChars="-20" w:right="-42" w:rightChars="-20"/>
              <w:textAlignment w:val="auto"/>
            </w:pPr>
          </w:p>
        </w:tc>
        <w:tc>
          <w:tcPr>
            <w:tcW w:w="865" w:type="pct"/>
            <w:vMerge w:val="continue"/>
            <w:vAlign w:val="center"/>
          </w:tcPr>
          <w:p w14:paraId="2D1C3889">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p>
        </w:tc>
        <w:tc>
          <w:tcPr>
            <w:tcW w:w="938" w:type="pct"/>
            <w:vAlign w:val="center"/>
          </w:tcPr>
          <w:p w14:paraId="0008980D">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NH</w:t>
            </w:r>
            <w:r>
              <w:rPr>
                <w:sz w:val="24"/>
                <w:vertAlign w:val="subscript"/>
              </w:rPr>
              <w:t>3</w:t>
            </w:r>
          </w:p>
        </w:tc>
        <w:tc>
          <w:tcPr>
            <w:tcW w:w="1041" w:type="pct"/>
            <w:vMerge w:val="continue"/>
            <w:vAlign w:val="center"/>
          </w:tcPr>
          <w:p w14:paraId="4A17FB16">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p>
        </w:tc>
        <w:tc>
          <w:tcPr>
            <w:tcW w:w="1424" w:type="pct"/>
            <w:vMerge w:val="continue"/>
            <w:vAlign w:val="center"/>
          </w:tcPr>
          <w:p w14:paraId="2A97119E">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sz w:val="24"/>
              </w:rPr>
            </w:pPr>
          </w:p>
        </w:tc>
      </w:tr>
      <w:tr w14:paraId="5C3E6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vAlign w:val="center"/>
          </w:tcPr>
          <w:p w14:paraId="2D755CD6">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p>
        </w:tc>
        <w:tc>
          <w:tcPr>
            <w:tcW w:w="865" w:type="pct"/>
            <w:vMerge w:val="continue"/>
            <w:vAlign w:val="center"/>
          </w:tcPr>
          <w:p w14:paraId="391A338A">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p>
        </w:tc>
        <w:tc>
          <w:tcPr>
            <w:tcW w:w="938" w:type="pct"/>
            <w:vAlign w:val="center"/>
          </w:tcPr>
          <w:p w14:paraId="3D434117">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eastAsia="宋体"/>
                <w:sz w:val="24"/>
                <w:lang w:val="en-US" w:eastAsia="zh-CN"/>
              </w:rPr>
            </w:pPr>
            <w:r>
              <w:rPr>
                <w:rFonts w:hint="eastAsia"/>
                <w:sz w:val="24"/>
                <w:lang w:val="en-US" w:eastAsia="zh-CN"/>
              </w:rPr>
              <w:t>臭气浓度</w:t>
            </w:r>
          </w:p>
        </w:tc>
        <w:tc>
          <w:tcPr>
            <w:tcW w:w="1041" w:type="pct"/>
            <w:vMerge w:val="continue"/>
            <w:vAlign w:val="center"/>
          </w:tcPr>
          <w:p w14:paraId="7795BD2A">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p>
        </w:tc>
        <w:tc>
          <w:tcPr>
            <w:tcW w:w="1424" w:type="pct"/>
            <w:vMerge w:val="continue"/>
            <w:vAlign w:val="center"/>
          </w:tcPr>
          <w:p w14:paraId="1DA6BB50">
            <w:pPr>
              <w:keepNext w:val="0"/>
              <w:keepLines w:val="0"/>
              <w:pageBreakBefore w:val="0"/>
              <w:widowControl w:val="0"/>
              <w:kinsoku/>
              <w:wordWrap/>
              <w:overflowPunct/>
              <w:topLinePunct w:val="0"/>
              <w:autoSpaceDE/>
              <w:autoSpaceDN/>
              <w:bidi w:val="0"/>
              <w:adjustRightInd w:val="0"/>
              <w:snapToGrid w:val="0"/>
              <w:ind w:left="-42" w:leftChars="-20" w:right="-42" w:rightChars="-20"/>
              <w:textAlignment w:val="auto"/>
              <w:rPr>
                <w:sz w:val="24"/>
              </w:rPr>
            </w:pPr>
          </w:p>
        </w:tc>
      </w:tr>
      <w:tr w14:paraId="46590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vAlign w:val="center"/>
          </w:tcPr>
          <w:p w14:paraId="4562D4F5">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p>
        </w:tc>
        <w:tc>
          <w:tcPr>
            <w:tcW w:w="865" w:type="pct"/>
            <w:shd w:val="clear" w:color="auto" w:fill="auto"/>
            <w:vAlign w:val="center"/>
          </w:tcPr>
          <w:p w14:paraId="0560F0BD">
            <w:pPr>
              <w:keepNext w:val="0"/>
              <w:keepLines w:val="0"/>
              <w:pageBreakBefore w:val="0"/>
              <w:widowControl w:val="0"/>
              <w:kinsoku/>
              <w:wordWrap/>
              <w:overflowPunct/>
              <w:topLinePunct w:val="0"/>
              <w:autoSpaceDE/>
              <w:autoSpaceDN/>
              <w:bidi w:val="0"/>
              <w:adjustRightInd w:val="0"/>
              <w:snapToGrid w:val="0"/>
              <w:ind w:right="-42" w:rightChars="-20"/>
              <w:jc w:val="both"/>
              <w:textAlignment w:val="auto"/>
              <w:rPr>
                <w:rFonts w:hint="default" w:ascii="Times New Roman" w:hAnsi="Times New Roman" w:eastAsia="宋体" w:cs="Times New Roman"/>
                <w:kern w:val="2"/>
                <w:sz w:val="24"/>
                <w:szCs w:val="24"/>
                <w:lang w:val="en-US" w:eastAsia="zh-CN" w:bidi="ar-SA"/>
              </w:rPr>
            </w:pPr>
            <w:r>
              <w:rPr>
                <w:rFonts w:hint="default"/>
                <w:sz w:val="24"/>
                <w:lang w:val="en-US" w:eastAsia="zh-CN"/>
              </w:rPr>
              <w:t>淀粉装卸、投料产生的面粉粉尘</w:t>
            </w:r>
          </w:p>
        </w:tc>
        <w:tc>
          <w:tcPr>
            <w:tcW w:w="938" w:type="pct"/>
            <w:shd w:val="clear" w:color="auto" w:fill="auto"/>
            <w:vAlign w:val="center"/>
          </w:tcPr>
          <w:p w14:paraId="4FD17FA2">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颗粒物</w:t>
            </w:r>
          </w:p>
        </w:tc>
        <w:tc>
          <w:tcPr>
            <w:tcW w:w="1041" w:type="pct"/>
            <w:shd w:val="clear" w:color="auto" w:fill="auto"/>
            <w:vAlign w:val="center"/>
          </w:tcPr>
          <w:p w14:paraId="60CCB9DD">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面粉装卸、搬运、投加过程中轻拿轻放</w:t>
            </w:r>
          </w:p>
        </w:tc>
        <w:tc>
          <w:tcPr>
            <w:tcW w:w="1424" w:type="pct"/>
            <w:shd w:val="clear" w:color="auto" w:fill="auto"/>
            <w:vAlign w:val="center"/>
          </w:tcPr>
          <w:p w14:paraId="36E7D6BA">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default" w:ascii="Times New Roman" w:hAnsi="Times New Roman" w:eastAsia="宋体" w:cs="Times New Roman"/>
                <w:kern w:val="2"/>
                <w:sz w:val="24"/>
                <w:szCs w:val="24"/>
                <w:lang w:val="en-US" w:eastAsia="zh-CN" w:bidi="ar-SA"/>
              </w:rPr>
            </w:pPr>
            <w:r>
              <w:rPr>
                <w:rFonts w:hint="default"/>
                <w:sz w:val="24"/>
                <w:lang w:val="en-US" w:eastAsia="zh-CN"/>
              </w:rPr>
              <w:t>《大气污染物综合排放标准》</w:t>
            </w:r>
            <w:r>
              <w:rPr>
                <w:rFonts w:hint="eastAsia"/>
                <w:sz w:val="24"/>
                <w:lang w:val="en-US" w:eastAsia="zh-CN"/>
              </w:rPr>
              <w:t>（</w:t>
            </w:r>
            <w:r>
              <w:rPr>
                <w:rFonts w:hint="default"/>
                <w:sz w:val="24"/>
                <w:lang w:val="en-US" w:eastAsia="zh-CN"/>
              </w:rPr>
              <w:t>GB16297-1996</w:t>
            </w:r>
            <w:r>
              <w:rPr>
                <w:rFonts w:hint="eastAsia"/>
                <w:sz w:val="24"/>
                <w:lang w:val="en-US" w:eastAsia="zh-CN"/>
              </w:rPr>
              <w:t>）无组织排放监控浓度限值</w:t>
            </w:r>
          </w:p>
        </w:tc>
      </w:tr>
      <w:tr w14:paraId="62FD3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pct"/>
            <w:vMerge w:val="continue"/>
            <w:vAlign w:val="center"/>
          </w:tcPr>
          <w:p w14:paraId="2D284707">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p>
        </w:tc>
        <w:tc>
          <w:tcPr>
            <w:tcW w:w="865" w:type="pct"/>
            <w:shd w:val="clear" w:color="auto" w:fill="auto"/>
            <w:vAlign w:val="center"/>
          </w:tcPr>
          <w:p w14:paraId="19B27BBA">
            <w:pPr>
              <w:keepNext w:val="0"/>
              <w:keepLines w:val="0"/>
              <w:pageBreakBefore w:val="0"/>
              <w:widowControl w:val="0"/>
              <w:kinsoku/>
              <w:wordWrap/>
              <w:overflowPunct/>
              <w:topLinePunct w:val="0"/>
              <w:autoSpaceDE/>
              <w:autoSpaceDN/>
              <w:bidi w:val="0"/>
              <w:adjustRightInd w:val="0"/>
              <w:snapToGrid w:val="0"/>
              <w:ind w:left="-42" w:leftChars="-20" w:right="-42" w:rightChars="-20" w:firstLine="240" w:firstLineChars="100"/>
              <w:jc w:val="both"/>
              <w:textAlignment w:val="auto"/>
              <w:rPr>
                <w:rFonts w:hint="default"/>
                <w:sz w:val="24"/>
                <w:lang w:val="en-US" w:eastAsia="zh-CN"/>
              </w:rPr>
            </w:pPr>
            <w:r>
              <w:rPr>
                <w:rFonts w:hint="eastAsia"/>
                <w:sz w:val="24"/>
                <w:lang w:val="en-US" w:eastAsia="zh-CN"/>
              </w:rPr>
              <w:t>厂界</w:t>
            </w:r>
          </w:p>
        </w:tc>
        <w:tc>
          <w:tcPr>
            <w:tcW w:w="938" w:type="pct"/>
            <w:shd w:val="clear" w:color="auto" w:fill="auto"/>
            <w:vAlign w:val="center"/>
          </w:tcPr>
          <w:p w14:paraId="6E9E0C6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sz w:val="24"/>
                <w:lang w:val="en-US" w:eastAsia="zh-CN"/>
              </w:rPr>
            </w:pPr>
            <w:r>
              <w:rPr>
                <w:rFonts w:hint="eastAsia"/>
                <w:sz w:val="24"/>
                <w:lang w:val="en-US" w:eastAsia="zh-CN"/>
              </w:rPr>
              <w:t>硫化氢、氨（氨气）、臭气浓度</w:t>
            </w:r>
          </w:p>
        </w:tc>
        <w:tc>
          <w:tcPr>
            <w:tcW w:w="1041" w:type="pct"/>
            <w:shd w:val="clear" w:color="auto" w:fill="auto"/>
            <w:vAlign w:val="center"/>
          </w:tcPr>
          <w:p w14:paraId="4E7254C8">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default"/>
                <w:sz w:val="24"/>
                <w:lang w:val="en-US" w:eastAsia="zh-CN"/>
              </w:rPr>
            </w:pPr>
            <w:r>
              <w:rPr>
                <w:rFonts w:hint="eastAsia"/>
                <w:sz w:val="24"/>
                <w:lang w:val="en-US" w:eastAsia="zh-CN"/>
              </w:rPr>
              <w:t>增加项目区周边绿化</w:t>
            </w:r>
          </w:p>
        </w:tc>
        <w:tc>
          <w:tcPr>
            <w:tcW w:w="1424" w:type="pct"/>
            <w:shd w:val="clear" w:color="auto" w:fill="auto"/>
            <w:vAlign w:val="center"/>
          </w:tcPr>
          <w:p w14:paraId="3AA6F316">
            <w:pPr>
              <w:keepNext w:val="0"/>
              <w:keepLines w:val="0"/>
              <w:pageBreakBefore w:val="0"/>
              <w:widowControl w:val="0"/>
              <w:kinsoku/>
              <w:wordWrap/>
              <w:overflowPunct/>
              <w:topLinePunct w:val="0"/>
              <w:autoSpaceDE/>
              <w:autoSpaceDN/>
              <w:bidi w:val="0"/>
              <w:adjustRightInd w:val="0"/>
              <w:snapToGrid w:val="0"/>
              <w:ind w:left="-42" w:leftChars="-20" w:right="-42" w:rightChars="-20"/>
              <w:jc w:val="left"/>
              <w:textAlignment w:val="auto"/>
              <w:rPr>
                <w:rFonts w:hint="default"/>
                <w:sz w:val="24"/>
                <w:lang w:val="en-US" w:eastAsia="zh-CN"/>
              </w:rPr>
            </w:pPr>
            <w:r>
              <w:rPr>
                <w:sz w:val="24"/>
              </w:rPr>
              <w:t>《恶臭污染物排放标准》（GB14554-1993</w:t>
            </w:r>
            <w:r>
              <w:rPr>
                <w:rFonts w:hint="eastAsia"/>
                <w:sz w:val="24"/>
                <w:lang w:eastAsia="zh-CN"/>
              </w:rPr>
              <w:t>）</w:t>
            </w:r>
            <w:r>
              <w:rPr>
                <w:sz w:val="24"/>
              </w:rPr>
              <w:t>中表</w:t>
            </w:r>
            <w:r>
              <w:rPr>
                <w:rFonts w:hint="eastAsia"/>
                <w:sz w:val="24"/>
                <w:lang w:val="en-US" w:eastAsia="zh-CN"/>
              </w:rPr>
              <w:t>1</w:t>
            </w:r>
            <w:r>
              <w:rPr>
                <w:sz w:val="24"/>
              </w:rPr>
              <w:t>恶臭污染物</w:t>
            </w:r>
            <w:r>
              <w:rPr>
                <w:rFonts w:hint="eastAsia"/>
                <w:sz w:val="24"/>
                <w:lang w:val="en-US" w:eastAsia="zh-CN"/>
              </w:rPr>
              <w:t>厂界</w:t>
            </w:r>
            <w:r>
              <w:rPr>
                <w:sz w:val="24"/>
              </w:rPr>
              <w:t>排放标准</w:t>
            </w:r>
          </w:p>
        </w:tc>
      </w:tr>
      <w:tr w14:paraId="7168A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731" w:type="pct"/>
            <w:vMerge w:val="restart"/>
            <w:vAlign w:val="center"/>
          </w:tcPr>
          <w:p w14:paraId="421437C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水环境</w:t>
            </w:r>
          </w:p>
        </w:tc>
        <w:tc>
          <w:tcPr>
            <w:tcW w:w="865" w:type="pct"/>
            <w:vAlign w:val="center"/>
          </w:tcPr>
          <w:p w14:paraId="66BD73A7">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r>
              <w:rPr>
                <w:sz w:val="24"/>
              </w:rPr>
              <w:t>生产废水</w:t>
            </w:r>
          </w:p>
        </w:tc>
        <w:tc>
          <w:tcPr>
            <w:tcW w:w="938" w:type="pct"/>
            <w:vAlign w:val="center"/>
          </w:tcPr>
          <w:p w14:paraId="6A059E63">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default" w:eastAsia="宋体"/>
                <w:sz w:val="24"/>
                <w:lang w:val="en-US" w:eastAsia="zh-CN"/>
              </w:rPr>
            </w:pPr>
            <w:r>
              <w:rPr>
                <w:rFonts w:hint="eastAsia"/>
                <w:sz w:val="24"/>
                <w:lang w:val="en-US" w:eastAsia="zh-CN"/>
              </w:rPr>
              <w:t>p</w:t>
            </w:r>
            <w:r>
              <w:rPr>
                <w:sz w:val="24"/>
              </w:rPr>
              <w:t>H、COD</w:t>
            </w:r>
            <w:r>
              <w:rPr>
                <w:rFonts w:hint="eastAsia"/>
                <w:sz w:val="24"/>
                <w:lang w:val="en-US" w:eastAsia="zh-CN"/>
              </w:rPr>
              <w:t>cr</w:t>
            </w:r>
            <w:r>
              <w:rPr>
                <w:sz w:val="24"/>
              </w:rPr>
              <w:t>、BOD</w:t>
            </w:r>
            <w:r>
              <w:rPr>
                <w:sz w:val="24"/>
                <w:vertAlign w:val="subscript"/>
              </w:rPr>
              <w:t>5</w:t>
            </w:r>
            <w:r>
              <w:rPr>
                <w:sz w:val="24"/>
              </w:rPr>
              <w:t>、SS、NH</w:t>
            </w:r>
            <w:r>
              <w:rPr>
                <w:sz w:val="24"/>
                <w:vertAlign w:val="subscript"/>
              </w:rPr>
              <w:t>3</w:t>
            </w:r>
            <w:r>
              <w:rPr>
                <w:sz w:val="24"/>
              </w:rPr>
              <w:t>-N</w:t>
            </w:r>
            <w:r>
              <w:rPr>
                <w:rFonts w:hint="eastAsia"/>
                <w:sz w:val="24"/>
                <w:lang w:eastAsia="zh-CN"/>
              </w:rPr>
              <w:t>、</w:t>
            </w:r>
            <w:r>
              <w:rPr>
                <w:rFonts w:hint="eastAsia"/>
                <w:sz w:val="24"/>
                <w:lang w:val="en-US" w:eastAsia="zh-CN"/>
              </w:rPr>
              <w:t>动植物油</w:t>
            </w:r>
          </w:p>
        </w:tc>
        <w:tc>
          <w:tcPr>
            <w:tcW w:w="1041" w:type="pct"/>
            <w:vAlign w:val="center"/>
          </w:tcPr>
          <w:p w14:paraId="389AE6C2">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default" w:eastAsia="宋体"/>
                <w:sz w:val="24"/>
                <w:lang w:val="en-US" w:eastAsia="zh-CN"/>
              </w:rPr>
            </w:pPr>
            <w:r>
              <w:rPr>
                <w:rFonts w:hint="eastAsia"/>
                <w:sz w:val="24"/>
                <w:lang w:val="en-US" w:eastAsia="zh-CN"/>
              </w:rPr>
              <w:t>项目区配套污水处理站处理后排入市政下水管网</w:t>
            </w:r>
          </w:p>
        </w:tc>
        <w:tc>
          <w:tcPr>
            <w:tcW w:w="1424" w:type="pct"/>
            <w:vMerge w:val="restart"/>
            <w:vAlign w:val="center"/>
          </w:tcPr>
          <w:p w14:paraId="563562F2">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eastAsia="宋体"/>
                <w:sz w:val="24"/>
                <w:lang w:val="en-US" w:eastAsia="zh-CN"/>
              </w:rPr>
            </w:pPr>
            <w:r>
              <w:rPr>
                <w:rFonts w:hint="eastAsia" w:eastAsia="宋体"/>
                <w:sz w:val="24"/>
                <w:lang w:eastAsia="zh-CN"/>
              </w:rPr>
              <w:t>《肉类加工工业水污染物排放标准》</w:t>
            </w:r>
            <w:r>
              <w:rPr>
                <w:rFonts w:hint="eastAsia"/>
                <w:sz w:val="24"/>
                <w:lang w:eastAsia="zh-CN"/>
              </w:rPr>
              <w:t>（</w:t>
            </w:r>
            <w:r>
              <w:rPr>
                <w:rFonts w:hint="eastAsia" w:eastAsia="宋体"/>
                <w:sz w:val="24"/>
                <w:lang w:eastAsia="zh-CN"/>
              </w:rPr>
              <w:t>GB13457-92</w:t>
            </w:r>
            <w:r>
              <w:rPr>
                <w:rFonts w:hint="eastAsia"/>
                <w:sz w:val="24"/>
                <w:lang w:eastAsia="zh-CN"/>
              </w:rPr>
              <w:t>）</w:t>
            </w:r>
            <w:r>
              <w:rPr>
                <w:rFonts w:hint="eastAsia" w:eastAsia="宋体"/>
                <w:sz w:val="24"/>
                <w:lang w:eastAsia="zh-CN"/>
              </w:rPr>
              <w:t>中表3三级排放</w:t>
            </w:r>
            <w:r>
              <w:rPr>
                <w:rFonts w:hint="eastAsia"/>
                <w:lang w:val="en-US" w:eastAsia="zh-CN"/>
              </w:rPr>
              <w:t>限值</w:t>
            </w:r>
          </w:p>
        </w:tc>
      </w:tr>
      <w:tr w14:paraId="341F2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31" w:type="pct"/>
            <w:vMerge w:val="continue"/>
            <w:vAlign w:val="center"/>
          </w:tcPr>
          <w:p w14:paraId="57C800CB">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p>
        </w:tc>
        <w:tc>
          <w:tcPr>
            <w:tcW w:w="865" w:type="pct"/>
            <w:vAlign w:val="center"/>
          </w:tcPr>
          <w:p w14:paraId="075C6E7A">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r>
              <w:rPr>
                <w:sz w:val="24"/>
              </w:rPr>
              <w:t>生活污水</w:t>
            </w:r>
          </w:p>
        </w:tc>
        <w:tc>
          <w:tcPr>
            <w:tcW w:w="938" w:type="pct"/>
            <w:vAlign w:val="center"/>
          </w:tcPr>
          <w:p w14:paraId="21E43B50">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sz w:val="24"/>
              </w:rPr>
            </w:pPr>
            <w:r>
              <w:rPr>
                <w:rFonts w:hint="eastAsia"/>
                <w:sz w:val="24"/>
                <w:lang w:val="en-US" w:eastAsia="zh-CN"/>
              </w:rPr>
              <w:t>p</w:t>
            </w:r>
            <w:r>
              <w:rPr>
                <w:sz w:val="24"/>
              </w:rPr>
              <w:t>H、COD</w:t>
            </w:r>
            <w:r>
              <w:rPr>
                <w:rFonts w:hint="eastAsia"/>
                <w:sz w:val="24"/>
                <w:lang w:val="en-US" w:eastAsia="zh-CN"/>
              </w:rPr>
              <w:t>cr</w:t>
            </w:r>
            <w:r>
              <w:rPr>
                <w:sz w:val="24"/>
              </w:rPr>
              <w:t>、BOD</w:t>
            </w:r>
            <w:r>
              <w:rPr>
                <w:sz w:val="24"/>
                <w:vertAlign w:val="subscript"/>
              </w:rPr>
              <w:t>5</w:t>
            </w:r>
            <w:r>
              <w:rPr>
                <w:sz w:val="24"/>
              </w:rPr>
              <w:t>、SS、NH</w:t>
            </w:r>
            <w:r>
              <w:rPr>
                <w:sz w:val="24"/>
                <w:vertAlign w:val="subscript"/>
              </w:rPr>
              <w:t>3</w:t>
            </w:r>
            <w:r>
              <w:rPr>
                <w:sz w:val="24"/>
              </w:rPr>
              <w:t>-N</w:t>
            </w:r>
          </w:p>
        </w:tc>
        <w:tc>
          <w:tcPr>
            <w:tcW w:w="1041" w:type="pct"/>
            <w:vAlign w:val="center"/>
          </w:tcPr>
          <w:p w14:paraId="24E2F101">
            <w:pPr>
              <w:keepNext w:val="0"/>
              <w:keepLines w:val="0"/>
              <w:pageBreakBefore w:val="0"/>
              <w:widowControl w:val="0"/>
              <w:kinsoku/>
              <w:wordWrap/>
              <w:overflowPunct/>
              <w:topLinePunct w:val="0"/>
              <w:autoSpaceDE/>
              <w:autoSpaceDN/>
              <w:bidi w:val="0"/>
              <w:adjustRightInd w:val="0"/>
              <w:snapToGrid w:val="0"/>
              <w:ind w:left="-42" w:leftChars="-20" w:right="-42" w:rightChars="-20"/>
              <w:jc w:val="both"/>
              <w:textAlignment w:val="auto"/>
              <w:rPr>
                <w:rFonts w:hint="eastAsia" w:eastAsia="宋体"/>
                <w:sz w:val="24"/>
                <w:lang w:val="en-US" w:eastAsia="zh-CN"/>
              </w:rPr>
            </w:pPr>
            <w:r>
              <w:rPr>
                <w:sz w:val="24"/>
              </w:rPr>
              <w:t>化粪池收集处理</w:t>
            </w:r>
            <w:r>
              <w:rPr>
                <w:rFonts w:hint="eastAsia"/>
                <w:sz w:val="24"/>
                <w:lang w:val="en-US" w:eastAsia="zh-CN"/>
              </w:rPr>
              <w:t>+项目区配套污水处理站处理后排入市政下水管网</w:t>
            </w:r>
          </w:p>
        </w:tc>
        <w:tc>
          <w:tcPr>
            <w:tcW w:w="1424" w:type="pct"/>
            <w:vMerge w:val="continue"/>
            <w:vAlign w:val="center"/>
          </w:tcPr>
          <w:p w14:paraId="448427B1">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eastAsia="宋体"/>
                <w:sz w:val="24"/>
                <w:lang w:eastAsia="zh-CN"/>
              </w:rPr>
            </w:pPr>
          </w:p>
        </w:tc>
      </w:tr>
      <w:tr w14:paraId="15865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731" w:type="pct"/>
            <w:vAlign w:val="center"/>
          </w:tcPr>
          <w:p w14:paraId="51CDF9E5">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声环境</w:t>
            </w:r>
          </w:p>
        </w:tc>
        <w:tc>
          <w:tcPr>
            <w:tcW w:w="865" w:type="pct"/>
            <w:vAlign w:val="center"/>
          </w:tcPr>
          <w:p w14:paraId="320419B7">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设备噪声</w:t>
            </w:r>
          </w:p>
        </w:tc>
        <w:tc>
          <w:tcPr>
            <w:tcW w:w="938" w:type="pct"/>
            <w:vAlign w:val="center"/>
          </w:tcPr>
          <w:p w14:paraId="213DB54B">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噪声</w:t>
            </w:r>
          </w:p>
        </w:tc>
        <w:tc>
          <w:tcPr>
            <w:tcW w:w="1041" w:type="pct"/>
            <w:vAlign w:val="center"/>
          </w:tcPr>
          <w:p w14:paraId="757A33ED">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选择低噪声设备、设备基础减振降噪、建筑隔声等</w:t>
            </w:r>
          </w:p>
        </w:tc>
        <w:tc>
          <w:tcPr>
            <w:tcW w:w="1424" w:type="pct"/>
            <w:vAlign w:val="center"/>
          </w:tcPr>
          <w:p w14:paraId="0172E97B">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rFonts w:hint="eastAsia" w:eastAsia="宋体"/>
                <w:sz w:val="24"/>
                <w:lang w:eastAsia="zh-CN"/>
              </w:rPr>
            </w:pPr>
            <w:r>
              <w:rPr>
                <w:sz w:val="24"/>
              </w:rPr>
              <w:t>《工业企业厂界环境噪声排放标准》（GB12348-2008</w:t>
            </w:r>
            <w:r>
              <w:rPr>
                <w:rFonts w:hint="eastAsia"/>
                <w:sz w:val="24"/>
                <w:lang w:eastAsia="zh-CN"/>
              </w:rPr>
              <w:t>）</w:t>
            </w:r>
          </w:p>
        </w:tc>
      </w:tr>
      <w:tr w14:paraId="7DD4C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31" w:type="pct"/>
            <w:vAlign w:val="center"/>
          </w:tcPr>
          <w:p w14:paraId="08B6BADD">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电磁辐射</w:t>
            </w:r>
          </w:p>
        </w:tc>
        <w:tc>
          <w:tcPr>
            <w:tcW w:w="865" w:type="pct"/>
            <w:vAlign w:val="center"/>
          </w:tcPr>
          <w:p w14:paraId="6D8A28F1">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w:t>
            </w:r>
          </w:p>
        </w:tc>
        <w:tc>
          <w:tcPr>
            <w:tcW w:w="938" w:type="pct"/>
            <w:vAlign w:val="center"/>
          </w:tcPr>
          <w:p w14:paraId="4A6B376C">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w:t>
            </w:r>
          </w:p>
        </w:tc>
        <w:tc>
          <w:tcPr>
            <w:tcW w:w="1041" w:type="pct"/>
            <w:vAlign w:val="center"/>
          </w:tcPr>
          <w:p w14:paraId="1F8D090B">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w:t>
            </w:r>
          </w:p>
        </w:tc>
        <w:tc>
          <w:tcPr>
            <w:tcW w:w="1424" w:type="pct"/>
            <w:vAlign w:val="center"/>
          </w:tcPr>
          <w:p w14:paraId="391B2748">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w:t>
            </w:r>
          </w:p>
        </w:tc>
      </w:tr>
      <w:tr w14:paraId="3F195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31" w:type="pct"/>
            <w:vAlign w:val="center"/>
          </w:tcPr>
          <w:p w14:paraId="2C48359F">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固体废物</w:t>
            </w:r>
          </w:p>
        </w:tc>
        <w:tc>
          <w:tcPr>
            <w:tcW w:w="4268" w:type="pct"/>
            <w:gridSpan w:val="4"/>
            <w:vAlign w:val="center"/>
          </w:tcPr>
          <w:p w14:paraId="31AE9C54">
            <w:pPr>
              <w:pStyle w:val="10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 w:leftChars="-20" w:right="-42" w:rightChars="-20"/>
              <w:textAlignment w:val="auto"/>
              <w:rPr>
                <w:sz w:val="24"/>
                <w:szCs w:val="24"/>
              </w:rPr>
            </w:pPr>
            <w:r>
              <w:rPr>
                <w:rFonts w:hint="eastAsia"/>
                <w:sz w:val="24"/>
                <w:szCs w:val="24"/>
                <w:lang w:val="en-US" w:eastAsia="zh-CN"/>
              </w:rPr>
              <w:t>①</w:t>
            </w:r>
            <w:r>
              <w:rPr>
                <w:sz w:val="24"/>
                <w:szCs w:val="24"/>
              </w:rPr>
              <w:t>生活垃圾：</w:t>
            </w:r>
            <w:r>
              <w:rPr>
                <w:rFonts w:hint="eastAsia"/>
                <w:sz w:val="24"/>
                <w:szCs w:val="24"/>
                <w:lang w:val="en-US" w:eastAsia="zh-CN"/>
              </w:rPr>
              <w:t>职工</w:t>
            </w:r>
            <w:r>
              <w:rPr>
                <w:sz w:val="24"/>
                <w:szCs w:val="24"/>
              </w:rPr>
              <w:t>生活垃圾集中收集交由环卫部门集中清运处理。</w:t>
            </w:r>
          </w:p>
          <w:p w14:paraId="517C9677">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textAlignment w:val="auto"/>
              <w:rPr>
                <w:sz w:val="24"/>
              </w:rPr>
            </w:pPr>
            <w:r>
              <w:rPr>
                <w:rFonts w:hint="eastAsia" w:ascii="宋体" w:hAnsi="宋体" w:cs="宋体"/>
                <w:sz w:val="24"/>
                <w:szCs w:val="24"/>
              </w:rPr>
              <w:t>②</w:t>
            </w:r>
            <w:r>
              <w:rPr>
                <w:color w:val="auto"/>
                <w:sz w:val="24"/>
                <w:szCs w:val="24"/>
              </w:rPr>
              <w:t>一般固废：本项目</w:t>
            </w:r>
            <w:r>
              <w:rPr>
                <w:rFonts w:hint="eastAsia"/>
                <w:color w:val="auto"/>
                <w:sz w:val="24"/>
                <w:szCs w:val="24"/>
                <w:lang w:val="en-US" w:eastAsia="zh-CN"/>
              </w:rPr>
              <w:t>运营期不合格产品、过期产品、隔油池油污、豆渣、生牛乳废渣分别收集后外售给肥料厂制造肥料；废卤渣收集后交由环卫部门处置；废包装材料收集后外售给废品回收站；软水制备的废RO膜更换时由厂家回收；废活性炭收集后暂存于危废贮存间定期交由有危废处置资质的单位处置；污水处理站污泥一部分用作活性污泥参与好氧系统培养活性菌，剩余部分脱水后拉运至垃圾填埋场填埋，均能够妥善处理。</w:t>
            </w:r>
          </w:p>
        </w:tc>
      </w:tr>
      <w:tr w14:paraId="1DF4D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1" w:type="pct"/>
            <w:vAlign w:val="center"/>
          </w:tcPr>
          <w:p w14:paraId="2C882D50">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土壤及地下水污染防治措施</w:t>
            </w:r>
          </w:p>
        </w:tc>
        <w:tc>
          <w:tcPr>
            <w:tcW w:w="4268" w:type="pct"/>
            <w:gridSpan w:val="4"/>
            <w:vAlign w:val="center"/>
          </w:tcPr>
          <w:p w14:paraId="42E3A10D">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根据《环境影响评价技术导则地下水环境》（HJ610-2016</w:t>
            </w:r>
            <w:r>
              <w:rPr>
                <w:rFonts w:hint="eastAsia"/>
                <w:sz w:val="24"/>
                <w:lang w:eastAsia="zh-CN"/>
              </w:rPr>
              <w:t>）</w:t>
            </w:r>
            <w:r>
              <w:rPr>
                <w:sz w:val="24"/>
              </w:rPr>
              <w:t>要求，各生产装置、辅助设施及公用工程设施在布置上按照污染物泄漏的可能，将厂区划分为重点防渗区、一般防渗区和简单防渗区。</w:t>
            </w:r>
          </w:p>
          <w:p w14:paraId="4F7D90EB">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根据不同的污染防治区采取相应的防渗措施，重点防渗区主要为污水处理站</w:t>
            </w:r>
            <w:r>
              <w:rPr>
                <w:rFonts w:hint="eastAsia"/>
                <w:sz w:val="24"/>
                <w:lang w:val="en-US" w:eastAsia="zh-CN"/>
              </w:rPr>
              <w:t>和危废暂存间</w:t>
            </w:r>
            <w:r>
              <w:rPr>
                <w:sz w:val="24"/>
              </w:rPr>
              <w:t>，防渗层防渗性能至少为等效黏土防渗层Mb≥6.0米、K≤1.0×10</w:t>
            </w:r>
            <w:r>
              <w:rPr>
                <w:sz w:val="24"/>
                <w:vertAlign w:val="superscript"/>
              </w:rPr>
              <w:t>-7</w:t>
            </w:r>
            <w:r>
              <w:rPr>
                <w:sz w:val="24"/>
              </w:rPr>
              <w:t>厘米/秒的防渗性能；一般防渗区生产车间，防渗层防渗性能至少为等效黏土防渗层Mb≥1.5米、K≤1.0×10</w:t>
            </w:r>
            <w:r>
              <w:rPr>
                <w:sz w:val="24"/>
                <w:vertAlign w:val="superscript"/>
              </w:rPr>
              <w:t>-7</w:t>
            </w:r>
            <w:r>
              <w:rPr>
                <w:sz w:val="24"/>
              </w:rPr>
              <w:t>厘米/秒的防渗性能；简单防渗区主要包括厂区道路、办公区、绿化带，采取一般性的地面硬化措施。生产运行过程中强化监控手段，定期检查，杜绝厂区内有事故性排放点源的存在，减少环境风险，同时严防危险废物原料、产品的跑、冒、滴、漏，保护项目区地下水资源。</w:t>
            </w:r>
          </w:p>
          <w:p w14:paraId="22D7224D">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落实地下水污染监控计划和风险防范措施，制定</w:t>
            </w:r>
            <w:r>
              <w:rPr>
                <w:rFonts w:hint="eastAsia"/>
                <w:sz w:val="24"/>
                <w:lang w:val="en-US" w:eastAsia="zh-CN"/>
              </w:rPr>
              <w:t>突发环境事件</w:t>
            </w:r>
            <w:r>
              <w:rPr>
                <w:sz w:val="24"/>
              </w:rPr>
              <w:t>应急预案，避免对地下水和土壤环境造成污染。</w:t>
            </w:r>
          </w:p>
        </w:tc>
      </w:tr>
      <w:tr w14:paraId="1CAE8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31" w:type="pct"/>
            <w:vAlign w:val="center"/>
          </w:tcPr>
          <w:p w14:paraId="385D1452">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生态保护措施</w:t>
            </w:r>
          </w:p>
        </w:tc>
        <w:tc>
          <w:tcPr>
            <w:tcW w:w="4268" w:type="pct"/>
            <w:gridSpan w:val="4"/>
            <w:vAlign w:val="center"/>
          </w:tcPr>
          <w:p w14:paraId="7E7AA5B2">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z w:val="24"/>
              </w:rPr>
            </w:pPr>
            <w:r>
              <w:rPr>
                <w:sz w:val="24"/>
              </w:rPr>
              <w:t>/</w:t>
            </w:r>
          </w:p>
        </w:tc>
      </w:tr>
      <w:tr w14:paraId="49177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31" w:type="pct"/>
            <w:vAlign w:val="center"/>
          </w:tcPr>
          <w:p w14:paraId="316E9DFA">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pacing w:val="-8"/>
                <w:sz w:val="24"/>
              </w:rPr>
            </w:pPr>
            <w:r>
              <w:rPr>
                <w:spacing w:val="-8"/>
                <w:sz w:val="24"/>
              </w:rPr>
              <w:t>环境风险</w:t>
            </w:r>
          </w:p>
          <w:p w14:paraId="1374D778">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pacing w:val="-8"/>
                <w:sz w:val="24"/>
              </w:rPr>
            </w:pPr>
            <w:r>
              <w:rPr>
                <w:spacing w:val="-8"/>
                <w:sz w:val="24"/>
              </w:rPr>
              <w:t>防范措施</w:t>
            </w:r>
          </w:p>
        </w:tc>
        <w:tc>
          <w:tcPr>
            <w:tcW w:w="4268" w:type="pct"/>
            <w:gridSpan w:val="4"/>
            <w:vAlign w:val="center"/>
          </w:tcPr>
          <w:p w14:paraId="2410983A">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污水处理站采取以下防范措施：</w:t>
            </w:r>
          </w:p>
          <w:p w14:paraId="7D12B157">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严格遵守各项安全规章制度，不违章作业，并制止他人违章作业，</w:t>
            </w:r>
          </w:p>
          <w:p w14:paraId="5FF5DE18">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有权拒绝违章作业。</w:t>
            </w:r>
          </w:p>
          <w:p w14:paraId="1805040C">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严格遵守各项操作规程精心操作，保证原始记录完整、准确可靠。</w:t>
            </w:r>
          </w:p>
          <w:p w14:paraId="6556EC12">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各级部门负责人及全体人员应牢记并做到“五同时”即：在计划、布置、检查、总结、评比生产工作的同时，要计划、布置、检查、总结、评比安全工作，实行“一票否决制”。</w:t>
            </w:r>
          </w:p>
          <w:p w14:paraId="20075772">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岗位设置规范化，物品摆放应符合有关规定。</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特别是各类警示标志</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p>
          <w:p w14:paraId="126BCEEB">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当班人员有权拒绝非本岗人员随意进入其岗位和动用其岗位任何物品，有权拒绝不熟练的人员接替其工作。</w:t>
            </w:r>
          </w:p>
          <w:p w14:paraId="7DD30303">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按时巡视检查,发现问题及时处理。发生事故要正确分析、判断，并及时向有关领导报告。</w:t>
            </w:r>
          </w:p>
          <w:p w14:paraId="72ADE54E">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正确使用、妥善保管各种防护用品和器具，按规定着装上岗。</w:t>
            </w:r>
          </w:p>
          <w:p w14:paraId="4B50C232">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新进厂的人员必须经“三级安全教育”并且考核合格方能上岗，特殊工种必须经过“特殊工种培训”，并取得相应“资格证”方能上岗。</w:t>
            </w:r>
          </w:p>
          <w:p w14:paraId="71C67456">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任何人不准带小孩进入生产区。</w:t>
            </w:r>
          </w:p>
          <w:p w14:paraId="2AD5302C">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加强设备维护，保持作业场所卫生、整洁。</w:t>
            </w:r>
          </w:p>
          <w:p w14:paraId="1A35414E">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firstLine="480" w:firstLineChars="200"/>
              <w:textAlignment w:val="auto"/>
              <w:rPr>
                <w:sz w:val="24"/>
              </w:rPr>
            </w:pPr>
            <w:r>
              <w:rPr>
                <w:rFonts w:hint="eastAsia" w:ascii="宋体" w:hAnsi="宋体" w:eastAsia="宋体" w:cs="宋体"/>
                <w:sz w:val="24"/>
                <w:szCs w:val="24"/>
                <w:lang w:val="en-US" w:eastAsia="zh-CN"/>
              </w:rPr>
              <w:t>10</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工作人员不得行走或站立在生产区非安全位置。经常检查走道板、护栏等，如有损坏或不牢固情况，立即汇报修理。</w:t>
            </w:r>
          </w:p>
        </w:tc>
      </w:tr>
      <w:tr w14:paraId="6EFD0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0" w:hRule="atLeast"/>
          <w:jc w:val="center"/>
        </w:trPr>
        <w:tc>
          <w:tcPr>
            <w:tcW w:w="731" w:type="pct"/>
            <w:vAlign w:val="center"/>
          </w:tcPr>
          <w:p w14:paraId="4F50D75C">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pacing w:val="-8"/>
                <w:sz w:val="24"/>
              </w:rPr>
            </w:pPr>
            <w:r>
              <w:rPr>
                <w:spacing w:val="-8"/>
                <w:sz w:val="24"/>
              </w:rPr>
              <w:t>其他环境</w:t>
            </w:r>
          </w:p>
          <w:p w14:paraId="01C0AEFD">
            <w:pPr>
              <w:keepNext w:val="0"/>
              <w:keepLines w:val="0"/>
              <w:pageBreakBefore w:val="0"/>
              <w:widowControl w:val="0"/>
              <w:kinsoku/>
              <w:wordWrap/>
              <w:overflowPunct/>
              <w:topLinePunct w:val="0"/>
              <w:autoSpaceDE/>
              <w:autoSpaceDN/>
              <w:bidi w:val="0"/>
              <w:adjustRightInd w:val="0"/>
              <w:snapToGrid w:val="0"/>
              <w:ind w:left="-42" w:leftChars="-20" w:right="-42" w:rightChars="-20"/>
              <w:jc w:val="center"/>
              <w:textAlignment w:val="auto"/>
              <w:rPr>
                <w:spacing w:val="-8"/>
                <w:sz w:val="24"/>
              </w:rPr>
            </w:pPr>
            <w:r>
              <w:rPr>
                <w:spacing w:val="-8"/>
                <w:sz w:val="24"/>
              </w:rPr>
              <w:t>管理要求</w:t>
            </w:r>
          </w:p>
        </w:tc>
        <w:tc>
          <w:tcPr>
            <w:tcW w:w="4268" w:type="pct"/>
            <w:gridSpan w:val="4"/>
            <w:vAlign w:val="center"/>
          </w:tcPr>
          <w:p w14:paraId="2E49E62E">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1、加强环境管理，确保环保设施正常、稳定运行，确保污染物达标排放。</w:t>
            </w:r>
          </w:p>
          <w:p w14:paraId="1A3922F5">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2、落实</w:t>
            </w:r>
            <w:r>
              <w:rPr>
                <w:rFonts w:hint="eastAsia"/>
                <w:sz w:val="24"/>
                <w:lang w:eastAsia="zh-CN"/>
              </w:rPr>
              <w:t>“</w:t>
            </w:r>
            <w:r>
              <w:rPr>
                <w:sz w:val="24"/>
              </w:rPr>
              <w:t>三同时</w:t>
            </w:r>
            <w:r>
              <w:rPr>
                <w:rFonts w:hint="eastAsia"/>
                <w:sz w:val="24"/>
                <w:lang w:eastAsia="zh-CN"/>
              </w:rPr>
              <w:t>”</w:t>
            </w:r>
            <w:r>
              <w:rPr>
                <w:sz w:val="24"/>
              </w:rPr>
              <w:t>制度，按照要求开展竣工环境保护验收。</w:t>
            </w:r>
          </w:p>
          <w:p w14:paraId="43961EC7">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sz w:val="24"/>
              </w:rPr>
            </w:pPr>
            <w:r>
              <w:rPr>
                <w:sz w:val="24"/>
              </w:rPr>
              <w:t>3、规定申请取得排污许可证</w:t>
            </w:r>
          </w:p>
          <w:p w14:paraId="19678E61">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rFonts w:hint="eastAsia"/>
                <w:sz w:val="24"/>
              </w:rPr>
            </w:pPr>
            <w:r>
              <w:rPr>
                <w:rFonts w:hint="eastAsia"/>
                <w:sz w:val="24"/>
                <w:lang w:eastAsia="zh-CN"/>
              </w:rPr>
              <w:t>（</w:t>
            </w:r>
            <w:r>
              <w:rPr>
                <w:rFonts w:hint="eastAsia"/>
                <w:sz w:val="24"/>
              </w:rPr>
              <w:t>1</w:t>
            </w:r>
            <w:r>
              <w:rPr>
                <w:rFonts w:hint="eastAsia"/>
                <w:sz w:val="24"/>
                <w:lang w:eastAsia="zh-CN"/>
              </w:rPr>
              <w:t>）</w:t>
            </w:r>
            <w:r>
              <w:rPr>
                <w:rFonts w:hint="eastAsia"/>
                <w:sz w:val="24"/>
              </w:rPr>
              <w:t>建设单位应根据《固定污染源排污许可分类管理名录</w:t>
            </w:r>
            <w:r>
              <w:rPr>
                <w:rFonts w:hint="eastAsia"/>
                <w:sz w:val="24"/>
                <w:lang w:eastAsia="zh-CN"/>
              </w:rPr>
              <w:t>（</w:t>
            </w:r>
            <w:r>
              <w:rPr>
                <w:rFonts w:hint="eastAsia"/>
                <w:sz w:val="24"/>
              </w:rPr>
              <w:t>2019年版</w:t>
            </w:r>
            <w:r>
              <w:rPr>
                <w:rFonts w:hint="eastAsia"/>
                <w:sz w:val="24"/>
                <w:lang w:eastAsia="zh-CN"/>
              </w:rPr>
              <w:t>）</w:t>
            </w:r>
            <w:r>
              <w:rPr>
                <w:rFonts w:hint="eastAsia"/>
                <w:sz w:val="24"/>
              </w:rPr>
              <w:t>》在产生实际排污行为之前依法中领排污许可手续，必须按批准的排放总量和浓度进行排放。</w:t>
            </w:r>
          </w:p>
          <w:p w14:paraId="0CF07F98">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rFonts w:hint="eastAsia"/>
                <w:sz w:val="24"/>
              </w:rPr>
            </w:pPr>
            <w:r>
              <w:rPr>
                <w:rFonts w:hint="eastAsia"/>
                <w:sz w:val="24"/>
                <w:lang w:eastAsia="zh-CN"/>
              </w:rPr>
              <w:t>（</w:t>
            </w:r>
            <w:r>
              <w:rPr>
                <w:rFonts w:hint="eastAsia"/>
                <w:sz w:val="24"/>
              </w:rPr>
              <w:t>2</w:t>
            </w:r>
            <w:r>
              <w:rPr>
                <w:rFonts w:hint="eastAsia"/>
                <w:sz w:val="24"/>
                <w:lang w:eastAsia="zh-CN"/>
              </w:rPr>
              <w:t>）</w:t>
            </w:r>
            <w:r>
              <w:rPr>
                <w:rFonts w:hint="eastAsia"/>
                <w:sz w:val="24"/>
              </w:rPr>
              <w:t>排污单位在申请排污许可前，应当将主要申请内容，通过国家排污许可证管理信息平台或者其他规定途径等便于公众知晓的方式向社会公开。</w:t>
            </w:r>
          </w:p>
          <w:p w14:paraId="51B75429">
            <w:pPr>
              <w:keepNext w:val="0"/>
              <w:keepLines w:val="0"/>
              <w:pageBreakBefore w:val="0"/>
              <w:widowControl w:val="0"/>
              <w:kinsoku/>
              <w:wordWrap/>
              <w:overflowPunct/>
              <w:topLinePunct w:val="0"/>
              <w:autoSpaceDE/>
              <w:autoSpaceDN/>
              <w:bidi w:val="0"/>
              <w:adjustRightInd w:val="0"/>
              <w:snapToGrid w:val="0"/>
              <w:spacing w:line="360" w:lineRule="auto"/>
              <w:ind w:left="-42" w:leftChars="-20" w:right="-42" w:rightChars="-20" w:firstLine="480" w:firstLineChars="200"/>
              <w:textAlignment w:val="auto"/>
              <w:rPr>
                <w:rFonts w:hint="eastAsia"/>
                <w:sz w:val="24"/>
              </w:rPr>
            </w:pPr>
            <w:r>
              <w:rPr>
                <w:rFonts w:hint="eastAsia"/>
                <w:sz w:val="24"/>
                <w:lang w:eastAsia="zh-CN"/>
              </w:rPr>
              <w:t>（</w:t>
            </w:r>
            <w:r>
              <w:rPr>
                <w:rFonts w:hint="eastAsia"/>
                <w:sz w:val="24"/>
              </w:rPr>
              <w:t>3</w:t>
            </w:r>
            <w:r>
              <w:rPr>
                <w:rFonts w:hint="eastAsia"/>
                <w:sz w:val="24"/>
                <w:lang w:eastAsia="zh-CN"/>
              </w:rPr>
              <w:t>）</w:t>
            </w:r>
            <w:r>
              <w:rPr>
                <w:rFonts w:hint="eastAsia"/>
                <w:sz w:val="24"/>
              </w:rPr>
              <w:t>排污单位应当在国家排污许可证管理信息平台上填报并提交排污许可证申请。</w:t>
            </w:r>
          </w:p>
          <w:p w14:paraId="3FCF252D">
            <w:pPr>
              <w:keepNext w:val="0"/>
              <w:keepLines w:val="0"/>
              <w:pageBreakBefore w:val="0"/>
              <w:widowControl w:val="0"/>
              <w:kinsoku/>
              <w:wordWrap/>
              <w:overflowPunct/>
              <w:topLinePunct w:val="0"/>
              <w:autoSpaceDE/>
              <w:autoSpaceDN/>
              <w:bidi w:val="0"/>
              <w:adjustRightInd w:val="0"/>
              <w:snapToGrid w:val="0"/>
              <w:spacing w:line="360" w:lineRule="auto"/>
              <w:ind w:right="-42" w:rightChars="-20" w:firstLine="480" w:firstLineChars="200"/>
              <w:textAlignment w:val="auto"/>
              <w:rPr>
                <w:sz w:val="24"/>
              </w:rPr>
            </w:pPr>
            <w:r>
              <w:rPr>
                <w:rFonts w:hint="eastAsia"/>
                <w:sz w:val="24"/>
                <w:lang w:eastAsia="zh-CN"/>
              </w:rPr>
              <w:t>（</w:t>
            </w:r>
            <w:r>
              <w:rPr>
                <w:rFonts w:hint="eastAsia"/>
                <w:sz w:val="24"/>
              </w:rPr>
              <w:t>4</w:t>
            </w:r>
            <w:r>
              <w:rPr>
                <w:rFonts w:hint="eastAsia"/>
                <w:sz w:val="24"/>
                <w:lang w:eastAsia="zh-CN"/>
              </w:rPr>
              <w:t>）</w:t>
            </w:r>
            <w:r>
              <w:rPr>
                <w:rFonts w:hint="eastAsia"/>
                <w:sz w:val="24"/>
              </w:rPr>
              <w:t>排污单位于每年年底申报下一年度正常作业条件下排放污染物种类,数量、浓度等情况，并提供与污染物排放有关的资料。</w:t>
            </w:r>
          </w:p>
        </w:tc>
      </w:tr>
    </w:tbl>
    <w:p w14:paraId="3EF63DC6">
      <w:pPr>
        <w:pStyle w:val="26"/>
        <w:rPr>
          <w:rFonts w:ascii="Times New Roman" w:hAnsi="Times New Roman" w:cs="Times New Roman"/>
          <w:snapToGrid w:val="0"/>
        </w:rPr>
      </w:pPr>
      <w:r>
        <w:rPr>
          <w:rFonts w:ascii="Times New Roman" w:hAnsi="Times New Roman" w:cs="Times New Roman"/>
          <w:snapToGrid w:val="0"/>
        </w:rPr>
        <w:br w:type="page"/>
      </w:r>
      <w:r>
        <w:rPr>
          <w:rFonts w:ascii="Times New Roman" w:hAnsi="Times New Roman" w:cs="Times New Roman"/>
          <w:snapToGrid w:val="0"/>
        </w:rPr>
        <w:t>六、结论</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5837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84" w:hRule="atLeast"/>
          <w:jc w:val="center"/>
        </w:trPr>
        <w:tc>
          <w:tcPr>
            <w:tcW w:w="5000" w:type="pct"/>
          </w:tcPr>
          <w:p w14:paraId="7233E8D4">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sz w:val="24"/>
              </w:rPr>
            </w:pPr>
            <w:r>
              <w:rPr>
                <w:rFonts w:hint="eastAsia"/>
                <w:sz w:val="24"/>
              </w:rPr>
              <w:t>根据上述分析，本项目建成后对周围环境造成废水、废气、噪声污染较小，建设单位若能在建成后切实落实本环评提出的各项环境污染防治措施，落实“三同时</w:t>
            </w:r>
            <w:r>
              <w:rPr>
                <w:rFonts w:hint="eastAsia"/>
                <w:sz w:val="24"/>
                <w:lang w:eastAsia="zh-CN"/>
              </w:rPr>
              <w:t>”</w:t>
            </w:r>
            <w:r>
              <w:rPr>
                <w:rFonts w:hint="eastAsia"/>
                <w:sz w:val="24"/>
              </w:rPr>
              <w:t>制度加强环境管理，确保污染物达标排放，则本项目建成投入使用后，对环境的影响是可以接受的。建设单位须严格遵守环保“三同时”制度，各项治理措施需自主验收合格后方可正式投入使用，在此前提下，本项目是可行的。</w:t>
            </w:r>
          </w:p>
          <w:p w14:paraId="174E64F8">
            <w:pPr>
              <w:spacing w:line="360" w:lineRule="auto"/>
              <w:rPr>
                <w:sz w:val="24"/>
              </w:rPr>
            </w:pPr>
          </w:p>
        </w:tc>
      </w:tr>
    </w:tbl>
    <w:p w14:paraId="5FBAEBAA">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9188FFC">
      <w:pPr>
        <w:pStyle w:val="25"/>
        <w:jc w:val="left"/>
        <w:rPr>
          <w:rFonts w:ascii="Times New Roman" w:hAnsi="Times New Roman"/>
          <w:snapToGrid w:val="0"/>
        </w:rPr>
      </w:pPr>
      <w:r>
        <w:rPr>
          <w:rFonts w:ascii="Times New Roman" w:hAnsi="Times New Roman"/>
          <w:snapToGrid w:val="0"/>
        </w:rPr>
        <w:t>附表</w:t>
      </w:r>
    </w:p>
    <w:p w14:paraId="2BD0EB2E">
      <w:pPr>
        <w:pStyle w:val="25"/>
        <w:rPr>
          <w:rFonts w:ascii="Times New Roman" w:hAnsi="Times New Roman"/>
          <w:snapToGrid w:val="0"/>
        </w:rPr>
      </w:pPr>
      <w:r>
        <w:rPr>
          <w:rFonts w:ascii="Times New Roman" w:hAnsi="Times New Roman"/>
          <w:snapToGrid w:val="0"/>
        </w:rPr>
        <w:t>建设项目污染物排放量汇总表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795"/>
        <w:gridCol w:w="1269"/>
        <w:gridCol w:w="1172"/>
        <w:gridCol w:w="1590"/>
        <w:gridCol w:w="1458"/>
        <w:gridCol w:w="1652"/>
        <w:gridCol w:w="1706"/>
        <w:gridCol w:w="1520"/>
      </w:tblGrid>
      <w:tr w14:paraId="47F5D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l2br w:val="single" w:color="auto" w:sz="4" w:space="0"/>
            </w:tcBorders>
            <w:tcMar>
              <w:left w:w="28" w:type="dxa"/>
              <w:right w:w="28" w:type="dxa"/>
            </w:tcMar>
            <w:vAlign w:val="center"/>
          </w:tcPr>
          <w:p w14:paraId="4BDB507D">
            <w:pPr>
              <w:pStyle w:val="42"/>
              <w:spacing w:beforeLines="0" w:afterLines="0" w:line="240" w:lineRule="auto"/>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14:paraId="439502B9">
            <w:pPr>
              <w:pStyle w:val="42"/>
              <w:spacing w:beforeLines="0" w:afterLines="0" w:line="240" w:lineRule="auto"/>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665" w:type="pct"/>
            <w:tcMar>
              <w:left w:w="28" w:type="dxa"/>
              <w:right w:w="28" w:type="dxa"/>
            </w:tcMar>
            <w:vAlign w:val="center"/>
          </w:tcPr>
          <w:p w14:paraId="24F15CAA">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470" w:type="pct"/>
            <w:tcMar>
              <w:left w:w="28" w:type="dxa"/>
              <w:right w:w="28" w:type="dxa"/>
            </w:tcMar>
            <w:vAlign w:val="center"/>
          </w:tcPr>
          <w:p w14:paraId="1D86B31B">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560C40F1">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hint="eastAsia" w:ascii="Times New Roman" w:hAnsi="Times New Roman" w:eastAsia="黑体" w:cs="Times New Roman"/>
                <w:snapToGrid w:val="0"/>
                <w:spacing w:val="-6"/>
                <w:kern w:val="21"/>
                <w:szCs w:val="21"/>
                <w:lang w:eastAsia="zh-CN"/>
              </w:rPr>
              <w:t>）</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kern w:val="2"/>
                <w:szCs w:val="21"/>
              </w:rPr>
              <w:t>①</w:t>
            </w:r>
            <w:r>
              <w:rPr>
                <w:rFonts w:ascii="Times New Roman" w:hAnsi="Times New Roman" w:eastAsia="黑体" w:cs="Times New Roman"/>
                <w:snapToGrid w:val="0"/>
                <w:spacing w:val="-6"/>
                <w:kern w:val="21"/>
                <w:szCs w:val="21"/>
              </w:rPr>
              <w:fldChar w:fldCharType="end"/>
            </w:r>
          </w:p>
        </w:tc>
        <w:tc>
          <w:tcPr>
            <w:tcW w:w="434" w:type="pct"/>
            <w:tcMar>
              <w:left w:w="28" w:type="dxa"/>
              <w:right w:w="28" w:type="dxa"/>
            </w:tcMar>
            <w:vAlign w:val="center"/>
          </w:tcPr>
          <w:p w14:paraId="71DA0947">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67FBB821">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14:paraId="3591081B">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589" w:type="pct"/>
            <w:tcMar>
              <w:left w:w="28" w:type="dxa"/>
              <w:right w:w="28" w:type="dxa"/>
            </w:tcMar>
            <w:vAlign w:val="center"/>
          </w:tcPr>
          <w:p w14:paraId="4768E228">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14:paraId="15BBB298">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hint="eastAsia" w:ascii="Times New Roman" w:hAnsi="Times New Roman" w:eastAsia="黑体" w:cs="Times New Roman"/>
                <w:snapToGrid w:val="0"/>
                <w:spacing w:val="-6"/>
                <w:kern w:val="21"/>
                <w:szCs w:val="21"/>
                <w:lang w:eastAsia="zh-CN"/>
              </w:rPr>
              <w:t>）</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kern w:val="2"/>
                <w:szCs w:val="21"/>
              </w:rPr>
              <w:t>③</w:t>
            </w:r>
            <w:r>
              <w:rPr>
                <w:rFonts w:ascii="Times New Roman" w:hAnsi="Times New Roman" w:eastAsia="黑体" w:cs="Times New Roman"/>
                <w:snapToGrid w:val="0"/>
                <w:spacing w:val="-6"/>
                <w:kern w:val="21"/>
                <w:szCs w:val="21"/>
              </w:rPr>
              <w:fldChar w:fldCharType="end"/>
            </w:r>
          </w:p>
        </w:tc>
        <w:tc>
          <w:tcPr>
            <w:tcW w:w="540" w:type="pct"/>
            <w:tcMar>
              <w:left w:w="28" w:type="dxa"/>
              <w:right w:w="28" w:type="dxa"/>
            </w:tcMar>
            <w:vAlign w:val="center"/>
          </w:tcPr>
          <w:p w14:paraId="69B7CAC8">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14:paraId="32C0F82D">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hint="eastAsia" w:ascii="Times New Roman" w:hAnsi="Times New Roman" w:eastAsia="黑体" w:cs="Times New Roman"/>
                <w:snapToGrid w:val="0"/>
                <w:spacing w:val="-6"/>
                <w:kern w:val="21"/>
                <w:szCs w:val="21"/>
                <w:lang w:eastAsia="zh-CN"/>
              </w:rPr>
              <w:t>）</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kern w:val="2"/>
                <w:szCs w:val="21"/>
              </w:rPr>
              <w:t>④</w:t>
            </w:r>
            <w:r>
              <w:rPr>
                <w:rFonts w:ascii="Times New Roman" w:hAnsi="Times New Roman" w:eastAsia="黑体" w:cs="Times New Roman"/>
                <w:snapToGrid w:val="0"/>
                <w:spacing w:val="-6"/>
                <w:kern w:val="21"/>
                <w:szCs w:val="21"/>
              </w:rPr>
              <w:fldChar w:fldCharType="end"/>
            </w:r>
          </w:p>
        </w:tc>
        <w:tc>
          <w:tcPr>
            <w:tcW w:w="612" w:type="pct"/>
            <w:tcMar>
              <w:left w:w="28" w:type="dxa"/>
              <w:right w:w="28" w:type="dxa"/>
            </w:tcMar>
            <w:vAlign w:val="center"/>
          </w:tcPr>
          <w:p w14:paraId="0C90DFD8">
            <w:pPr>
              <w:pStyle w:val="4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14:paraId="1F90A9E7">
            <w:pPr>
              <w:pStyle w:val="4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hint="eastAsia" w:ascii="Times New Roman" w:hAnsi="Times New Roman" w:eastAsia="黑体" w:cs="Times New Roman"/>
                <w:snapToGrid w:val="0"/>
                <w:spacing w:val="-16"/>
                <w:kern w:val="21"/>
                <w:szCs w:val="21"/>
                <w:lang w:eastAsia="zh-CN"/>
              </w:rPr>
              <w:t>）</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kern w:val="2"/>
                <w:szCs w:val="21"/>
              </w:rPr>
              <w:t>⑤</w:t>
            </w:r>
            <w:r>
              <w:rPr>
                <w:rFonts w:ascii="Times New Roman" w:hAnsi="Times New Roman" w:eastAsia="黑体" w:cs="Times New Roman"/>
                <w:snapToGrid w:val="0"/>
                <w:spacing w:val="-16"/>
                <w:kern w:val="21"/>
                <w:szCs w:val="21"/>
              </w:rPr>
              <w:fldChar w:fldCharType="end"/>
            </w:r>
          </w:p>
        </w:tc>
        <w:tc>
          <w:tcPr>
            <w:tcW w:w="632" w:type="pct"/>
            <w:tcMar>
              <w:left w:w="28" w:type="dxa"/>
              <w:right w:w="28" w:type="dxa"/>
            </w:tcMar>
            <w:vAlign w:val="center"/>
          </w:tcPr>
          <w:p w14:paraId="0A37980F">
            <w:pPr>
              <w:pStyle w:val="4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14:paraId="7590134E">
            <w:pPr>
              <w:pStyle w:val="42"/>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hint="eastAsia" w:ascii="Times New Roman" w:hAnsi="Times New Roman" w:eastAsia="黑体" w:cs="Times New Roman"/>
                <w:snapToGrid w:val="0"/>
                <w:spacing w:val="-16"/>
                <w:kern w:val="21"/>
                <w:szCs w:val="21"/>
                <w:lang w:eastAsia="zh-CN"/>
              </w:rPr>
              <w:t>）</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kern w:val="2"/>
                <w:szCs w:val="21"/>
              </w:rPr>
              <w:t>⑥</w:t>
            </w:r>
            <w:r>
              <w:rPr>
                <w:rFonts w:ascii="Times New Roman" w:hAnsi="Times New Roman" w:eastAsia="黑体" w:cs="Times New Roman"/>
                <w:snapToGrid w:val="0"/>
                <w:spacing w:val="-16"/>
                <w:kern w:val="21"/>
                <w:szCs w:val="21"/>
              </w:rPr>
              <w:fldChar w:fldCharType="end"/>
            </w:r>
          </w:p>
        </w:tc>
        <w:tc>
          <w:tcPr>
            <w:tcW w:w="563" w:type="pct"/>
            <w:tcMar>
              <w:left w:w="28" w:type="dxa"/>
              <w:right w:w="28" w:type="dxa"/>
            </w:tcMar>
            <w:vAlign w:val="center"/>
          </w:tcPr>
          <w:p w14:paraId="660B7C05">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14:paraId="16E778EF">
            <w:pPr>
              <w:pStyle w:val="42"/>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kern w:val="2"/>
                <w:szCs w:val="21"/>
              </w:rPr>
              <w:t>⑦</w:t>
            </w:r>
            <w:r>
              <w:rPr>
                <w:rFonts w:ascii="Times New Roman" w:hAnsi="Times New Roman" w:eastAsia="黑体" w:cs="Times New Roman"/>
                <w:snapToGrid w:val="0"/>
                <w:spacing w:val="-6"/>
                <w:kern w:val="21"/>
                <w:szCs w:val="21"/>
              </w:rPr>
              <w:fldChar w:fldCharType="end"/>
            </w:r>
          </w:p>
        </w:tc>
      </w:tr>
      <w:tr w14:paraId="3A43A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restart"/>
            <w:vAlign w:val="center"/>
          </w:tcPr>
          <w:p w14:paraId="3B307747">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665" w:type="pct"/>
            <w:vAlign w:val="center"/>
          </w:tcPr>
          <w:p w14:paraId="109CE053">
            <w:pPr>
              <w:pStyle w:val="42"/>
              <w:spacing w:beforeLines="0" w:afterLines="0"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油烟</w:t>
            </w:r>
          </w:p>
        </w:tc>
        <w:tc>
          <w:tcPr>
            <w:tcW w:w="470" w:type="pct"/>
            <w:vAlign w:val="center"/>
          </w:tcPr>
          <w:p w14:paraId="2220AED4">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3EB88749">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66E31CE6">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4CB8FA62">
            <w:pPr>
              <w:pStyle w:val="42"/>
              <w:spacing w:beforeLines="0" w:afterLines="0" w:line="240" w:lineRule="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0.15</w:t>
            </w:r>
            <w:r>
              <w:rPr>
                <w:rFonts w:ascii="Times New Roman" w:hAnsi="Times New Roman" w:cs="Times New Roman"/>
                <w:snapToGrid w:val="0"/>
                <w:color w:val="auto"/>
                <w:kern w:val="21"/>
                <w:szCs w:val="21"/>
                <w:lang w:val="en-US"/>
              </w:rPr>
              <w:t>t/a</w:t>
            </w:r>
          </w:p>
        </w:tc>
        <w:tc>
          <w:tcPr>
            <w:tcW w:w="612" w:type="pct"/>
            <w:vAlign w:val="center"/>
          </w:tcPr>
          <w:p w14:paraId="730CE777">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632" w:type="pct"/>
            <w:vAlign w:val="center"/>
          </w:tcPr>
          <w:p w14:paraId="11D490F2">
            <w:pPr>
              <w:pStyle w:val="42"/>
              <w:spacing w:beforeLines="0" w:afterLines="0" w:line="240" w:lineRule="auto"/>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0.15</w:t>
            </w:r>
            <w:r>
              <w:rPr>
                <w:rFonts w:ascii="Times New Roman" w:hAnsi="Times New Roman" w:cs="Times New Roman"/>
                <w:snapToGrid w:val="0"/>
                <w:kern w:val="21"/>
                <w:szCs w:val="21"/>
                <w:lang w:val="en-US"/>
              </w:rPr>
              <w:t>t/a</w:t>
            </w:r>
          </w:p>
        </w:tc>
        <w:tc>
          <w:tcPr>
            <w:tcW w:w="563" w:type="pct"/>
            <w:vAlign w:val="center"/>
          </w:tcPr>
          <w:p w14:paraId="06C2101B">
            <w:pPr>
              <w:pStyle w:val="42"/>
              <w:spacing w:beforeLines="0" w:afterLines="0" w:line="240" w:lineRule="auto"/>
              <w:rPr>
                <w:rFonts w:hint="default" w:eastAsia="宋体"/>
                <w:szCs w:val="21"/>
                <w:lang w:val="en-US" w:eastAsia="zh-CN"/>
              </w:rPr>
            </w:pPr>
            <w:r>
              <w:rPr>
                <w:rFonts w:hint="eastAsia" w:ascii="Times New Roman" w:hAnsi="Times New Roman" w:cs="Times New Roman"/>
                <w:szCs w:val="21"/>
                <w:lang w:val="en-US" w:eastAsia="zh-CN"/>
              </w:rPr>
              <w:t>+0.15</w:t>
            </w:r>
            <w:r>
              <w:rPr>
                <w:rFonts w:ascii="Times New Roman" w:hAnsi="Times New Roman" w:cs="Times New Roman"/>
                <w:snapToGrid w:val="0"/>
                <w:kern w:val="21"/>
                <w:szCs w:val="21"/>
                <w:lang w:val="en-US"/>
              </w:rPr>
              <w:t>t/a</w:t>
            </w:r>
          </w:p>
        </w:tc>
      </w:tr>
      <w:tr w14:paraId="77853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06DD8866">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76B39E63">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H</w:t>
            </w:r>
            <w:r>
              <w:rPr>
                <w:rFonts w:ascii="Times New Roman" w:hAnsi="Times New Roman" w:cs="Times New Roman"/>
                <w:snapToGrid w:val="0"/>
                <w:kern w:val="21"/>
                <w:szCs w:val="21"/>
                <w:vertAlign w:val="subscript"/>
                <w:lang w:val="en-US"/>
              </w:rPr>
              <w:t>2</w:t>
            </w:r>
            <w:r>
              <w:rPr>
                <w:rFonts w:ascii="Times New Roman" w:hAnsi="Times New Roman" w:cs="Times New Roman"/>
                <w:snapToGrid w:val="0"/>
                <w:kern w:val="21"/>
                <w:szCs w:val="21"/>
                <w:lang w:val="en-US"/>
              </w:rPr>
              <w:t>S</w:t>
            </w:r>
          </w:p>
        </w:tc>
        <w:tc>
          <w:tcPr>
            <w:tcW w:w="470" w:type="pct"/>
            <w:vAlign w:val="center"/>
          </w:tcPr>
          <w:p w14:paraId="02FD6E86">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186C92FE">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578CF5E7">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662B3084">
            <w:pPr>
              <w:adjustRightInd w:val="0"/>
              <w:snapToGrid w:val="0"/>
              <w:jc w:val="center"/>
              <w:rPr>
                <w:rFonts w:hint="default" w:eastAsia="宋体"/>
                <w:color w:val="auto"/>
                <w:szCs w:val="21"/>
                <w:lang w:val="en-US" w:eastAsia="zh-CN"/>
              </w:rPr>
            </w:pPr>
            <w:r>
              <w:rPr>
                <w:rFonts w:hint="eastAsia"/>
                <w:color w:val="auto"/>
                <w:szCs w:val="21"/>
                <w:lang w:val="en-US" w:eastAsia="zh-CN"/>
              </w:rPr>
              <w:t>0.0032</w:t>
            </w:r>
            <w:r>
              <w:rPr>
                <w:rFonts w:ascii="Times New Roman" w:hAnsi="Times New Roman" w:cs="Times New Roman"/>
                <w:snapToGrid w:val="0"/>
                <w:color w:val="auto"/>
                <w:kern w:val="21"/>
                <w:szCs w:val="21"/>
                <w:lang w:val="en-US"/>
              </w:rPr>
              <w:t>t/a</w:t>
            </w:r>
          </w:p>
        </w:tc>
        <w:tc>
          <w:tcPr>
            <w:tcW w:w="612" w:type="pct"/>
            <w:vAlign w:val="center"/>
          </w:tcPr>
          <w:p w14:paraId="2354A4B2">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632" w:type="pct"/>
            <w:vAlign w:val="center"/>
          </w:tcPr>
          <w:p w14:paraId="062ECBDF">
            <w:pPr>
              <w:adjustRightInd w:val="0"/>
              <w:snapToGrid w:val="0"/>
              <w:jc w:val="center"/>
              <w:rPr>
                <w:szCs w:val="21"/>
              </w:rPr>
            </w:pPr>
            <w:r>
              <w:rPr>
                <w:szCs w:val="21"/>
              </w:rPr>
              <w:t>0.0</w:t>
            </w:r>
            <w:r>
              <w:rPr>
                <w:rFonts w:hint="eastAsia"/>
                <w:szCs w:val="21"/>
                <w:lang w:val="en-US" w:eastAsia="zh-CN"/>
              </w:rPr>
              <w:t>00016</w:t>
            </w:r>
            <w:r>
              <w:rPr>
                <w:rFonts w:ascii="Times New Roman" w:hAnsi="Times New Roman" w:cs="Times New Roman"/>
                <w:snapToGrid w:val="0"/>
                <w:kern w:val="21"/>
                <w:szCs w:val="21"/>
                <w:lang w:val="en-US"/>
              </w:rPr>
              <w:t>t/a</w:t>
            </w:r>
          </w:p>
        </w:tc>
        <w:tc>
          <w:tcPr>
            <w:tcW w:w="563" w:type="pct"/>
            <w:vAlign w:val="center"/>
          </w:tcPr>
          <w:p w14:paraId="541E3C00">
            <w:pPr>
              <w:adjustRightInd w:val="0"/>
              <w:snapToGrid w:val="0"/>
              <w:jc w:val="center"/>
              <w:rPr>
                <w:szCs w:val="21"/>
              </w:rPr>
            </w:pPr>
            <w:r>
              <w:rPr>
                <w:rFonts w:hint="eastAsia"/>
                <w:szCs w:val="21"/>
                <w:lang w:val="en-US" w:eastAsia="zh-CN"/>
              </w:rPr>
              <w:t>+</w:t>
            </w:r>
            <w:r>
              <w:rPr>
                <w:szCs w:val="21"/>
              </w:rPr>
              <w:t>0.0</w:t>
            </w:r>
            <w:r>
              <w:rPr>
                <w:rFonts w:hint="eastAsia"/>
                <w:szCs w:val="21"/>
                <w:lang w:val="en-US" w:eastAsia="zh-CN"/>
              </w:rPr>
              <w:t>00016</w:t>
            </w:r>
            <w:r>
              <w:rPr>
                <w:rFonts w:ascii="Times New Roman" w:hAnsi="Times New Roman" w:cs="Times New Roman"/>
                <w:snapToGrid w:val="0"/>
                <w:kern w:val="21"/>
                <w:szCs w:val="21"/>
                <w:lang w:val="en-US"/>
              </w:rPr>
              <w:t>t/a</w:t>
            </w:r>
          </w:p>
        </w:tc>
      </w:tr>
      <w:tr w14:paraId="2B035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39B627B5">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42D27ABD">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NH</w:t>
            </w:r>
            <w:r>
              <w:rPr>
                <w:rFonts w:ascii="Times New Roman" w:hAnsi="Times New Roman" w:cs="Times New Roman"/>
                <w:snapToGrid w:val="0"/>
                <w:kern w:val="21"/>
                <w:szCs w:val="21"/>
                <w:vertAlign w:val="subscript"/>
                <w:lang w:val="en-US"/>
              </w:rPr>
              <w:t>3</w:t>
            </w:r>
          </w:p>
        </w:tc>
        <w:tc>
          <w:tcPr>
            <w:tcW w:w="470" w:type="pct"/>
            <w:vAlign w:val="center"/>
          </w:tcPr>
          <w:p w14:paraId="6FF2FEF9">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3833CEF1">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154459B4">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0217ADEB">
            <w:pPr>
              <w:adjustRightInd w:val="0"/>
              <w:snapToGrid w:val="0"/>
              <w:jc w:val="center"/>
              <w:rPr>
                <w:rFonts w:hint="default" w:eastAsia="宋体"/>
                <w:color w:val="auto"/>
                <w:szCs w:val="21"/>
                <w:lang w:val="en-US" w:eastAsia="zh-CN"/>
              </w:rPr>
            </w:pPr>
            <w:r>
              <w:rPr>
                <w:rFonts w:hint="eastAsia"/>
                <w:color w:val="auto"/>
                <w:szCs w:val="21"/>
                <w:lang w:val="en-US" w:eastAsia="zh-CN"/>
              </w:rPr>
              <w:t>0.047</w:t>
            </w:r>
            <w:r>
              <w:rPr>
                <w:rFonts w:ascii="Times New Roman" w:hAnsi="Times New Roman" w:cs="Times New Roman"/>
                <w:snapToGrid w:val="0"/>
                <w:color w:val="auto"/>
                <w:kern w:val="21"/>
                <w:szCs w:val="21"/>
                <w:lang w:val="en-US"/>
              </w:rPr>
              <w:t>t/a</w:t>
            </w:r>
          </w:p>
        </w:tc>
        <w:tc>
          <w:tcPr>
            <w:tcW w:w="612" w:type="pct"/>
            <w:vAlign w:val="center"/>
          </w:tcPr>
          <w:p w14:paraId="4E57FB26">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632" w:type="pct"/>
            <w:vAlign w:val="center"/>
          </w:tcPr>
          <w:p w14:paraId="75008F6A">
            <w:pPr>
              <w:adjustRightInd w:val="0"/>
              <w:snapToGrid w:val="0"/>
              <w:jc w:val="center"/>
              <w:rPr>
                <w:szCs w:val="21"/>
              </w:rPr>
            </w:pPr>
            <w:r>
              <w:rPr>
                <w:rFonts w:hint="eastAsia"/>
                <w:szCs w:val="21"/>
                <w:lang w:val="en-US" w:eastAsia="zh-CN"/>
              </w:rPr>
              <w:t>0.005</w:t>
            </w:r>
            <w:r>
              <w:rPr>
                <w:rFonts w:ascii="Times New Roman" w:hAnsi="Times New Roman" w:cs="Times New Roman"/>
                <w:snapToGrid w:val="0"/>
                <w:kern w:val="21"/>
                <w:szCs w:val="21"/>
                <w:lang w:val="en-US"/>
              </w:rPr>
              <w:t>t/a</w:t>
            </w:r>
          </w:p>
        </w:tc>
        <w:tc>
          <w:tcPr>
            <w:tcW w:w="563" w:type="pct"/>
            <w:vAlign w:val="center"/>
          </w:tcPr>
          <w:p w14:paraId="0C95B21A">
            <w:pPr>
              <w:adjustRightInd w:val="0"/>
              <w:snapToGrid w:val="0"/>
              <w:jc w:val="center"/>
              <w:rPr>
                <w:szCs w:val="21"/>
              </w:rPr>
            </w:pPr>
            <w:r>
              <w:rPr>
                <w:rFonts w:hint="eastAsia"/>
                <w:szCs w:val="21"/>
                <w:lang w:val="en-US" w:eastAsia="zh-CN"/>
              </w:rPr>
              <w:t>+0.005</w:t>
            </w:r>
            <w:r>
              <w:rPr>
                <w:rFonts w:ascii="Times New Roman" w:hAnsi="Times New Roman" w:cs="Times New Roman"/>
                <w:snapToGrid w:val="0"/>
                <w:kern w:val="21"/>
                <w:szCs w:val="21"/>
                <w:lang w:val="en-US"/>
              </w:rPr>
              <w:t>t/a</w:t>
            </w:r>
          </w:p>
        </w:tc>
      </w:tr>
      <w:tr w14:paraId="6DDDC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restart"/>
            <w:vAlign w:val="center"/>
          </w:tcPr>
          <w:p w14:paraId="31BDF2DE">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665" w:type="pct"/>
            <w:vAlign w:val="center"/>
          </w:tcPr>
          <w:p w14:paraId="3E91D6BE">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生产废水</w:t>
            </w:r>
          </w:p>
        </w:tc>
        <w:tc>
          <w:tcPr>
            <w:tcW w:w="470" w:type="pct"/>
            <w:vAlign w:val="center"/>
          </w:tcPr>
          <w:p w14:paraId="4B3F9172">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68C8C184">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19FE0878">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7CD7D449">
            <w:pPr>
              <w:pStyle w:val="42"/>
              <w:spacing w:beforeLines="0" w:afterLines="0" w:line="240" w:lineRule="auto"/>
              <w:rPr>
                <w:rFonts w:ascii="Times New Roman" w:hAnsi="Times New Roman" w:cs="Times New Roman"/>
                <w:color w:val="auto"/>
                <w:szCs w:val="21"/>
                <w:lang w:val="en-US"/>
              </w:rPr>
            </w:pPr>
            <w:r>
              <w:rPr>
                <w:rFonts w:hint="eastAsia" w:ascii="Times New Roman" w:hAnsi="Times New Roman" w:cs="Times New Roman"/>
                <w:color w:val="auto"/>
                <w:szCs w:val="21"/>
                <w:lang w:val="en-US" w:eastAsia="zh-CN"/>
              </w:rPr>
              <w:t>23695</w:t>
            </w:r>
            <w:r>
              <w:rPr>
                <w:rFonts w:ascii="Times New Roman" w:hAnsi="Times New Roman" w:cs="Times New Roman"/>
                <w:color w:val="auto"/>
                <w:szCs w:val="21"/>
                <w:lang w:val="en-US"/>
              </w:rPr>
              <w:t>m</w:t>
            </w:r>
            <w:r>
              <w:rPr>
                <w:rFonts w:ascii="Times New Roman" w:hAnsi="Times New Roman" w:cs="Times New Roman"/>
                <w:color w:val="auto"/>
                <w:szCs w:val="21"/>
                <w:vertAlign w:val="superscript"/>
                <w:lang w:val="en-US"/>
              </w:rPr>
              <w:t>3</w:t>
            </w:r>
            <w:r>
              <w:rPr>
                <w:rFonts w:ascii="Times New Roman" w:hAnsi="Times New Roman" w:cs="Times New Roman"/>
                <w:color w:val="auto"/>
                <w:szCs w:val="21"/>
                <w:lang w:val="en-US"/>
              </w:rPr>
              <w:t>/a</w:t>
            </w:r>
          </w:p>
        </w:tc>
        <w:tc>
          <w:tcPr>
            <w:tcW w:w="612" w:type="pct"/>
            <w:vAlign w:val="center"/>
          </w:tcPr>
          <w:p w14:paraId="1A4CF266">
            <w:pPr>
              <w:pStyle w:val="42"/>
              <w:spacing w:beforeLines="0" w:afterLines="0" w:line="240" w:lineRule="auto"/>
              <w:rPr>
                <w:rFonts w:ascii="Times New Roman" w:hAnsi="Times New Roman" w:cs="Times New Roman"/>
                <w:szCs w:val="21"/>
                <w:lang w:val="en-US"/>
              </w:rPr>
            </w:pPr>
            <w:r>
              <w:rPr>
                <w:rFonts w:ascii="Times New Roman" w:hAnsi="Times New Roman" w:cs="Times New Roman"/>
                <w:szCs w:val="21"/>
                <w:lang w:val="en-US"/>
              </w:rPr>
              <w:t>0</w:t>
            </w:r>
          </w:p>
        </w:tc>
        <w:tc>
          <w:tcPr>
            <w:tcW w:w="632" w:type="pct"/>
            <w:vAlign w:val="center"/>
          </w:tcPr>
          <w:p w14:paraId="7DF633C5">
            <w:pPr>
              <w:pStyle w:val="42"/>
              <w:spacing w:beforeLines="0" w:afterLines="0" w:line="240" w:lineRule="auto"/>
              <w:rPr>
                <w:rFonts w:ascii="Times New Roman" w:hAnsi="Times New Roman" w:cs="Times New Roman"/>
                <w:szCs w:val="21"/>
                <w:lang w:val="en-US"/>
              </w:rPr>
            </w:pPr>
            <w:r>
              <w:rPr>
                <w:rFonts w:hint="eastAsia" w:ascii="Times New Roman" w:hAnsi="Times New Roman" w:cs="Times New Roman"/>
                <w:szCs w:val="21"/>
                <w:lang w:val="en-US" w:eastAsia="zh-CN"/>
              </w:rPr>
              <w:t>23695</w:t>
            </w:r>
            <w:r>
              <w:rPr>
                <w:rFonts w:ascii="Times New Roman" w:hAnsi="Times New Roman" w:cs="Times New Roman"/>
                <w:szCs w:val="21"/>
                <w:lang w:val="en-US"/>
              </w:rPr>
              <w:t>m</w:t>
            </w:r>
            <w:r>
              <w:rPr>
                <w:rFonts w:ascii="Times New Roman" w:hAnsi="Times New Roman" w:cs="Times New Roman"/>
                <w:szCs w:val="21"/>
                <w:vertAlign w:val="superscript"/>
                <w:lang w:val="en-US"/>
              </w:rPr>
              <w:t>3</w:t>
            </w:r>
            <w:r>
              <w:rPr>
                <w:rFonts w:ascii="Times New Roman" w:hAnsi="Times New Roman" w:cs="Times New Roman"/>
                <w:szCs w:val="21"/>
                <w:lang w:val="en-US"/>
              </w:rPr>
              <w:t>/a</w:t>
            </w:r>
          </w:p>
        </w:tc>
        <w:tc>
          <w:tcPr>
            <w:tcW w:w="563" w:type="pct"/>
            <w:vAlign w:val="center"/>
          </w:tcPr>
          <w:p w14:paraId="31936F95">
            <w:pPr>
              <w:jc w:val="center"/>
              <w:rPr>
                <w:snapToGrid w:val="0"/>
                <w:kern w:val="21"/>
                <w:szCs w:val="21"/>
              </w:rPr>
            </w:pPr>
            <w:r>
              <w:rPr>
                <w:szCs w:val="21"/>
              </w:rPr>
              <w:t>+</w:t>
            </w:r>
            <w:r>
              <w:rPr>
                <w:rFonts w:hint="eastAsia"/>
                <w:szCs w:val="21"/>
                <w:lang w:val="en-US" w:eastAsia="zh-CN"/>
              </w:rPr>
              <w:t>23695</w:t>
            </w:r>
            <w:r>
              <w:rPr>
                <w:szCs w:val="21"/>
              </w:rPr>
              <w:t>m</w:t>
            </w:r>
            <w:r>
              <w:rPr>
                <w:szCs w:val="21"/>
                <w:vertAlign w:val="superscript"/>
              </w:rPr>
              <w:t>3</w:t>
            </w:r>
            <w:r>
              <w:rPr>
                <w:szCs w:val="21"/>
              </w:rPr>
              <w:t>/a</w:t>
            </w:r>
          </w:p>
        </w:tc>
      </w:tr>
      <w:tr w14:paraId="25B7C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7EFB72D4">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08C4FFE8">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生活废水</w:t>
            </w:r>
          </w:p>
        </w:tc>
        <w:tc>
          <w:tcPr>
            <w:tcW w:w="470" w:type="pct"/>
            <w:vAlign w:val="center"/>
          </w:tcPr>
          <w:p w14:paraId="2702C901">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6C028CF3">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2A3AF412">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6111AAA5">
            <w:pPr>
              <w:pStyle w:val="42"/>
              <w:spacing w:beforeLines="0" w:afterLines="0" w:line="240" w:lineRule="auto"/>
              <w:rPr>
                <w:rFonts w:ascii="Times New Roman" w:hAnsi="Times New Roman" w:cs="Times New Roman"/>
                <w:snapToGrid w:val="0"/>
                <w:color w:val="auto"/>
                <w:kern w:val="21"/>
                <w:szCs w:val="21"/>
                <w:lang w:val="en-US"/>
              </w:rPr>
            </w:pPr>
            <w:r>
              <w:rPr>
                <w:rFonts w:hint="eastAsia" w:ascii="Times New Roman" w:hAnsi="Times New Roman" w:cs="Times New Roman"/>
                <w:snapToGrid w:val="0"/>
                <w:color w:val="auto"/>
                <w:kern w:val="21"/>
                <w:szCs w:val="21"/>
                <w:lang w:val="en-US" w:eastAsia="zh-CN"/>
              </w:rPr>
              <w:t>648</w:t>
            </w:r>
            <w:r>
              <w:rPr>
                <w:rFonts w:ascii="Times New Roman" w:hAnsi="Times New Roman" w:cs="Times New Roman"/>
                <w:snapToGrid w:val="0"/>
                <w:color w:val="auto"/>
                <w:kern w:val="21"/>
                <w:szCs w:val="21"/>
                <w:lang w:val="en-US"/>
              </w:rPr>
              <w:t>m</w:t>
            </w:r>
            <w:r>
              <w:rPr>
                <w:rFonts w:ascii="Times New Roman" w:hAnsi="Times New Roman" w:cs="Times New Roman"/>
                <w:snapToGrid w:val="0"/>
                <w:color w:val="auto"/>
                <w:kern w:val="21"/>
                <w:szCs w:val="21"/>
                <w:vertAlign w:val="superscript"/>
                <w:lang w:val="en-US"/>
              </w:rPr>
              <w:t>3</w:t>
            </w:r>
            <w:r>
              <w:rPr>
                <w:rFonts w:ascii="Times New Roman" w:hAnsi="Times New Roman" w:cs="Times New Roman"/>
                <w:snapToGrid w:val="0"/>
                <w:color w:val="auto"/>
                <w:kern w:val="21"/>
                <w:szCs w:val="21"/>
                <w:lang w:val="en-US"/>
              </w:rPr>
              <w:t>/a</w:t>
            </w:r>
          </w:p>
        </w:tc>
        <w:tc>
          <w:tcPr>
            <w:tcW w:w="612" w:type="pct"/>
            <w:vAlign w:val="center"/>
          </w:tcPr>
          <w:p w14:paraId="7D6C7D4C">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632" w:type="pct"/>
            <w:vAlign w:val="center"/>
          </w:tcPr>
          <w:p w14:paraId="43BE729C">
            <w:pPr>
              <w:pStyle w:val="42"/>
              <w:spacing w:beforeLines="0" w:afterLines="0" w:line="240" w:lineRule="auto"/>
              <w:rPr>
                <w:rFonts w:ascii="Times New Roman" w:hAnsi="Times New Roman" w:cs="Times New Roman"/>
                <w:snapToGrid w:val="0"/>
                <w:kern w:val="21"/>
                <w:szCs w:val="21"/>
                <w:lang w:val="en-US"/>
              </w:rPr>
            </w:pPr>
            <w:r>
              <w:rPr>
                <w:rFonts w:hint="eastAsia" w:ascii="Times New Roman" w:hAnsi="Times New Roman" w:cs="Times New Roman"/>
                <w:snapToGrid w:val="0"/>
                <w:kern w:val="21"/>
                <w:szCs w:val="21"/>
                <w:lang w:val="en-US" w:eastAsia="zh-CN"/>
              </w:rPr>
              <w:t>432</w:t>
            </w:r>
            <w:r>
              <w:rPr>
                <w:rFonts w:ascii="Times New Roman" w:hAnsi="Times New Roman" w:cs="Times New Roman"/>
                <w:snapToGrid w:val="0"/>
                <w:kern w:val="21"/>
                <w:szCs w:val="21"/>
                <w:lang w:val="en-US"/>
              </w:rPr>
              <w:t>m</w:t>
            </w:r>
            <w:r>
              <w:rPr>
                <w:rFonts w:ascii="Times New Roman" w:hAnsi="Times New Roman" w:cs="Times New Roman"/>
                <w:snapToGrid w:val="0"/>
                <w:kern w:val="21"/>
                <w:szCs w:val="21"/>
                <w:vertAlign w:val="superscript"/>
                <w:lang w:val="en-US"/>
              </w:rPr>
              <w:t>3</w:t>
            </w:r>
            <w:r>
              <w:rPr>
                <w:rFonts w:ascii="Times New Roman" w:hAnsi="Times New Roman" w:cs="Times New Roman"/>
                <w:snapToGrid w:val="0"/>
                <w:kern w:val="21"/>
                <w:szCs w:val="21"/>
                <w:lang w:val="en-US"/>
              </w:rPr>
              <w:t>/a</w:t>
            </w:r>
          </w:p>
        </w:tc>
        <w:tc>
          <w:tcPr>
            <w:tcW w:w="563" w:type="pct"/>
            <w:vAlign w:val="center"/>
          </w:tcPr>
          <w:p w14:paraId="440FA043">
            <w:pPr>
              <w:jc w:val="center"/>
              <w:rPr>
                <w:snapToGrid w:val="0"/>
                <w:kern w:val="21"/>
                <w:szCs w:val="21"/>
              </w:rPr>
            </w:pPr>
            <w:r>
              <w:rPr>
                <w:szCs w:val="21"/>
              </w:rPr>
              <w:t>+</w:t>
            </w:r>
            <w:r>
              <w:rPr>
                <w:rFonts w:hint="eastAsia"/>
                <w:snapToGrid w:val="0"/>
                <w:kern w:val="21"/>
                <w:szCs w:val="21"/>
                <w:lang w:eastAsia="zh-CN"/>
              </w:rPr>
              <w:t>432</w:t>
            </w:r>
            <w:r>
              <w:rPr>
                <w:snapToGrid w:val="0"/>
                <w:kern w:val="21"/>
                <w:szCs w:val="21"/>
              </w:rPr>
              <w:t>m</w:t>
            </w:r>
            <w:r>
              <w:rPr>
                <w:snapToGrid w:val="0"/>
                <w:kern w:val="21"/>
                <w:szCs w:val="21"/>
                <w:vertAlign w:val="superscript"/>
              </w:rPr>
              <w:t>3</w:t>
            </w:r>
            <w:r>
              <w:rPr>
                <w:snapToGrid w:val="0"/>
                <w:kern w:val="21"/>
                <w:szCs w:val="21"/>
              </w:rPr>
              <w:t>/a</w:t>
            </w:r>
          </w:p>
        </w:tc>
      </w:tr>
      <w:tr w14:paraId="18C76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restart"/>
            <w:vAlign w:val="center"/>
          </w:tcPr>
          <w:p w14:paraId="06354225">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14:paraId="57D438A2">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665" w:type="pct"/>
            <w:vAlign w:val="center"/>
          </w:tcPr>
          <w:p w14:paraId="2A29067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rPr>
              <w:t>不合格产品、过期产品</w:t>
            </w:r>
          </w:p>
        </w:tc>
        <w:tc>
          <w:tcPr>
            <w:tcW w:w="470" w:type="pct"/>
            <w:vAlign w:val="center"/>
          </w:tcPr>
          <w:p w14:paraId="69DABB04">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6B2D5134">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2AFE3DBF">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10ECF437">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color w:val="auto"/>
                <w:kern w:val="21"/>
                <w:szCs w:val="21"/>
                <w:lang w:val="en-US"/>
              </w:rPr>
            </w:pPr>
            <w:r>
              <w:rPr>
                <w:rFonts w:hint="eastAsia" w:ascii="Times New Roman" w:hAnsi="Times New Roman" w:eastAsia="宋体" w:cs="Times New Roman"/>
                <w:color w:val="auto"/>
                <w:sz w:val="21"/>
                <w:lang w:val="en-US" w:eastAsia="zh-CN"/>
              </w:rPr>
              <w:t>0.2</w:t>
            </w:r>
            <w:r>
              <w:rPr>
                <w:rFonts w:ascii="Times New Roman" w:hAnsi="Times New Roman" w:cs="Times New Roman"/>
                <w:snapToGrid w:val="0"/>
                <w:color w:val="auto"/>
                <w:kern w:val="21"/>
                <w:szCs w:val="21"/>
                <w:lang w:val="en-US"/>
              </w:rPr>
              <w:t>t/a</w:t>
            </w:r>
          </w:p>
        </w:tc>
        <w:tc>
          <w:tcPr>
            <w:tcW w:w="612" w:type="pct"/>
            <w:vAlign w:val="center"/>
          </w:tcPr>
          <w:p w14:paraId="73D80471">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76C69C3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rPr>
            </w:pPr>
            <w:r>
              <w:rPr>
                <w:rFonts w:hint="eastAsia" w:ascii="Times New Roman" w:hAnsi="Times New Roman" w:eastAsia="宋体" w:cs="Times New Roman"/>
                <w:color w:val="auto"/>
                <w:sz w:val="21"/>
                <w:lang w:val="en-US" w:eastAsia="zh-CN"/>
              </w:rPr>
              <w:t>0.2</w:t>
            </w:r>
            <w:r>
              <w:rPr>
                <w:rFonts w:ascii="Times New Roman" w:hAnsi="Times New Roman" w:cs="Times New Roman"/>
                <w:snapToGrid w:val="0"/>
                <w:color w:val="auto"/>
                <w:kern w:val="21"/>
                <w:szCs w:val="21"/>
                <w:lang w:val="en-US"/>
              </w:rPr>
              <w:t>t/a</w:t>
            </w:r>
          </w:p>
        </w:tc>
        <w:tc>
          <w:tcPr>
            <w:tcW w:w="563" w:type="pct"/>
            <w:vAlign w:val="center"/>
          </w:tcPr>
          <w:p w14:paraId="2CE33DCE">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ascii="Times New Roman" w:hAnsi="Times New Roman" w:eastAsia="宋体" w:cs="Times New Roman"/>
                <w:sz w:val="21"/>
                <w:lang w:val="en-US" w:eastAsia="zh-CN"/>
              </w:rPr>
              <w:t>0.2</w:t>
            </w:r>
            <w:r>
              <w:rPr>
                <w:rFonts w:ascii="Times New Roman" w:hAnsi="Times New Roman" w:cs="Times New Roman"/>
                <w:snapToGrid w:val="0"/>
                <w:kern w:val="21"/>
                <w:szCs w:val="21"/>
                <w:lang w:val="en-US"/>
              </w:rPr>
              <w:t>t/a</w:t>
            </w:r>
          </w:p>
        </w:tc>
      </w:tr>
      <w:tr w14:paraId="5A4DB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66CE30CB">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4D50121F">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废包装材料</w:t>
            </w:r>
          </w:p>
        </w:tc>
        <w:tc>
          <w:tcPr>
            <w:tcW w:w="470" w:type="pct"/>
            <w:vAlign w:val="center"/>
          </w:tcPr>
          <w:p w14:paraId="08739201">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1CFF61B9">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589" w:type="pct"/>
            <w:vAlign w:val="center"/>
          </w:tcPr>
          <w:p w14:paraId="60BEBF69">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540" w:type="pct"/>
            <w:vAlign w:val="center"/>
          </w:tcPr>
          <w:p w14:paraId="59FB6863">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0.5</w:t>
            </w:r>
            <w:r>
              <w:rPr>
                <w:rFonts w:ascii="Times New Roman" w:hAnsi="Times New Roman" w:cs="Times New Roman"/>
                <w:snapToGrid w:val="0"/>
                <w:kern w:val="21"/>
                <w:szCs w:val="21"/>
                <w:lang w:val="en-US"/>
              </w:rPr>
              <w:t>t/a</w:t>
            </w:r>
          </w:p>
        </w:tc>
        <w:tc>
          <w:tcPr>
            <w:tcW w:w="612" w:type="pct"/>
            <w:vAlign w:val="center"/>
          </w:tcPr>
          <w:p w14:paraId="519C78E1">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41445DC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0.5</w:t>
            </w:r>
            <w:r>
              <w:rPr>
                <w:rFonts w:ascii="Times New Roman" w:hAnsi="Times New Roman" w:cs="Times New Roman"/>
                <w:snapToGrid w:val="0"/>
                <w:kern w:val="21"/>
                <w:szCs w:val="21"/>
                <w:lang w:val="en-US"/>
              </w:rPr>
              <w:t>t/a</w:t>
            </w:r>
          </w:p>
        </w:tc>
        <w:tc>
          <w:tcPr>
            <w:tcW w:w="563" w:type="pct"/>
            <w:vAlign w:val="center"/>
          </w:tcPr>
          <w:p w14:paraId="313DED9B">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ascii="Times New Roman" w:hAnsi="Times New Roman" w:eastAsia="宋体" w:cs="Times New Roman"/>
                <w:sz w:val="21"/>
                <w:lang w:val="en-US" w:eastAsia="zh-CN"/>
              </w:rPr>
              <w:t>0.5</w:t>
            </w:r>
            <w:r>
              <w:rPr>
                <w:rFonts w:ascii="Times New Roman" w:hAnsi="Times New Roman" w:cs="Times New Roman"/>
                <w:snapToGrid w:val="0"/>
                <w:kern w:val="21"/>
                <w:szCs w:val="21"/>
                <w:lang w:val="en-US"/>
              </w:rPr>
              <w:t>t/a</w:t>
            </w:r>
          </w:p>
        </w:tc>
      </w:tr>
      <w:tr w14:paraId="5D6D8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46898AF1">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605A630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rPr>
              <w:t>隔油池油污</w:t>
            </w:r>
          </w:p>
        </w:tc>
        <w:tc>
          <w:tcPr>
            <w:tcW w:w="470" w:type="pct"/>
            <w:vAlign w:val="center"/>
          </w:tcPr>
          <w:p w14:paraId="05886434">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00DFD464">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2D1365A3">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7C301943">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0.2</w:t>
            </w:r>
            <w:r>
              <w:rPr>
                <w:rFonts w:ascii="Times New Roman" w:hAnsi="Times New Roman" w:cs="Times New Roman"/>
                <w:snapToGrid w:val="0"/>
                <w:kern w:val="21"/>
                <w:szCs w:val="21"/>
                <w:lang w:val="en-US"/>
              </w:rPr>
              <w:t>t/a</w:t>
            </w:r>
          </w:p>
        </w:tc>
        <w:tc>
          <w:tcPr>
            <w:tcW w:w="612" w:type="pct"/>
            <w:vAlign w:val="center"/>
          </w:tcPr>
          <w:p w14:paraId="31FC10CE">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7900A748">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0.2</w:t>
            </w:r>
            <w:r>
              <w:rPr>
                <w:rFonts w:ascii="Times New Roman" w:hAnsi="Times New Roman" w:cs="Times New Roman"/>
                <w:snapToGrid w:val="0"/>
                <w:kern w:val="21"/>
                <w:szCs w:val="21"/>
                <w:lang w:val="en-US"/>
              </w:rPr>
              <w:t>t/a</w:t>
            </w:r>
          </w:p>
        </w:tc>
        <w:tc>
          <w:tcPr>
            <w:tcW w:w="563" w:type="pct"/>
            <w:vAlign w:val="center"/>
          </w:tcPr>
          <w:p w14:paraId="711E42B7">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ascii="Times New Roman" w:hAnsi="Times New Roman" w:eastAsia="宋体" w:cs="Times New Roman"/>
                <w:sz w:val="21"/>
                <w:lang w:val="en-US" w:eastAsia="zh-CN"/>
              </w:rPr>
              <w:t>0.2</w:t>
            </w:r>
            <w:r>
              <w:rPr>
                <w:rFonts w:ascii="Times New Roman" w:hAnsi="Times New Roman" w:cs="Times New Roman"/>
                <w:snapToGrid w:val="0"/>
                <w:kern w:val="21"/>
                <w:szCs w:val="21"/>
                <w:lang w:val="en-US"/>
              </w:rPr>
              <w:t>t/a</w:t>
            </w:r>
          </w:p>
        </w:tc>
      </w:tr>
      <w:tr w14:paraId="27B74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546EAB32">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73A2AF5D">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废卤渣</w:t>
            </w:r>
          </w:p>
        </w:tc>
        <w:tc>
          <w:tcPr>
            <w:tcW w:w="470" w:type="pct"/>
            <w:vAlign w:val="center"/>
          </w:tcPr>
          <w:p w14:paraId="0C7C5C0D">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439FE410">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72A47FF9">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2766AC53">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1</w:t>
            </w:r>
            <w:r>
              <w:rPr>
                <w:rFonts w:hint="eastAsia" w:cs="Times New Roman"/>
                <w:sz w:val="21"/>
                <w:lang w:val="en-US" w:eastAsia="zh-CN"/>
              </w:rPr>
              <w:t>.0</w:t>
            </w:r>
            <w:r>
              <w:rPr>
                <w:rFonts w:ascii="Times New Roman" w:hAnsi="Times New Roman" w:cs="Times New Roman"/>
                <w:snapToGrid w:val="0"/>
                <w:kern w:val="21"/>
                <w:szCs w:val="21"/>
                <w:lang w:val="en-US"/>
              </w:rPr>
              <w:t>t/a</w:t>
            </w:r>
          </w:p>
        </w:tc>
        <w:tc>
          <w:tcPr>
            <w:tcW w:w="612" w:type="pct"/>
            <w:vAlign w:val="center"/>
          </w:tcPr>
          <w:p w14:paraId="7BD938D3">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4D4D9A9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rPr>
            </w:pPr>
            <w:r>
              <w:rPr>
                <w:rFonts w:hint="eastAsia" w:ascii="Times New Roman" w:hAnsi="Times New Roman" w:eastAsia="宋体" w:cs="Times New Roman"/>
                <w:sz w:val="21"/>
                <w:lang w:val="en-US" w:eastAsia="zh-CN"/>
              </w:rPr>
              <w:t>1</w:t>
            </w:r>
            <w:r>
              <w:rPr>
                <w:rFonts w:hint="eastAsia" w:cs="Times New Roman"/>
                <w:sz w:val="21"/>
                <w:lang w:val="en-US" w:eastAsia="zh-CN"/>
              </w:rPr>
              <w:t>.0</w:t>
            </w:r>
            <w:r>
              <w:rPr>
                <w:rFonts w:ascii="Times New Roman" w:hAnsi="Times New Roman" w:cs="Times New Roman"/>
                <w:snapToGrid w:val="0"/>
                <w:kern w:val="21"/>
                <w:szCs w:val="21"/>
                <w:lang w:val="en-US"/>
              </w:rPr>
              <w:t>t/a</w:t>
            </w:r>
          </w:p>
        </w:tc>
        <w:tc>
          <w:tcPr>
            <w:tcW w:w="563" w:type="pct"/>
            <w:vAlign w:val="center"/>
          </w:tcPr>
          <w:p w14:paraId="0B3E0129">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ascii="Times New Roman" w:hAnsi="Times New Roman" w:eastAsia="宋体" w:cs="Times New Roman"/>
                <w:sz w:val="21"/>
                <w:lang w:val="en-US" w:eastAsia="zh-CN"/>
              </w:rPr>
              <w:t>1</w:t>
            </w:r>
            <w:r>
              <w:rPr>
                <w:rFonts w:hint="eastAsia" w:cs="Times New Roman"/>
                <w:sz w:val="21"/>
                <w:lang w:val="en-US" w:eastAsia="zh-CN"/>
              </w:rPr>
              <w:t>.0</w:t>
            </w:r>
            <w:r>
              <w:rPr>
                <w:rFonts w:ascii="Times New Roman" w:hAnsi="Times New Roman" w:cs="Times New Roman"/>
                <w:snapToGrid w:val="0"/>
                <w:kern w:val="21"/>
                <w:szCs w:val="21"/>
                <w:lang w:val="en-US"/>
              </w:rPr>
              <w:t>t/a</w:t>
            </w:r>
          </w:p>
        </w:tc>
      </w:tr>
      <w:tr w14:paraId="419D2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0CBE6583">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2F62A04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豆渣</w:t>
            </w:r>
          </w:p>
        </w:tc>
        <w:tc>
          <w:tcPr>
            <w:tcW w:w="470" w:type="pct"/>
            <w:vAlign w:val="center"/>
          </w:tcPr>
          <w:p w14:paraId="10AA666C">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7158F680">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89" w:type="pct"/>
            <w:vAlign w:val="center"/>
          </w:tcPr>
          <w:p w14:paraId="1FAD6C20">
            <w:pPr>
              <w:pStyle w:val="42"/>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lang w:val="en-US"/>
              </w:rPr>
              <w:t>0</w:t>
            </w:r>
          </w:p>
        </w:tc>
        <w:tc>
          <w:tcPr>
            <w:tcW w:w="540" w:type="pct"/>
            <w:vAlign w:val="center"/>
          </w:tcPr>
          <w:p w14:paraId="4A4B59E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cs="Times New Roman"/>
                <w:sz w:val="21"/>
                <w:lang w:val="en-US" w:eastAsia="zh-CN"/>
              </w:rPr>
              <w:t>62.4</w:t>
            </w:r>
            <w:r>
              <w:rPr>
                <w:rFonts w:ascii="Times New Roman" w:hAnsi="Times New Roman" w:cs="Times New Roman"/>
                <w:snapToGrid w:val="0"/>
                <w:kern w:val="21"/>
                <w:szCs w:val="21"/>
                <w:lang w:val="en-US"/>
              </w:rPr>
              <w:t>t/a</w:t>
            </w:r>
          </w:p>
        </w:tc>
        <w:tc>
          <w:tcPr>
            <w:tcW w:w="612" w:type="pct"/>
            <w:vAlign w:val="center"/>
          </w:tcPr>
          <w:p w14:paraId="102A60C3">
            <w:pPr>
              <w:pStyle w:val="42"/>
              <w:spacing w:beforeLines="0" w:afterLines="0" w:line="240" w:lineRule="auto"/>
              <w:rPr>
                <w:rFonts w:ascii="Times New Roman" w:hAnsi="Times New Roman" w:cs="Times New Roman"/>
                <w:b/>
                <w:bCs/>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14B6C3D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rPr>
            </w:pPr>
            <w:r>
              <w:rPr>
                <w:rFonts w:hint="eastAsia" w:cs="Times New Roman"/>
                <w:sz w:val="21"/>
                <w:lang w:val="en-US" w:eastAsia="zh-CN"/>
              </w:rPr>
              <w:t>62.4</w:t>
            </w:r>
            <w:r>
              <w:rPr>
                <w:rFonts w:ascii="Times New Roman" w:hAnsi="Times New Roman" w:cs="Times New Roman"/>
                <w:snapToGrid w:val="0"/>
                <w:kern w:val="21"/>
                <w:szCs w:val="21"/>
                <w:lang w:val="en-US"/>
              </w:rPr>
              <w:t>t/a</w:t>
            </w:r>
          </w:p>
        </w:tc>
        <w:tc>
          <w:tcPr>
            <w:tcW w:w="563" w:type="pct"/>
            <w:vAlign w:val="center"/>
          </w:tcPr>
          <w:p w14:paraId="2EE3E084">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cs="Times New Roman"/>
                <w:sz w:val="21"/>
                <w:lang w:val="en-US" w:eastAsia="zh-CN"/>
              </w:rPr>
              <w:t>62.4</w:t>
            </w:r>
            <w:r>
              <w:rPr>
                <w:rFonts w:ascii="Times New Roman" w:hAnsi="Times New Roman" w:cs="Times New Roman"/>
                <w:snapToGrid w:val="0"/>
                <w:kern w:val="21"/>
                <w:szCs w:val="21"/>
                <w:lang w:val="en-US"/>
              </w:rPr>
              <w:t>t/a</w:t>
            </w:r>
          </w:p>
        </w:tc>
      </w:tr>
      <w:tr w14:paraId="3EFD8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5C0E1F4B">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7DF51E9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废RO膜</w:t>
            </w:r>
          </w:p>
        </w:tc>
        <w:tc>
          <w:tcPr>
            <w:tcW w:w="470" w:type="pct"/>
            <w:vAlign w:val="center"/>
          </w:tcPr>
          <w:p w14:paraId="50402906">
            <w:pPr>
              <w:jc w:val="center"/>
              <w:rPr>
                <w:snapToGrid w:val="0"/>
                <w:kern w:val="21"/>
                <w:szCs w:val="21"/>
              </w:rPr>
            </w:pPr>
            <w:r>
              <w:rPr>
                <w:snapToGrid w:val="0"/>
                <w:kern w:val="21"/>
                <w:szCs w:val="21"/>
              </w:rPr>
              <w:t>0</w:t>
            </w:r>
          </w:p>
        </w:tc>
        <w:tc>
          <w:tcPr>
            <w:tcW w:w="434" w:type="pct"/>
            <w:vAlign w:val="center"/>
          </w:tcPr>
          <w:p w14:paraId="256BDB5C">
            <w:pPr>
              <w:jc w:val="center"/>
              <w:rPr>
                <w:snapToGrid w:val="0"/>
                <w:kern w:val="21"/>
                <w:szCs w:val="21"/>
              </w:rPr>
            </w:pPr>
            <w:r>
              <w:rPr>
                <w:snapToGrid w:val="0"/>
                <w:kern w:val="21"/>
                <w:szCs w:val="21"/>
              </w:rPr>
              <w:t>0</w:t>
            </w:r>
          </w:p>
        </w:tc>
        <w:tc>
          <w:tcPr>
            <w:tcW w:w="589" w:type="pct"/>
            <w:vAlign w:val="center"/>
          </w:tcPr>
          <w:p w14:paraId="68A66003">
            <w:pPr>
              <w:jc w:val="center"/>
              <w:rPr>
                <w:snapToGrid w:val="0"/>
                <w:kern w:val="21"/>
                <w:szCs w:val="21"/>
              </w:rPr>
            </w:pPr>
            <w:r>
              <w:rPr>
                <w:snapToGrid w:val="0"/>
                <w:kern w:val="21"/>
                <w:szCs w:val="21"/>
              </w:rPr>
              <w:t>0</w:t>
            </w:r>
          </w:p>
        </w:tc>
        <w:tc>
          <w:tcPr>
            <w:tcW w:w="540" w:type="pct"/>
            <w:vAlign w:val="center"/>
          </w:tcPr>
          <w:p w14:paraId="4E60888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0.1</w:t>
            </w:r>
            <w:r>
              <w:rPr>
                <w:rFonts w:ascii="Times New Roman" w:hAnsi="Times New Roman" w:cs="Times New Roman"/>
                <w:snapToGrid w:val="0"/>
                <w:kern w:val="21"/>
                <w:szCs w:val="21"/>
                <w:lang w:val="en-US"/>
              </w:rPr>
              <w:t>t/a</w:t>
            </w:r>
          </w:p>
        </w:tc>
        <w:tc>
          <w:tcPr>
            <w:tcW w:w="612" w:type="pct"/>
            <w:vAlign w:val="center"/>
          </w:tcPr>
          <w:p w14:paraId="444EC3AD">
            <w:pPr>
              <w:jc w:val="center"/>
              <w:rPr>
                <w:snapToGrid w:val="0"/>
                <w:kern w:val="21"/>
                <w:szCs w:val="21"/>
              </w:rPr>
            </w:pPr>
            <w:r>
              <w:rPr>
                <w:snapToGrid w:val="0"/>
                <w:kern w:val="21"/>
                <w:szCs w:val="21"/>
              </w:rPr>
              <w:t>0</w:t>
            </w:r>
          </w:p>
        </w:tc>
        <w:tc>
          <w:tcPr>
            <w:tcW w:w="1706" w:type="dxa"/>
            <w:vAlign w:val="center"/>
          </w:tcPr>
          <w:p w14:paraId="48A23B3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0.1</w:t>
            </w:r>
            <w:r>
              <w:rPr>
                <w:rFonts w:ascii="Times New Roman" w:hAnsi="Times New Roman" w:cs="Times New Roman"/>
                <w:snapToGrid w:val="0"/>
                <w:kern w:val="21"/>
                <w:szCs w:val="21"/>
                <w:lang w:val="en-US"/>
              </w:rPr>
              <w:t>t/a</w:t>
            </w:r>
          </w:p>
        </w:tc>
        <w:tc>
          <w:tcPr>
            <w:tcW w:w="563" w:type="pct"/>
            <w:vAlign w:val="center"/>
          </w:tcPr>
          <w:p w14:paraId="5E64EAF9">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ascii="Times New Roman" w:hAnsi="Times New Roman" w:eastAsia="宋体" w:cs="Times New Roman"/>
                <w:sz w:val="21"/>
                <w:lang w:val="en-US" w:eastAsia="zh-CN"/>
              </w:rPr>
              <w:t>0.1</w:t>
            </w:r>
            <w:r>
              <w:rPr>
                <w:rFonts w:ascii="Times New Roman" w:hAnsi="Times New Roman" w:cs="Times New Roman"/>
                <w:snapToGrid w:val="0"/>
                <w:kern w:val="21"/>
                <w:szCs w:val="21"/>
                <w:lang w:val="en-US"/>
              </w:rPr>
              <w:t>t/a</w:t>
            </w:r>
          </w:p>
        </w:tc>
      </w:tr>
      <w:tr w14:paraId="40B9E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04D055EA">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77E69592">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ascii="Times New Roman" w:hAnsi="Times New Roman" w:eastAsia="宋体" w:cs="Times New Roman"/>
                <w:sz w:val="21"/>
                <w:lang w:val="en-US" w:eastAsia="zh-CN"/>
              </w:rPr>
              <w:t>生牛乳废渣</w:t>
            </w:r>
          </w:p>
        </w:tc>
        <w:tc>
          <w:tcPr>
            <w:tcW w:w="470" w:type="pct"/>
            <w:vAlign w:val="center"/>
          </w:tcPr>
          <w:p w14:paraId="591A561E">
            <w:pPr>
              <w:jc w:val="center"/>
              <w:rPr>
                <w:snapToGrid w:val="0"/>
                <w:kern w:val="21"/>
                <w:szCs w:val="21"/>
              </w:rPr>
            </w:pPr>
            <w:r>
              <w:rPr>
                <w:snapToGrid w:val="0"/>
                <w:kern w:val="21"/>
                <w:szCs w:val="21"/>
              </w:rPr>
              <w:t>0</w:t>
            </w:r>
          </w:p>
        </w:tc>
        <w:tc>
          <w:tcPr>
            <w:tcW w:w="434" w:type="pct"/>
            <w:vAlign w:val="center"/>
          </w:tcPr>
          <w:p w14:paraId="076D3489">
            <w:pPr>
              <w:jc w:val="center"/>
              <w:rPr>
                <w:snapToGrid w:val="0"/>
                <w:kern w:val="21"/>
                <w:szCs w:val="21"/>
              </w:rPr>
            </w:pPr>
            <w:r>
              <w:rPr>
                <w:snapToGrid w:val="0"/>
                <w:kern w:val="21"/>
                <w:szCs w:val="21"/>
              </w:rPr>
              <w:t>0</w:t>
            </w:r>
          </w:p>
        </w:tc>
        <w:tc>
          <w:tcPr>
            <w:tcW w:w="589" w:type="pct"/>
            <w:vAlign w:val="center"/>
          </w:tcPr>
          <w:p w14:paraId="39EE1A44">
            <w:pPr>
              <w:jc w:val="center"/>
              <w:rPr>
                <w:snapToGrid w:val="0"/>
                <w:kern w:val="21"/>
                <w:szCs w:val="21"/>
              </w:rPr>
            </w:pPr>
            <w:r>
              <w:rPr>
                <w:snapToGrid w:val="0"/>
                <w:kern w:val="21"/>
                <w:szCs w:val="21"/>
              </w:rPr>
              <w:t>0</w:t>
            </w:r>
          </w:p>
        </w:tc>
        <w:tc>
          <w:tcPr>
            <w:tcW w:w="540" w:type="pct"/>
            <w:vAlign w:val="center"/>
          </w:tcPr>
          <w:p w14:paraId="2133F9B5">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default" w:ascii="Times New Roman" w:hAnsi="Times New Roman" w:cs="Times New Roman"/>
                <w:snapToGrid w:val="0"/>
                <w:kern w:val="21"/>
                <w:szCs w:val="21"/>
                <w:lang w:val="en-US"/>
              </w:rPr>
            </w:pPr>
            <w:r>
              <w:rPr>
                <w:rFonts w:hint="eastAsia" w:cs="Times New Roman"/>
                <w:snapToGrid w:val="0"/>
                <w:kern w:val="21"/>
                <w:szCs w:val="21"/>
                <w:lang w:val="en-US" w:eastAsia="zh-CN"/>
              </w:rPr>
              <w:t>30</w:t>
            </w:r>
            <w:r>
              <w:rPr>
                <w:rFonts w:ascii="Times New Roman" w:hAnsi="Times New Roman" w:cs="Times New Roman"/>
                <w:snapToGrid w:val="0"/>
                <w:kern w:val="21"/>
                <w:szCs w:val="21"/>
                <w:lang w:val="en-US"/>
              </w:rPr>
              <w:t>t/a</w:t>
            </w:r>
          </w:p>
        </w:tc>
        <w:tc>
          <w:tcPr>
            <w:tcW w:w="612" w:type="pct"/>
            <w:vAlign w:val="center"/>
          </w:tcPr>
          <w:p w14:paraId="0CD59F54">
            <w:pPr>
              <w:jc w:val="center"/>
              <w:rPr>
                <w:snapToGrid w:val="0"/>
                <w:kern w:val="21"/>
                <w:szCs w:val="21"/>
              </w:rPr>
            </w:pPr>
            <w:r>
              <w:rPr>
                <w:snapToGrid w:val="0"/>
                <w:kern w:val="21"/>
                <w:szCs w:val="21"/>
              </w:rPr>
              <w:t>0</w:t>
            </w:r>
          </w:p>
        </w:tc>
        <w:tc>
          <w:tcPr>
            <w:tcW w:w="1706" w:type="dxa"/>
            <w:vAlign w:val="center"/>
          </w:tcPr>
          <w:p w14:paraId="0488F7B5">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hint="eastAsia" w:cs="Times New Roman"/>
                <w:snapToGrid w:val="0"/>
                <w:kern w:val="21"/>
                <w:szCs w:val="21"/>
                <w:lang w:val="en-US" w:eastAsia="zh-CN"/>
              </w:rPr>
              <w:t>30</w:t>
            </w:r>
            <w:r>
              <w:rPr>
                <w:rFonts w:ascii="Times New Roman" w:hAnsi="Times New Roman" w:cs="Times New Roman"/>
                <w:snapToGrid w:val="0"/>
                <w:kern w:val="21"/>
                <w:szCs w:val="21"/>
                <w:lang w:val="en-US"/>
              </w:rPr>
              <w:t>t/a</w:t>
            </w:r>
          </w:p>
        </w:tc>
        <w:tc>
          <w:tcPr>
            <w:tcW w:w="563" w:type="pct"/>
            <w:vAlign w:val="center"/>
          </w:tcPr>
          <w:p w14:paraId="05354D4B">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hint="eastAsia" w:cs="Times New Roman"/>
                <w:sz w:val="21"/>
                <w:lang w:val="en-US" w:eastAsia="zh-CN"/>
              </w:rPr>
              <w:t>30</w:t>
            </w:r>
            <w:r>
              <w:rPr>
                <w:rFonts w:ascii="Times New Roman" w:hAnsi="Times New Roman" w:cs="Times New Roman"/>
                <w:snapToGrid w:val="0"/>
                <w:kern w:val="21"/>
                <w:szCs w:val="21"/>
                <w:lang w:val="en-US"/>
              </w:rPr>
              <w:t>t/a</w:t>
            </w:r>
          </w:p>
        </w:tc>
      </w:tr>
      <w:tr w14:paraId="47298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3523AED5">
            <w:pPr>
              <w:pStyle w:val="42"/>
              <w:spacing w:beforeLines="0" w:afterLines="0" w:line="240" w:lineRule="auto"/>
              <w:rPr>
                <w:rFonts w:ascii="Times New Roman" w:hAnsi="Times New Roman" w:cs="Times New Roman"/>
                <w:snapToGrid w:val="0"/>
                <w:kern w:val="21"/>
                <w:szCs w:val="21"/>
              </w:rPr>
            </w:pPr>
          </w:p>
        </w:tc>
        <w:tc>
          <w:tcPr>
            <w:tcW w:w="665" w:type="pct"/>
            <w:vAlign w:val="center"/>
          </w:tcPr>
          <w:p w14:paraId="518F35BE">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ascii="Times New Roman" w:hAnsi="Times New Roman" w:eastAsia="宋体" w:cs="Times New Roman"/>
                <w:sz w:val="21"/>
              </w:rPr>
              <w:t>废离子交换树脂</w:t>
            </w:r>
          </w:p>
        </w:tc>
        <w:tc>
          <w:tcPr>
            <w:tcW w:w="470" w:type="pct"/>
            <w:vAlign w:val="center"/>
          </w:tcPr>
          <w:p w14:paraId="00D787D9">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434" w:type="pct"/>
            <w:vAlign w:val="center"/>
          </w:tcPr>
          <w:p w14:paraId="1FE872E5">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589" w:type="pct"/>
            <w:vAlign w:val="center"/>
          </w:tcPr>
          <w:p w14:paraId="69F7BAF8">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540" w:type="pct"/>
            <w:vAlign w:val="center"/>
          </w:tcPr>
          <w:p w14:paraId="1755D9F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ascii="Times New Roman" w:hAnsi="Times New Roman" w:eastAsia="宋体" w:cs="Times New Roman"/>
                <w:sz w:val="21"/>
              </w:rPr>
              <w:t>0.05</w:t>
            </w:r>
            <w:r>
              <w:rPr>
                <w:rFonts w:ascii="Times New Roman" w:hAnsi="Times New Roman" w:cs="Times New Roman"/>
                <w:snapToGrid w:val="0"/>
                <w:kern w:val="21"/>
                <w:szCs w:val="21"/>
                <w:lang w:val="en-US"/>
              </w:rPr>
              <w:t>t/a</w:t>
            </w:r>
          </w:p>
        </w:tc>
        <w:tc>
          <w:tcPr>
            <w:tcW w:w="612" w:type="pct"/>
            <w:vAlign w:val="center"/>
          </w:tcPr>
          <w:p w14:paraId="6D636908">
            <w:pPr>
              <w:pStyle w:val="42"/>
              <w:spacing w:beforeLines="0" w:afterLines="0" w:line="240" w:lineRule="auto"/>
              <w:rPr>
                <w:rFonts w:ascii="Times New Roman" w:hAnsi="Times New Roman" w:cs="Times New Roman"/>
                <w:snapToGrid w:val="0"/>
                <w:kern w:val="21"/>
                <w:szCs w:val="21"/>
                <w:lang w:val="en-US"/>
              </w:rPr>
            </w:pPr>
            <w:r>
              <w:rPr>
                <w:rFonts w:ascii="Times New Roman" w:hAnsi="Times New Roman" w:cs="Times New Roman"/>
                <w:snapToGrid w:val="0"/>
                <w:kern w:val="21"/>
                <w:szCs w:val="21"/>
                <w:lang w:val="en-US"/>
              </w:rPr>
              <w:t>0</w:t>
            </w:r>
          </w:p>
        </w:tc>
        <w:tc>
          <w:tcPr>
            <w:tcW w:w="1706" w:type="dxa"/>
            <w:vAlign w:val="center"/>
          </w:tcPr>
          <w:p w14:paraId="4CBA2D95">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cs="Times New Roman"/>
                <w:snapToGrid w:val="0"/>
                <w:kern w:val="21"/>
                <w:szCs w:val="21"/>
                <w:lang w:val="en-US"/>
              </w:rPr>
            </w:pPr>
            <w:r>
              <w:rPr>
                <w:rFonts w:ascii="Times New Roman" w:hAnsi="Times New Roman" w:eastAsia="宋体" w:cs="Times New Roman"/>
                <w:sz w:val="21"/>
              </w:rPr>
              <w:t>0.05</w:t>
            </w:r>
            <w:r>
              <w:rPr>
                <w:rFonts w:ascii="Times New Roman" w:hAnsi="Times New Roman" w:cs="Times New Roman"/>
                <w:snapToGrid w:val="0"/>
                <w:kern w:val="21"/>
                <w:szCs w:val="21"/>
                <w:lang w:val="en-US"/>
              </w:rPr>
              <w:t>t/a</w:t>
            </w:r>
          </w:p>
        </w:tc>
        <w:tc>
          <w:tcPr>
            <w:tcW w:w="563" w:type="pct"/>
            <w:vAlign w:val="center"/>
          </w:tcPr>
          <w:p w14:paraId="388E9B65">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napToGrid w:val="0"/>
                <w:kern w:val="21"/>
                <w:szCs w:val="21"/>
              </w:rPr>
            </w:pPr>
            <w:r>
              <w:rPr>
                <w:szCs w:val="21"/>
              </w:rPr>
              <w:t>+</w:t>
            </w:r>
            <w:r>
              <w:rPr>
                <w:rFonts w:ascii="Times New Roman" w:hAnsi="Times New Roman" w:eastAsia="宋体" w:cs="Times New Roman"/>
                <w:sz w:val="21"/>
              </w:rPr>
              <w:t>0.05</w:t>
            </w:r>
            <w:r>
              <w:rPr>
                <w:rFonts w:ascii="Times New Roman" w:hAnsi="Times New Roman" w:cs="Times New Roman"/>
                <w:snapToGrid w:val="0"/>
                <w:kern w:val="21"/>
                <w:szCs w:val="21"/>
                <w:lang w:val="en-US"/>
              </w:rPr>
              <w:t>t/a</w:t>
            </w:r>
          </w:p>
        </w:tc>
      </w:tr>
      <w:tr w14:paraId="3DA1C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vMerge w:val="continue"/>
            <w:vAlign w:val="center"/>
          </w:tcPr>
          <w:p w14:paraId="77DC5091">
            <w:pPr>
              <w:pStyle w:val="42"/>
              <w:spacing w:beforeLines="0" w:afterLines="0" w:line="240" w:lineRule="auto"/>
              <w:rPr>
                <w:rFonts w:ascii="Times New Roman" w:hAnsi="Times New Roman" w:cs="Times New Roman"/>
                <w:snapToGrid w:val="0"/>
                <w:kern w:val="21"/>
                <w:szCs w:val="21"/>
              </w:rPr>
            </w:pPr>
          </w:p>
        </w:tc>
        <w:tc>
          <w:tcPr>
            <w:tcW w:w="665" w:type="pct"/>
            <w:shd w:val="clear" w:color="auto" w:fill="auto"/>
            <w:vAlign w:val="center"/>
          </w:tcPr>
          <w:p w14:paraId="77DC9796">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eastAsia="宋体" w:cs="Times New Roman"/>
                <w:kern w:val="2"/>
                <w:sz w:val="21"/>
                <w:szCs w:val="24"/>
                <w:lang w:val="en-US" w:eastAsia="zh-CN" w:bidi="ar-SA"/>
              </w:rPr>
            </w:pPr>
            <w:r>
              <w:rPr>
                <w:rFonts w:ascii="Times New Roman" w:hAnsi="Times New Roman" w:eastAsia="宋体" w:cs="Times New Roman"/>
                <w:sz w:val="21"/>
              </w:rPr>
              <w:t>污泥</w:t>
            </w:r>
          </w:p>
        </w:tc>
        <w:tc>
          <w:tcPr>
            <w:tcW w:w="470" w:type="pct"/>
            <w:vAlign w:val="center"/>
          </w:tcPr>
          <w:p w14:paraId="111ABA78">
            <w:pPr>
              <w:pStyle w:val="42"/>
              <w:spacing w:beforeLines="0" w:afterLines="0"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0</w:t>
            </w:r>
          </w:p>
        </w:tc>
        <w:tc>
          <w:tcPr>
            <w:tcW w:w="434" w:type="pct"/>
            <w:vAlign w:val="center"/>
          </w:tcPr>
          <w:p w14:paraId="5D4D243D">
            <w:pPr>
              <w:pStyle w:val="42"/>
              <w:spacing w:beforeLines="0" w:afterLines="0"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0</w:t>
            </w:r>
          </w:p>
        </w:tc>
        <w:tc>
          <w:tcPr>
            <w:tcW w:w="589" w:type="pct"/>
            <w:vAlign w:val="center"/>
          </w:tcPr>
          <w:p w14:paraId="02E21900">
            <w:pPr>
              <w:pStyle w:val="42"/>
              <w:spacing w:beforeLines="0" w:afterLines="0"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0</w:t>
            </w:r>
          </w:p>
        </w:tc>
        <w:tc>
          <w:tcPr>
            <w:tcW w:w="540" w:type="pct"/>
            <w:shd w:val="clear" w:color="auto" w:fill="auto"/>
            <w:vAlign w:val="center"/>
          </w:tcPr>
          <w:p w14:paraId="14E14DA1">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hint="default" w:ascii="Times New Roman" w:hAnsi="Times New Roman" w:eastAsia="宋体" w:cs="Times New Roman"/>
                <w:kern w:val="2"/>
                <w:sz w:val="21"/>
                <w:szCs w:val="24"/>
                <w:lang w:val="en-US" w:eastAsia="zh-CN" w:bidi="ar-SA"/>
              </w:rPr>
            </w:pPr>
            <w:r>
              <w:rPr>
                <w:rFonts w:hint="eastAsia" w:cs="Times New Roman"/>
                <w:sz w:val="21"/>
                <w:lang w:val="en-US" w:eastAsia="zh-CN"/>
              </w:rPr>
              <w:t>1.35t</w:t>
            </w:r>
            <w:r>
              <w:rPr>
                <w:rFonts w:ascii="Times New Roman" w:hAnsi="Times New Roman" w:cs="Times New Roman"/>
                <w:snapToGrid w:val="0"/>
                <w:kern w:val="21"/>
                <w:szCs w:val="21"/>
                <w:lang w:val="en-US"/>
              </w:rPr>
              <w:t>/a</w:t>
            </w:r>
          </w:p>
        </w:tc>
        <w:tc>
          <w:tcPr>
            <w:tcW w:w="612" w:type="pct"/>
            <w:vAlign w:val="center"/>
          </w:tcPr>
          <w:p w14:paraId="4B30033A">
            <w:pPr>
              <w:pStyle w:val="42"/>
              <w:spacing w:beforeLines="0" w:afterLines="0" w:line="240" w:lineRule="auto"/>
              <w:rPr>
                <w:rFonts w:hint="eastAsia" w:ascii="Times New Roman" w:hAnsi="Times New Roman" w:eastAsia="宋体" w:cs="Times New Roman"/>
                <w:snapToGrid w:val="0"/>
                <w:kern w:val="21"/>
                <w:szCs w:val="21"/>
                <w:lang w:val="en-US" w:eastAsia="zh-CN"/>
              </w:rPr>
            </w:pPr>
            <w:r>
              <w:rPr>
                <w:rFonts w:hint="eastAsia" w:ascii="Times New Roman" w:hAnsi="Times New Roman" w:cs="Times New Roman"/>
                <w:snapToGrid w:val="0"/>
                <w:kern w:val="21"/>
                <w:szCs w:val="21"/>
                <w:lang w:val="en-US" w:eastAsia="zh-CN"/>
              </w:rPr>
              <w:t>0</w:t>
            </w:r>
          </w:p>
        </w:tc>
        <w:tc>
          <w:tcPr>
            <w:tcW w:w="1706" w:type="dxa"/>
            <w:vAlign w:val="center"/>
          </w:tcPr>
          <w:p w14:paraId="1134710C">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rFonts w:ascii="Times New Roman" w:hAnsi="Times New Roman" w:eastAsia="宋体" w:cs="Times New Roman"/>
                <w:sz w:val="21"/>
              </w:rPr>
            </w:pPr>
            <w:r>
              <w:rPr>
                <w:rFonts w:hint="eastAsia" w:cs="Times New Roman"/>
                <w:sz w:val="21"/>
                <w:lang w:val="en-US" w:eastAsia="zh-CN"/>
              </w:rPr>
              <w:t>1.35t</w:t>
            </w:r>
            <w:r>
              <w:rPr>
                <w:rFonts w:ascii="Times New Roman" w:hAnsi="Times New Roman" w:cs="Times New Roman"/>
                <w:snapToGrid w:val="0"/>
                <w:kern w:val="21"/>
                <w:szCs w:val="21"/>
                <w:lang w:val="en-US"/>
              </w:rPr>
              <w:t>/a</w:t>
            </w:r>
          </w:p>
        </w:tc>
        <w:tc>
          <w:tcPr>
            <w:tcW w:w="563" w:type="pct"/>
            <w:vAlign w:val="center"/>
          </w:tcPr>
          <w:p w14:paraId="5D0BFCA0">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firstLine="0" w:firstLineChars="0"/>
              <w:jc w:val="center"/>
              <w:textAlignment w:val="auto"/>
              <w:rPr>
                <w:szCs w:val="21"/>
              </w:rPr>
            </w:pPr>
            <w:r>
              <w:rPr>
                <w:rFonts w:hint="eastAsia" w:eastAsia="宋体" w:cs="Times New Roman"/>
                <w:sz w:val="21"/>
                <w:lang w:val="en-US" w:eastAsia="zh-CN"/>
              </w:rPr>
              <w:t>+</w:t>
            </w:r>
            <w:r>
              <w:rPr>
                <w:rFonts w:hint="eastAsia" w:cs="Times New Roman"/>
                <w:sz w:val="21"/>
                <w:lang w:val="en-US" w:eastAsia="zh-CN"/>
              </w:rPr>
              <w:t>1.35</w:t>
            </w:r>
            <w:r>
              <w:rPr>
                <w:rFonts w:ascii="Times New Roman" w:hAnsi="Times New Roman" w:cs="Times New Roman"/>
                <w:snapToGrid w:val="0"/>
                <w:kern w:val="21"/>
                <w:szCs w:val="21"/>
                <w:lang w:val="en-US"/>
              </w:rPr>
              <w:t>t/a</w:t>
            </w:r>
          </w:p>
        </w:tc>
      </w:tr>
    </w:tbl>
    <w:p w14:paraId="10F2D93D">
      <w:pPr>
        <w:pStyle w:val="42"/>
        <w:spacing w:before="192" w:beforeLines="80" w:after="24"/>
        <w:jc w:val="left"/>
        <w:rPr>
          <w:rFonts w:ascii="Times New Roman" w:hAnsi="Times New Roman" w:cs="Times New Roman"/>
          <w:snapToGrid w:val="0"/>
          <w:spacing w:val="-6"/>
          <w:kern w:val="21"/>
          <w:szCs w:val="21"/>
          <w:lang w:val="en-US"/>
        </w:rPr>
      </w:pPr>
      <w:r>
        <w:rPr>
          <w:rFonts w:ascii="Times New Roman" w:hAnsi="Times New Roman" w:cs="Times New Roman"/>
          <w:snapToGrid w:val="0"/>
          <w:kern w:val="21"/>
          <w:szCs w:val="21"/>
        </w:rPr>
        <w:t>注</w:t>
      </w:r>
      <w:r>
        <w:rPr>
          <w:rFonts w:ascii="Times New Roman" w:hAnsi="Times New Roman" w:cs="Times New Roman"/>
          <w:snapToGrid w:val="0"/>
          <w:kern w:val="21"/>
          <w:szCs w:val="21"/>
          <w:lang w:val="en-US"/>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lang w:val="en-US"/>
        </w:rPr>
        <w:instrText xml:space="preserve"> = 6 \* GB3 \* MERGEFORMAT </w:instrText>
      </w:r>
      <w:r>
        <w:rPr>
          <w:rFonts w:ascii="Times New Roman" w:hAnsi="Times New Roman" w:cs="Times New Roman"/>
          <w:snapToGrid w:val="0"/>
          <w:spacing w:val="-16"/>
          <w:kern w:val="21"/>
          <w:szCs w:val="21"/>
        </w:rPr>
        <w:fldChar w:fldCharType="separate"/>
      </w:r>
      <w:r>
        <w:rPr>
          <w:rFonts w:hint="eastAsia"/>
          <w:szCs w:val="21"/>
          <w:lang w:val="en-US"/>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lang w:val="en-US"/>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lang w:val="en-US"/>
        </w:rPr>
        <w:instrText xml:space="preserve"> = 1 \* GB3 \* MERGEFORMAT </w:instrText>
      </w:r>
      <w:r>
        <w:rPr>
          <w:rFonts w:ascii="Times New Roman" w:hAnsi="Times New Roman" w:cs="Times New Roman"/>
          <w:snapToGrid w:val="0"/>
          <w:spacing w:val="-6"/>
          <w:kern w:val="21"/>
          <w:szCs w:val="21"/>
        </w:rPr>
        <w:fldChar w:fldCharType="separate"/>
      </w:r>
      <w:r>
        <w:rPr>
          <w:rFonts w:hint="eastAsia"/>
          <w:szCs w:val="21"/>
          <w:lang w:val="en-US"/>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lang w:val="en-US"/>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lang w:val="en-US"/>
        </w:rPr>
        <w:instrText xml:space="preserve"> = 3 \* GB3 \* MERGEFORMAT </w:instrText>
      </w:r>
      <w:r>
        <w:rPr>
          <w:rFonts w:ascii="Times New Roman" w:hAnsi="Times New Roman" w:cs="Times New Roman"/>
          <w:snapToGrid w:val="0"/>
          <w:spacing w:val="-6"/>
          <w:kern w:val="21"/>
          <w:szCs w:val="21"/>
        </w:rPr>
        <w:fldChar w:fldCharType="separate"/>
      </w:r>
      <w:r>
        <w:rPr>
          <w:rFonts w:hint="eastAsia"/>
          <w:szCs w:val="21"/>
          <w:lang w:val="en-US"/>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lang w:val="en-US"/>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lang w:val="en-US"/>
        </w:rPr>
        <w:instrText xml:space="preserve"> = 4 \* GB3 \* MERGEFORMAT </w:instrText>
      </w:r>
      <w:r>
        <w:rPr>
          <w:rFonts w:ascii="Times New Roman" w:hAnsi="Times New Roman" w:cs="Times New Roman"/>
          <w:snapToGrid w:val="0"/>
          <w:spacing w:val="-6"/>
          <w:kern w:val="21"/>
          <w:szCs w:val="21"/>
        </w:rPr>
        <w:fldChar w:fldCharType="separate"/>
      </w:r>
      <w:r>
        <w:rPr>
          <w:rFonts w:hint="eastAsia"/>
          <w:szCs w:val="21"/>
          <w:lang w:val="en-US"/>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lang w:val="en-US"/>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lang w:val="en-US"/>
        </w:rPr>
        <w:instrText xml:space="preserve"> = 5 \* GB3 \* MERGEFORMAT </w:instrText>
      </w:r>
      <w:r>
        <w:rPr>
          <w:rFonts w:ascii="Times New Roman" w:hAnsi="Times New Roman" w:cs="Times New Roman"/>
          <w:snapToGrid w:val="0"/>
          <w:spacing w:val="-16"/>
          <w:kern w:val="21"/>
          <w:szCs w:val="21"/>
        </w:rPr>
        <w:fldChar w:fldCharType="separate"/>
      </w:r>
      <w:r>
        <w:rPr>
          <w:rFonts w:hint="eastAsia"/>
          <w:szCs w:val="21"/>
          <w:lang w:val="en-US"/>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lang w:val="en-US"/>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lang w:val="en-US"/>
        </w:rPr>
        <w:instrText xml:space="preserve"> = 7 \* GB3 \* MERGEFORMAT </w:instrText>
      </w:r>
      <w:r>
        <w:rPr>
          <w:rFonts w:ascii="Times New Roman" w:hAnsi="Times New Roman" w:cs="Times New Roman"/>
          <w:snapToGrid w:val="0"/>
          <w:spacing w:val="-6"/>
          <w:kern w:val="21"/>
          <w:szCs w:val="21"/>
        </w:rPr>
        <w:fldChar w:fldCharType="separate"/>
      </w:r>
      <w:r>
        <w:rPr>
          <w:rFonts w:hint="eastAsia"/>
          <w:szCs w:val="21"/>
          <w:lang w:val="en-US"/>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lang w:val="en-US"/>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lang w:val="en-US"/>
        </w:rPr>
        <w:instrText xml:space="preserve"> = 6 \* GB3 \* MERGEFORMAT </w:instrText>
      </w:r>
      <w:r>
        <w:rPr>
          <w:rFonts w:ascii="Times New Roman" w:hAnsi="Times New Roman" w:cs="Times New Roman"/>
          <w:snapToGrid w:val="0"/>
          <w:spacing w:val="-16"/>
          <w:kern w:val="21"/>
          <w:szCs w:val="21"/>
        </w:rPr>
        <w:fldChar w:fldCharType="separate"/>
      </w:r>
      <w:r>
        <w:rPr>
          <w:rFonts w:hint="eastAsia"/>
          <w:szCs w:val="21"/>
          <w:lang w:val="en-US"/>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lang w:val="en-US"/>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lang w:val="en-US"/>
        </w:rPr>
        <w:instrText xml:space="preserve"> = 1 \* GB3 \* MERGEFORMAT </w:instrText>
      </w:r>
      <w:r>
        <w:rPr>
          <w:rFonts w:ascii="Times New Roman" w:hAnsi="Times New Roman" w:cs="Times New Roman"/>
          <w:snapToGrid w:val="0"/>
          <w:spacing w:val="-6"/>
          <w:kern w:val="21"/>
          <w:szCs w:val="21"/>
        </w:rPr>
        <w:fldChar w:fldCharType="separate"/>
      </w:r>
      <w:r>
        <w:rPr>
          <w:rFonts w:hint="eastAsia"/>
          <w:szCs w:val="21"/>
          <w:lang w:val="en-US"/>
        </w:rPr>
        <w:t>①</w:t>
      </w:r>
      <w:r>
        <w:rPr>
          <w:rFonts w:ascii="Times New Roman" w:hAnsi="Times New Roman" w:cs="Times New Roman"/>
          <w:snapToGrid w:val="0"/>
          <w:spacing w:val="-6"/>
          <w:kern w:val="21"/>
          <w:szCs w:val="21"/>
        </w:rPr>
        <w:fldChar w:fldCharType="end"/>
      </w:r>
    </w:p>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方正小标宋_GBK">
    <w:altName w:val="微软雅黑"/>
    <w:panose1 w:val="02000000000000000000"/>
    <w:charset w:val="86"/>
    <w:family w:val="script"/>
    <w:pitch w:val="default"/>
    <w:sig w:usb0="00000000" w:usb1="00000000" w:usb2="00082016" w:usb3="00000000" w:csb0="0004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TimesNewRomanPSMT">
    <w:altName w:val="MS Gothic"/>
    <w:panose1 w:val="00000000000000000000"/>
    <w:charset w:val="80"/>
    <w:family w:val="auto"/>
    <w:pitch w:val="default"/>
    <w:sig w:usb0="00000000" w:usb1="00000000" w:usb2="00000010" w:usb3="00000000" w:csb0="00060000" w:csb1="00000000"/>
  </w:font>
  <w:font w:name="MS Gothic">
    <w:panose1 w:val="020B0609070205080204"/>
    <w:charset w:val="80"/>
    <w:family w:val="auto"/>
    <w:pitch w:val="default"/>
    <w:sig w:usb0="E00002FF" w:usb1="6AC7FDFB" w:usb2="08000012" w:usb3="00000000" w:csb0="4002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72B34">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CDD92">
    <w:pPr>
      <w:pStyle w:val="20"/>
      <w:framePr w:wrap="around" w:vAnchor="text" w:hAnchor="margin" w:xAlign="center" w:y="1"/>
      <w:rPr>
        <w:rStyle w:val="33"/>
      </w:rPr>
    </w:pPr>
    <w:r>
      <w:fldChar w:fldCharType="begin"/>
    </w:r>
    <w:r>
      <w:rPr>
        <w:rStyle w:val="33"/>
      </w:rPr>
      <w:instrText xml:space="preserve">PAGE  </w:instrText>
    </w:r>
    <w:r>
      <w:fldChar w:fldCharType="end"/>
    </w:r>
  </w:p>
  <w:p w14:paraId="54049913">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107D6">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posOffset>2957195</wp:posOffset>
              </wp:positionH>
              <wp:positionV relativeFrom="paragraph">
                <wp:posOffset>89535</wp:posOffset>
              </wp:positionV>
              <wp:extent cx="152400" cy="1828800"/>
              <wp:effectExtent l="0" t="0" r="0" b="0"/>
              <wp:wrapNone/>
              <wp:docPr id="7" name="文本框 2054"/>
              <wp:cNvGraphicFramePr/>
              <a:graphic xmlns:a="http://schemas.openxmlformats.org/drawingml/2006/main">
                <a:graphicData uri="http://schemas.microsoft.com/office/word/2010/wordprocessingShape">
                  <wps:wsp>
                    <wps:cNvSpPr txBox="1"/>
                    <wps:spPr>
                      <a:xfrm>
                        <a:off x="0" y="0"/>
                        <a:ext cx="152400" cy="1828800"/>
                      </a:xfrm>
                      <a:prstGeom prst="rect">
                        <a:avLst/>
                      </a:prstGeom>
                      <a:noFill/>
                      <a:ln>
                        <a:noFill/>
                      </a:ln>
                    </wps:spPr>
                    <wps:txbx>
                      <w:txbxContent>
                        <w:p w14:paraId="3F7FC5AE">
                          <w:pPr>
                            <w:pStyle w:val="20"/>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vert="horz" wrap="square" lIns="0" tIns="0" rIns="0" bIns="0" anchor="t" anchorCtr="0">
                      <a:spAutoFit/>
                    </wps:bodyPr>
                  </wps:wsp>
                </a:graphicData>
              </a:graphic>
            </wp:anchor>
          </w:drawing>
        </mc:Choice>
        <mc:Fallback>
          <w:pict>
            <v:shape id="文本框 2054" o:spid="_x0000_s1026" o:spt="202" type="#_x0000_t202" style="position:absolute;left:0pt;margin-left:232.85pt;margin-top:7.05pt;height:144pt;width:12pt;mso-position-horizontal-relative:margin;z-index:251659264;mso-width-relative:page;mso-height-relative:page;" filled="f" stroked="f" coordsize="21600,21600" o:gfxdata="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vQoj1wAAAAoBAAAP&#10;AAAAAAAAAAEAIAAAACIAAABkcnMvZG93bnJldi54bWxQSwECFAAUAAAACACHTuJADpKX/uABAAC2&#10;AwAADgAAAAAAAAABACAAAAAmAQAAZHJzL2Uyb0RvYy54bWxQSwUGAAAAAAYABgBZAQAAeAUAAAAA&#10;">
              <v:fill on="f" focussize="0,0"/>
              <v:stroke on="f"/>
              <v:imagedata o:title=""/>
              <o:lock v:ext="edit" aspectratio="f"/>
              <v:textbox inset="0mm,0mm,0mm,0mm" style="mso-fit-shape-to-text:t;">
                <w:txbxContent>
                  <w:p w14:paraId="3F7FC5AE">
                    <w:pPr>
                      <w:pStyle w:val="20"/>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6CB82">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0CB064">
                          <w:pPr>
                            <w:pStyle w:val="20"/>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jcxVfNkBAAC1AwAADgAAAAAAAAABACAA&#10;AAAeAQAAZHJzL2Uyb0RvYy54bWxQSwUGAAAAAAYABgBZAQAAaQUAAAAA&#10;">
              <v:fill on="f" focussize="0,0"/>
              <v:stroke on="f"/>
              <v:imagedata o:title=""/>
              <o:lock v:ext="edit" aspectratio="f"/>
              <v:textbox inset="0mm,0mm,0mm,0mm" style="mso-fit-shape-to-text:t;">
                <w:txbxContent>
                  <w:p w14:paraId="3D0CB064">
                    <w:pPr>
                      <w:pStyle w:val="20"/>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2AFA6"/>
    <w:multiLevelType w:val="singleLevel"/>
    <w:tmpl w:val="9C32AFA6"/>
    <w:lvl w:ilvl="0" w:tentative="0">
      <w:start w:val="6"/>
      <w:numFmt w:val="decimal"/>
      <w:suff w:val="nothing"/>
      <w:lvlText w:val="（%1）"/>
      <w:lvlJc w:val="left"/>
    </w:lvl>
  </w:abstractNum>
  <w:abstractNum w:abstractNumId="1">
    <w:nsid w:val="402F5A1A"/>
    <w:multiLevelType w:val="singleLevel"/>
    <w:tmpl w:val="402F5A1A"/>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2">
    <w:nsid w:val="494D7DEE"/>
    <w:multiLevelType w:val="singleLevel"/>
    <w:tmpl w:val="494D7DEE"/>
    <w:lvl w:ilvl="0" w:tentative="0">
      <w:start w:val="7"/>
      <w:numFmt w:val="decimal"/>
      <w:suff w:val="nothing"/>
      <w:lvlText w:val="%1、"/>
      <w:lvlJc w:val="left"/>
    </w:lvl>
  </w:abstractNum>
  <w:abstractNum w:abstractNumId="3">
    <w:nsid w:val="7459587E"/>
    <w:multiLevelType w:val="singleLevel"/>
    <w:tmpl w:val="7459587E"/>
    <w:lvl w:ilvl="0" w:tentative="0">
      <w:start w:val="2"/>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A14947"/>
    <w:rsid w:val="0000004E"/>
    <w:rsid w:val="000060B3"/>
    <w:rsid w:val="000064CC"/>
    <w:rsid w:val="00014CD0"/>
    <w:rsid w:val="0002333B"/>
    <w:rsid w:val="00024B1A"/>
    <w:rsid w:val="00026DC9"/>
    <w:rsid w:val="00030E59"/>
    <w:rsid w:val="000344FE"/>
    <w:rsid w:val="00036155"/>
    <w:rsid w:val="00036993"/>
    <w:rsid w:val="0004364B"/>
    <w:rsid w:val="00043EAC"/>
    <w:rsid w:val="00046F3E"/>
    <w:rsid w:val="00056D0F"/>
    <w:rsid w:val="00061B1F"/>
    <w:rsid w:val="00061CF7"/>
    <w:rsid w:val="00065FA0"/>
    <w:rsid w:val="000733C4"/>
    <w:rsid w:val="000734E3"/>
    <w:rsid w:val="00074783"/>
    <w:rsid w:val="00076E45"/>
    <w:rsid w:val="00077EF0"/>
    <w:rsid w:val="0008070B"/>
    <w:rsid w:val="000810AC"/>
    <w:rsid w:val="00081A02"/>
    <w:rsid w:val="00082231"/>
    <w:rsid w:val="000862C8"/>
    <w:rsid w:val="00092D38"/>
    <w:rsid w:val="0009377B"/>
    <w:rsid w:val="000942FD"/>
    <w:rsid w:val="00094799"/>
    <w:rsid w:val="00095518"/>
    <w:rsid w:val="000A20C9"/>
    <w:rsid w:val="000A31F5"/>
    <w:rsid w:val="000A32FA"/>
    <w:rsid w:val="000A4552"/>
    <w:rsid w:val="000B058F"/>
    <w:rsid w:val="000B19D2"/>
    <w:rsid w:val="000B4467"/>
    <w:rsid w:val="000B4DB9"/>
    <w:rsid w:val="000B6419"/>
    <w:rsid w:val="000B6A47"/>
    <w:rsid w:val="000B7230"/>
    <w:rsid w:val="000C09AC"/>
    <w:rsid w:val="000C589A"/>
    <w:rsid w:val="000C767F"/>
    <w:rsid w:val="000D5A44"/>
    <w:rsid w:val="000E1642"/>
    <w:rsid w:val="000E3ED2"/>
    <w:rsid w:val="000F35BF"/>
    <w:rsid w:val="0010190A"/>
    <w:rsid w:val="001168CB"/>
    <w:rsid w:val="00122C30"/>
    <w:rsid w:val="00123EA2"/>
    <w:rsid w:val="001311C6"/>
    <w:rsid w:val="00131F42"/>
    <w:rsid w:val="001327AD"/>
    <w:rsid w:val="001332D5"/>
    <w:rsid w:val="001357F1"/>
    <w:rsid w:val="00140FA8"/>
    <w:rsid w:val="00142AD2"/>
    <w:rsid w:val="00142FEB"/>
    <w:rsid w:val="00143A2D"/>
    <w:rsid w:val="0014466C"/>
    <w:rsid w:val="00145885"/>
    <w:rsid w:val="00145A41"/>
    <w:rsid w:val="00146C02"/>
    <w:rsid w:val="00147ADD"/>
    <w:rsid w:val="00151675"/>
    <w:rsid w:val="0015365F"/>
    <w:rsid w:val="00157435"/>
    <w:rsid w:val="00157C24"/>
    <w:rsid w:val="00163C18"/>
    <w:rsid w:val="00173BC8"/>
    <w:rsid w:val="0017504D"/>
    <w:rsid w:val="00175547"/>
    <w:rsid w:val="0017671A"/>
    <w:rsid w:val="00177422"/>
    <w:rsid w:val="00184556"/>
    <w:rsid w:val="00184590"/>
    <w:rsid w:val="001870D1"/>
    <w:rsid w:val="0018781E"/>
    <w:rsid w:val="0019262D"/>
    <w:rsid w:val="001949BA"/>
    <w:rsid w:val="001A1B35"/>
    <w:rsid w:val="001A3F84"/>
    <w:rsid w:val="001A48A2"/>
    <w:rsid w:val="001A6F61"/>
    <w:rsid w:val="001B72B8"/>
    <w:rsid w:val="001C4387"/>
    <w:rsid w:val="001C69B3"/>
    <w:rsid w:val="001D5595"/>
    <w:rsid w:val="001D6A2C"/>
    <w:rsid w:val="001D7874"/>
    <w:rsid w:val="001D7A94"/>
    <w:rsid w:val="001D7F22"/>
    <w:rsid w:val="001E1261"/>
    <w:rsid w:val="001E140B"/>
    <w:rsid w:val="001E2A17"/>
    <w:rsid w:val="001E6D9B"/>
    <w:rsid w:val="001E7F65"/>
    <w:rsid w:val="001F0F17"/>
    <w:rsid w:val="001F3347"/>
    <w:rsid w:val="001F69E4"/>
    <w:rsid w:val="00205D9A"/>
    <w:rsid w:val="002125B4"/>
    <w:rsid w:val="002155B8"/>
    <w:rsid w:val="00215F35"/>
    <w:rsid w:val="00216870"/>
    <w:rsid w:val="00217D92"/>
    <w:rsid w:val="00224839"/>
    <w:rsid w:val="002249B2"/>
    <w:rsid w:val="00226574"/>
    <w:rsid w:val="002278EC"/>
    <w:rsid w:val="0023280E"/>
    <w:rsid w:val="002365C4"/>
    <w:rsid w:val="002377D1"/>
    <w:rsid w:val="002506BC"/>
    <w:rsid w:val="00254345"/>
    <w:rsid w:val="002575B7"/>
    <w:rsid w:val="00261792"/>
    <w:rsid w:val="002634E9"/>
    <w:rsid w:val="00264557"/>
    <w:rsid w:val="00266143"/>
    <w:rsid w:val="002740B7"/>
    <w:rsid w:val="0028012A"/>
    <w:rsid w:val="002805AB"/>
    <w:rsid w:val="002805CA"/>
    <w:rsid w:val="00283F93"/>
    <w:rsid w:val="00284204"/>
    <w:rsid w:val="00291773"/>
    <w:rsid w:val="00292E7D"/>
    <w:rsid w:val="0029600C"/>
    <w:rsid w:val="002A168C"/>
    <w:rsid w:val="002A1A57"/>
    <w:rsid w:val="002A3DC7"/>
    <w:rsid w:val="002A3E8D"/>
    <w:rsid w:val="002A75D9"/>
    <w:rsid w:val="002B0634"/>
    <w:rsid w:val="002B49E2"/>
    <w:rsid w:val="002B4B17"/>
    <w:rsid w:val="002B7B00"/>
    <w:rsid w:val="002B7C44"/>
    <w:rsid w:val="002C27DA"/>
    <w:rsid w:val="002C2B17"/>
    <w:rsid w:val="002C5A90"/>
    <w:rsid w:val="002D2BB1"/>
    <w:rsid w:val="002D3DD0"/>
    <w:rsid w:val="002D54C6"/>
    <w:rsid w:val="002D62C0"/>
    <w:rsid w:val="002E1F3A"/>
    <w:rsid w:val="002E298A"/>
    <w:rsid w:val="002E4EAC"/>
    <w:rsid w:val="002F3E4D"/>
    <w:rsid w:val="002F67B2"/>
    <w:rsid w:val="00301978"/>
    <w:rsid w:val="0030332C"/>
    <w:rsid w:val="003051C2"/>
    <w:rsid w:val="00312296"/>
    <w:rsid w:val="00314F0E"/>
    <w:rsid w:val="00315F72"/>
    <w:rsid w:val="00321D8E"/>
    <w:rsid w:val="00325928"/>
    <w:rsid w:val="00332863"/>
    <w:rsid w:val="00333A4E"/>
    <w:rsid w:val="0033684D"/>
    <w:rsid w:val="00337B42"/>
    <w:rsid w:val="00337BCB"/>
    <w:rsid w:val="00341B42"/>
    <w:rsid w:val="00342B09"/>
    <w:rsid w:val="0034348F"/>
    <w:rsid w:val="00356653"/>
    <w:rsid w:val="0035743F"/>
    <w:rsid w:val="00357BE2"/>
    <w:rsid w:val="0036170C"/>
    <w:rsid w:val="0036648D"/>
    <w:rsid w:val="00366E0F"/>
    <w:rsid w:val="0037552A"/>
    <w:rsid w:val="003764E8"/>
    <w:rsid w:val="00381A72"/>
    <w:rsid w:val="00384676"/>
    <w:rsid w:val="00387F31"/>
    <w:rsid w:val="00390645"/>
    <w:rsid w:val="00390857"/>
    <w:rsid w:val="00395499"/>
    <w:rsid w:val="003977A1"/>
    <w:rsid w:val="003A24A5"/>
    <w:rsid w:val="003A4BF3"/>
    <w:rsid w:val="003B08FC"/>
    <w:rsid w:val="003B11BF"/>
    <w:rsid w:val="003B420D"/>
    <w:rsid w:val="003B4EAA"/>
    <w:rsid w:val="003C6341"/>
    <w:rsid w:val="003C6C16"/>
    <w:rsid w:val="003D0E62"/>
    <w:rsid w:val="003D12DA"/>
    <w:rsid w:val="003D794D"/>
    <w:rsid w:val="003E135A"/>
    <w:rsid w:val="003E3019"/>
    <w:rsid w:val="003E3058"/>
    <w:rsid w:val="003E4070"/>
    <w:rsid w:val="003E4BE6"/>
    <w:rsid w:val="003E76A9"/>
    <w:rsid w:val="003F0809"/>
    <w:rsid w:val="003F0E98"/>
    <w:rsid w:val="003F6A8C"/>
    <w:rsid w:val="003F755C"/>
    <w:rsid w:val="003F7A2A"/>
    <w:rsid w:val="00405093"/>
    <w:rsid w:val="004059D6"/>
    <w:rsid w:val="00405FB3"/>
    <w:rsid w:val="00406F01"/>
    <w:rsid w:val="00416D50"/>
    <w:rsid w:val="00416FD5"/>
    <w:rsid w:val="00417772"/>
    <w:rsid w:val="00420B91"/>
    <w:rsid w:val="00420E6A"/>
    <w:rsid w:val="00425A9E"/>
    <w:rsid w:val="00426D6B"/>
    <w:rsid w:val="0043065C"/>
    <w:rsid w:val="00431E6C"/>
    <w:rsid w:val="00433CE7"/>
    <w:rsid w:val="004462E3"/>
    <w:rsid w:val="00452738"/>
    <w:rsid w:val="00456091"/>
    <w:rsid w:val="00457A4F"/>
    <w:rsid w:val="00466321"/>
    <w:rsid w:val="0047532F"/>
    <w:rsid w:val="00484B9B"/>
    <w:rsid w:val="00484E20"/>
    <w:rsid w:val="004855F6"/>
    <w:rsid w:val="0048661E"/>
    <w:rsid w:val="00494670"/>
    <w:rsid w:val="00495FA7"/>
    <w:rsid w:val="004A3823"/>
    <w:rsid w:val="004A45DB"/>
    <w:rsid w:val="004B17A6"/>
    <w:rsid w:val="004B3882"/>
    <w:rsid w:val="004C0E8E"/>
    <w:rsid w:val="004C2F73"/>
    <w:rsid w:val="004C37DC"/>
    <w:rsid w:val="004C3933"/>
    <w:rsid w:val="004D024E"/>
    <w:rsid w:val="004E0E85"/>
    <w:rsid w:val="004E133D"/>
    <w:rsid w:val="004E19D8"/>
    <w:rsid w:val="004E62B1"/>
    <w:rsid w:val="004E6946"/>
    <w:rsid w:val="004F1AD8"/>
    <w:rsid w:val="004F2710"/>
    <w:rsid w:val="00500AE8"/>
    <w:rsid w:val="005039CB"/>
    <w:rsid w:val="0050558F"/>
    <w:rsid w:val="00506286"/>
    <w:rsid w:val="00507905"/>
    <w:rsid w:val="00510813"/>
    <w:rsid w:val="00511990"/>
    <w:rsid w:val="00511DE0"/>
    <w:rsid w:val="005132E8"/>
    <w:rsid w:val="00514870"/>
    <w:rsid w:val="00514B9B"/>
    <w:rsid w:val="00515146"/>
    <w:rsid w:val="00515CE9"/>
    <w:rsid w:val="00517F02"/>
    <w:rsid w:val="005206DC"/>
    <w:rsid w:val="0052215A"/>
    <w:rsid w:val="00524303"/>
    <w:rsid w:val="005245B9"/>
    <w:rsid w:val="00524839"/>
    <w:rsid w:val="005258A2"/>
    <w:rsid w:val="00530350"/>
    <w:rsid w:val="00531335"/>
    <w:rsid w:val="00532D8F"/>
    <w:rsid w:val="0053694E"/>
    <w:rsid w:val="005401AE"/>
    <w:rsid w:val="00542E07"/>
    <w:rsid w:val="00544B9D"/>
    <w:rsid w:val="00545424"/>
    <w:rsid w:val="005513DE"/>
    <w:rsid w:val="00554A7B"/>
    <w:rsid w:val="0055572C"/>
    <w:rsid w:val="00560CBD"/>
    <w:rsid w:val="0056106A"/>
    <w:rsid w:val="00562470"/>
    <w:rsid w:val="00562A8E"/>
    <w:rsid w:val="0056611D"/>
    <w:rsid w:val="005720AE"/>
    <w:rsid w:val="005758A4"/>
    <w:rsid w:val="00576775"/>
    <w:rsid w:val="00580F43"/>
    <w:rsid w:val="00581C44"/>
    <w:rsid w:val="005849F6"/>
    <w:rsid w:val="00590643"/>
    <w:rsid w:val="005911FD"/>
    <w:rsid w:val="00594D77"/>
    <w:rsid w:val="005964BE"/>
    <w:rsid w:val="005969E4"/>
    <w:rsid w:val="005A06B7"/>
    <w:rsid w:val="005A06F9"/>
    <w:rsid w:val="005A0C1E"/>
    <w:rsid w:val="005A1759"/>
    <w:rsid w:val="005A533D"/>
    <w:rsid w:val="005A68A7"/>
    <w:rsid w:val="005B0314"/>
    <w:rsid w:val="005B5236"/>
    <w:rsid w:val="005B5EB2"/>
    <w:rsid w:val="005C2901"/>
    <w:rsid w:val="005C67FF"/>
    <w:rsid w:val="005D36AB"/>
    <w:rsid w:val="005D63EC"/>
    <w:rsid w:val="005E15F5"/>
    <w:rsid w:val="005E178D"/>
    <w:rsid w:val="005E6D0B"/>
    <w:rsid w:val="005E7263"/>
    <w:rsid w:val="005F22C2"/>
    <w:rsid w:val="005F2BAD"/>
    <w:rsid w:val="005F3EFE"/>
    <w:rsid w:val="005F653F"/>
    <w:rsid w:val="006014F2"/>
    <w:rsid w:val="00617CC3"/>
    <w:rsid w:val="00623097"/>
    <w:rsid w:val="00631B03"/>
    <w:rsid w:val="00636B1E"/>
    <w:rsid w:val="006377A6"/>
    <w:rsid w:val="00637A3D"/>
    <w:rsid w:val="006411EF"/>
    <w:rsid w:val="00644E7C"/>
    <w:rsid w:val="0066078E"/>
    <w:rsid w:val="00662211"/>
    <w:rsid w:val="006628E3"/>
    <w:rsid w:val="00662A7A"/>
    <w:rsid w:val="006748B8"/>
    <w:rsid w:val="00676B89"/>
    <w:rsid w:val="006775C3"/>
    <w:rsid w:val="00683913"/>
    <w:rsid w:val="00690931"/>
    <w:rsid w:val="00690D0D"/>
    <w:rsid w:val="0069290A"/>
    <w:rsid w:val="0069775A"/>
    <w:rsid w:val="00697813"/>
    <w:rsid w:val="006A3EE8"/>
    <w:rsid w:val="006A61E8"/>
    <w:rsid w:val="006A72BF"/>
    <w:rsid w:val="006B02EA"/>
    <w:rsid w:val="006B03F2"/>
    <w:rsid w:val="006B0FF4"/>
    <w:rsid w:val="006B12E6"/>
    <w:rsid w:val="006B37DC"/>
    <w:rsid w:val="006B4F68"/>
    <w:rsid w:val="006C0592"/>
    <w:rsid w:val="006C272E"/>
    <w:rsid w:val="006C5479"/>
    <w:rsid w:val="006C7F45"/>
    <w:rsid w:val="006D13B5"/>
    <w:rsid w:val="006D4A14"/>
    <w:rsid w:val="006E12FF"/>
    <w:rsid w:val="006E1403"/>
    <w:rsid w:val="006E5E66"/>
    <w:rsid w:val="006E607E"/>
    <w:rsid w:val="006F5023"/>
    <w:rsid w:val="006F6046"/>
    <w:rsid w:val="00700ABA"/>
    <w:rsid w:val="00700ED9"/>
    <w:rsid w:val="00706C5D"/>
    <w:rsid w:val="00707B14"/>
    <w:rsid w:val="00710CA5"/>
    <w:rsid w:val="007160EA"/>
    <w:rsid w:val="00724584"/>
    <w:rsid w:val="00726C84"/>
    <w:rsid w:val="00732922"/>
    <w:rsid w:val="00735170"/>
    <w:rsid w:val="00736337"/>
    <w:rsid w:val="007404C5"/>
    <w:rsid w:val="0074264B"/>
    <w:rsid w:val="0075162E"/>
    <w:rsid w:val="00754034"/>
    <w:rsid w:val="007545C9"/>
    <w:rsid w:val="00756556"/>
    <w:rsid w:val="0075704E"/>
    <w:rsid w:val="00761206"/>
    <w:rsid w:val="007618C4"/>
    <w:rsid w:val="00767980"/>
    <w:rsid w:val="00770B19"/>
    <w:rsid w:val="0077463F"/>
    <w:rsid w:val="00777E2B"/>
    <w:rsid w:val="007836EA"/>
    <w:rsid w:val="00784CDA"/>
    <w:rsid w:val="007906C4"/>
    <w:rsid w:val="007940EA"/>
    <w:rsid w:val="007967E8"/>
    <w:rsid w:val="007A2170"/>
    <w:rsid w:val="007A22BF"/>
    <w:rsid w:val="007A3323"/>
    <w:rsid w:val="007A3A92"/>
    <w:rsid w:val="007B4849"/>
    <w:rsid w:val="007B72B8"/>
    <w:rsid w:val="007B7A58"/>
    <w:rsid w:val="007C0946"/>
    <w:rsid w:val="007C21B5"/>
    <w:rsid w:val="007D0339"/>
    <w:rsid w:val="007D15A5"/>
    <w:rsid w:val="007D2FF7"/>
    <w:rsid w:val="007D498D"/>
    <w:rsid w:val="007D6967"/>
    <w:rsid w:val="007E4BD2"/>
    <w:rsid w:val="007F1BA2"/>
    <w:rsid w:val="007F45EC"/>
    <w:rsid w:val="00800636"/>
    <w:rsid w:val="00800649"/>
    <w:rsid w:val="00801393"/>
    <w:rsid w:val="00802F88"/>
    <w:rsid w:val="008044DE"/>
    <w:rsid w:val="008074B1"/>
    <w:rsid w:val="0081293E"/>
    <w:rsid w:val="00813A0D"/>
    <w:rsid w:val="00815465"/>
    <w:rsid w:val="00817E9A"/>
    <w:rsid w:val="00825503"/>
    <w:rsid w:val="008306BD"/>
    <w:rsid w:val="00831A80"/>
    <w:rsid w:val="00833743"/>
    <w:rsid w:val="008340A4"/>
    <w:rsid w:val="008367A0"/>
    <w:rsid w:val="00845647"/>
    <w:rsid w:val="00846203"/>
    <w:rsid w:val="00862D5C"/>
    <w:rsid w:val="008661DA"/>
    <w:rsid w:val="0087135F"/>
    <w:rsid w:val="00872D94"/>
    <w:rsid w:val="00880364"/>
    <w:rsid w:val="00881D78"/>
    <w:rsid w:val="00891592"/>
    <w:rsid w:val="00891AFB"/>
    <w:rsid w:val="00891E9E"/>
    <w:rsid w:val="008943DC"/>
    <w:rsid w:val="0089626B"/>
    <w:rsid w:val="008A2F68"/>
    <w:rsid w:val="008A63FC"/>
    <w:rsid w:val="008B2C9D"/>
    <w:rsid w:val="008B2F2E"/>
    <w:rsid w:val="008B4FA6"/>
    <w:rsid w:val="008B5282"/>
    <w:rsid w:val="008B7C17"/>
    <w:rsid w:val="008C2D01"/>
    <w:rsid w:val="008C40E6"/>
    <w:rsid w:val="008D0F7A"/>
    <w:rsid w:val="008D68E4"/>
    <w:rsid w:val="008E0506"/>
    <w:rsid w:val="008E0CFF"/>
    <w:rsid w:val="008E5842"/>
    <w:rsid w:val="008E5D6B"/>
    <w:rsid w:val="008E76F0"/>
    <w:rsid w:val="008F15FE"/>
    <w:rsid w:val="008F2764"/>
    <w:rsid w:val="008F2D29"/>
    <w:rsid w:val="008F5187"/>
    <w:rsid w:val="008F60D8"/>
    <w:rsid w:val="00901F42"/>
    <w:rsid w:val="00902727"/>
    <w:rsid w:val="0090312B"/>
    <w:rsid w:val="0090539A"/>
    <w:rsid w:val="009059D8"/>
    <w:rsid w:val="00914E09"/>
    <w:rsid w:val="0091736D"/>
    <w:rsid w:val="00923FD2"/>
    <w:rsid w:val="0093037A"/>
    <w:rsid w:val="00930A4C"/>
    <w:rsid w:val="00935190"/>
    <w:rsid w:val="00935DA2"/>
    <w:rsid w:val="00936E2D"/>
    <w:rsid w:val="009402A7"/>
    <w:rsid w:val="0094154D"/>
    <w:rsid w:val="00946286"/>
    <w:rsid w:val="0095155F"/>
    <w:rsid w:val="009536FE"/>
    <w:rsid w:val="00954429"/>
    <w:rsid w:val="009563CE"/>
    <w:rsid w:val="00966624"/>
    <w:rsid w:val="00976328"/>
    <w:rsid w:val="0097680D"/>
    <w:rsid w:val="0098064D"/>
    <w:rsid w:val="00982438"/>
    <w:rsid w:val="0098404C"/>
    <w:rsid w:val="009848FB"/>
    <w:rsid w:val="00985283"/>
    <w:rsid w:val="00986397"/>
    <w:rsid w:val="00990164"/>
    <w:rsid w:val="00991421"/>
    <w:rsid w:val="00994133"/>
    <w:rsid w:val="00995992"/>
    <w:rsid w:val="00996323"/>
    <w:rsid w:val="00997A1C"/>
    <w:rsid w:val="009A037E"/>
    <w:rsid w:val="009A03E5"/>
    <w:rsid w:val="009A0F3B"/>
    <w:rsid w:val="009A1BB4"/>
    <w:rsid w:val="009A2628"/>
    <w:rsid w:val="009A3200"/>
    <w:rsid w:val="009A62E9"/>
    <w:rsid w:val="009B03CE"/>
    <w:rsid w:val="009B0897"/>
    <w:rsid w:val="009B0AA1"/>
    <w:rsid w:val="009B19B3"/>
    <w:rsid w:val="009B7BD9"/>
    <w:rsid w:val="009C5239"/>
    <w:rsid w:val="009C7DD5"/>
    <w:rsid w:val="009D0D57"/>
    <w:rsid w:val="009D1FC0"/>
    <w:rsid w:val="009E227D"/>
    <w:rsid w:val="009E2AE4"/>
    <w:rsid w:val="009E5019"/>
    <w:rsid w:val="00A04F1B"/>
    <w:rsid w:val="00A0501B"/>
    <w:rsid w:val="00A06419"/>
    <w:rsid w:val="00A120B7"/>
    <w:rsid w:val="00A14947"/>
    <w:rsid w:val="00A17DB7"/>
    <w:rsid w:val="00A32A83"/>
    <w:rsid w:val="00A368DB"/>
    <w:rsid w:val="00A41AD0"/>
    <w:rsid w:val="00A423AA"/>
    <w:rsid w:val="00A46E5A"/>
    <w:rsid w:val="00A47935"/>
    <w:rsid w:val="00A53EC6"/>
    <w:rsid w:val="00A55C0F"/>
    <w:rsid w:val="00A65FD6"/>
    <w:rsid w:val="00A67966"/>
    <w:rsid w:val="00A72B3C"/>
    <w:rsid w:val="00A777AA"/>
    <w:rsid w:val="00A82F74"/>
    <w:rsid w:val="00A8713F"/>
    <w:rsid w:val="00A903A2"/>
    <w:rsid w:val="00A90BA1"/>
    <w:rsid w:val="00A97A9A"/>
    <w:rsid w:val="00AA0671"/>
    <w:rsid w:val="00AA2531"/>
    <w:rsid w:val="00AA6226"/>
    <w:rsid w:val="00AB1E09"/>
    <w:rsid w:val="00AB5330"/>
    <w:rsid w:val="00AB7747"/>
    <w:rsid w:val="00AC14CE"/>
    <w:rsid w:val="00AC1F15"/>
    <w:rsid w:val="00AC2A56"/>
    <w:rsid w:val="00AD055E"/>
    <w:rsid w:val="00AD34B5"/>
    <w:rsid w:val="00AD47A7"/>
    <w:rsid w:val="00AE1A06"/>
    <w:rsid w:val="00AE5446"/>
    <w:rsid w:val="00AF0CBF"/>
    <w:rsid w:val="00AF0D91"/>
    <w:rsid w:val="00AF257F"/>
    <w:rsid w:val="00AF33CF"/>
    <w:rsid w:val="00AF4901"/>
    <w:rsid w:val="00AF4D50"/>
    <w:rsid w:val="00AF6179"/>
    <w:rsid w:val="00AF63D4"/>
    <w:rsid w:val="00B012CD"/>
    <w:rsid w:val="00B02B6D"/>
    <w:rsid w:val="00B04033"/>
    <w:rsid w:val="00B1295A"/>
    <w:rsid w:val="00B15CEB"/>
    <w:rsid w:val="00B20A45"/>
    <w:rsid w:val="00B22C5C"/>
    <w:rsid w:val="00B24F30"/>
    <w:rsid w:val="00B31ABF"/>
    <w:rsid w:val="00B33BE3"/>
    <w:rsid w:val="00B44DDE"/>
    <w:rsid w:val="00B53B5D"/>
    <w:rsid w:val="00B6055E"/>
    <w:rsid w:val="00B6284E"/>
    <w:rsid w:val="00B6317D"/>
    <w:rsid w:val="00B64417"/>
    <w:rsid w:val="00B7723F"/>
    <w:rsid w:val="00B80534"/>
    <w:rsid w:val="00B8433C"/>
    <w:rsid w:val="00B87491"/>
    <w:rsid w:val="00B91586"/>
    <w:rsid w:val="00B9488B"/>
    <w:rsid w:val="00B95DED"/>
    <w:rsid w:val="00BA29E9"/>
    <w:rsid w:val="00BA7142"/>
    <w:rsid w:val="00BB0CF4"/>
    <w:rsid w:val="00BB1572"/>
    <w:rsid w:val="00BB237C"/>
    <w:rsid w:val="00BB41A3"/>
    <w:rsid w:val="00BC0B15"/>
    <w:rsid w:val="00BC0FE4"/>
    <w:rsid w:val="00BC17CE"/>
    <w:rsid w:val="00BC27EE"/>
    <w:rsid w:val="00BC32DC"/>
    <w:rsid w:val="00BC3511"/>
    <w:rsid w:val="00BC35B6"/>
    <w:rsid w:val="00BC5AD0"/>
    <w:rsid w:val="00BD1B51"/>
    <w:rsid w:val="00BD4596"/>
    <w:rsid w:val="00BE1405"/>
    <w:rsid w:val="00BE312D"/>
    <w:rsid w:val="00BF1B39"/>
    <w:rsid w:val="00BF1C20"/>
    <w:rsid w:val="00BF54BC"/>
    <w:rsid w:val="00C00680"/>
    <w:rsid w:val="00C03CCD"/>
    <w:rsid w:val="00C048B4"/>
    <w:rsid w:val="00C10578"/>
    <w:rsid w:val="00C135BC"/>
    <w:rsid w:val="00C15BC0"/>
    <w:rsid w:val="00C15C95"/>
    <w:rsid w:val="00C1675C"/>
    <w:rsid w:val="00C20AB9"/>
    <w:rsid w:val="00C20F9F"/>
    <w:rsid w:val="00C213DF"/>
    <w:rsid w:val="00C2168C"/>
    <w:rsid w:val="00C2596A"/>
    <w:rsid w:val="00C27537"/>
    <w:rsid w:val="00C27FEB"/>
    <w:rsid w:val="00C30045"/>
    <w:rsid w:val="00C3076C"/>
    <w:rsid w:val="00C328FE"/>
    <w:rsid w:val="00C33507"/>
    <w:rsid w:val="00C424F2"/>
    <w:rsid w:val="00C4409D"/>
    <w:rsid w:val="00C44E72"/>
    <w:rsid w:val="00C45A06"/>
    <w:rsid w:val="00C45E83"/>
    <w:rsid w:val="00C47E5B"/>
    <w:rsid w:val="00C601E6"/>
    <w:rsid w:val="00C60BBC"/>
    <w:rsid w:val="00C61E4B"/>
    <w:rsid w:val="00C64BFF"/>
    <w:rsid w:val="00C64C67"/>
    <w:rsid w:val="00C66319"/>
    <w:rsid w:val="00C704E9"/>
    <w:rsid w:val="00C763C9"/>
    <w:rsid w:val="00C80057"/>
    <w:rsid w:val="00C82232"/>
    <w:rsid w:val="00C82913"/>
    <w:rsid w:val="00C864B7"/>
    <w:rsid w:val="00C972B1"/>
    <w:rsid w:val="00C975A5"/>
    <w:rsid w:val="00CA08B9"/>
    <w:rsid w:val="00CA0CCD"/>
    <w:rsid w:val="00CA2CCE"/>
    <w:rsid w:val="00CA43FD"/>
    <w:rsid w:val="00CA7EF8"/>
    <w:rsid w:val="00CC1E52"/>
    <w:rsid w:val="00CC489B"/>
    <w:rsid w:val="00CC7096"/>
    <w:rsid w:val="00CD2586"/>
    <w:rsid w:val="00CD2BCD"/>
    <w:rsid w:val="00CD3A4C"/>
    <w:rsid w:val="00CD423C"/>
    <w:rsid w:val="00CD7035"/>
    <w:rsid w:val="00CE10E9"/>
    <w:rsid w:val="00CE2910"/>
    <w:rsid w:val="00CE462A"/>
    <w:rsid w:val="00CE5393"/>
    <w:rsid w:val="00CE6AFD"/>
    <w:rsid w:val="00CE7925"/>
    <w:rsid w:val="00CF36BE"/>
    <w:rsid w:val="00CF6000"/>
    <w:rsid w:val="00D003F3"/>
    <w:rsid w:val="00D0364F"/>
    <w:rsid w:val="00D03AB9"/>
    <w:rsid w:val="00D04055"/>
    <w:rsid w:val="00D044EB"/>
    <w:rsid w:val="00D06834"/>
    <w:rsid w:val="00D170B5"/>
    <w:rsid w:val="00D27165"/>
    <w:rsid w:val="00D308ED"/>
    <w:rsid w:val="00D32470"/>
    <w:rsid w:val="00D33F8A"/>
    <w:rsid w:val="00D34698"/>
    <w:rsid w:val="00D36D86"/>
    <w:rsid w:val="00D428AA"/>
    <w:rsid w:val="00D452B1"/>
    <w:rsid w:val="00D50A34"/>
    <w:rsid w:val="00D53EFA"/>
    <w:rsid w:val="00D612F4"/>
    <w:rsid w:val="00D61308"/>
    <w:rsid w:val="00D63CEA"/>
    <w:rsid w:val="00D70A4D"/>
    <w:rsid w:val="00D76A8B"/>
    <w:rsid w:val="00D86E31"/>
    <w:rsid w:val="00D94A7C"/>
    <w:rsid w:val="00D94CEA"/>
    <w:rsid w:val="00D95896"/>
    <w:rsid w:val="00DA056E"/>
    <w:rsid w:val="00DA30D5"/>
    <w:rsid w:val="00DB0756"/>
    <w:rsid w:val="00DB2983"/>
    <w:rsid w:val="00DB30F0"/>
    <w:rsid w:val="00DB495D"/>
    <w:rsid w:val="00DC1257"/>
    <w:rsid w:val="00DC3DC0"/>
    <w:rsid w:val="00DC41A6"/>
    <w:rsid w:val="00DC5B2B"/>
    <w:rsid w:val="00DD318D"/>
    <w:rsid w:val="00DD5EB7"/>
    <w:rsid w:val="00DD67DC"/>
    <w:rsid w:val="00DF2E12"/>
    <w:rsid w:val="00DF4B22"/>
    <w:rsid w:val="00DF514A"/>
    <w:rsid w:val="00DF6690"/>
    <w:rsid w:val="00DF6804"/>
    <w:rsid w:val="00E009B8"/>
    <w:rsid w:val="00E01206"/>
    <w:rsid w:val="00E014FE"/>
    <w:rsid w:val="00E0358D"/>
    <w:rsid w:val="00E03B87"/>
    <w:rsid w:val="00E04323"/>
    <w:rsid w:val="00E0658E"/>
    <w:rsid w:val="00E070A2"/>
    <w:rsid w:val="00E07597"/>
    <w:rsid w:val="00E12041"/>
    <w:rsid w:val="00E2656A"/>
    <w:rsid w:val="00E373DB"/>
    <w:rsid w:val="00E37CF5"/>
    <w:rsid w:val="00E4032E"/>
    <w:rsid w:val="00E412D0"/>
    <w:rsid w:val="00E42EBD"/>
    <w:rsid w:val="00E53B9B"/>
    <w:rsid w:val="00E56322"/>
    <w:rsid w:val="00E60982"/>
    <w:rsid w:val="00E6270F"/>
    <w:rsid w:val="00E62C62"/>
    <w:rsid w:val="00E6416A"/>
    <w:rsid w:val="00E642E7"/>
    <w:rsid w:val="00E654C1"/>
    <w:rsid w:val="00E65D97"/>
    <w:rsid w:val="00E72A5A"/>
    <w:rsid w:val="00E73354"/>
    <w:rsid w:val="00E8636E"/>
    <w:rsid w:val="00E87DE9"/>
    <w:rsid w:val="00E9242D"/>
    <w:rsid w:val="00E97C7C"/>
    <w:rsid w:val="00EA0C19"/>
    <w:rsid w:val="00EA2D32"/>
    <w:rsid w:val="00EA3175"/>
    <w:rsid w:val="00EA565A"/>
    <w:rsid w:val="00EB39D2"/>
    <w:rsid w:val="00EB5255"/>
    <w:rsid w:val="00EB5C47"/>
    <w:rsid w:val="00EB7258"/>
    <w:rsid w:val="00EC3D1E"/>
    <w:rsid w:val="00EC78C5"/>
    <w:rsid w:val="00ED0639"/>
    <w:rsid w:val="00ED22EE"/>
    <w:rsid w:val="00ED26FE"/>
    <w:rsid w:val="00ED2DDD"/>
    <w:rsid w:val="00ED585B"/>
    <w:rsid w:val="00EE1805"/>
    <w:rsid w:val="00EE6BD4"/>
    <w:rsid w:val="00EF372F"/>
    <w:rsid w:val="00EF4755"/>
    <w:rsid w:val="00EF7135"/>
    <w:rsid w:val="00F0173B"/>
    <w:rsid w:val="00F027DB"/>
    <w:rsid w:val="00F14A7A"/>
    <w:rsid w:val="00F22985"/>
    <w:rsid w:val="00F24778"/>
    <w:rsid w:val="00F26691"/>
    <w:rsid w:val="00F267A1"/>
    <w:rsid w:val="00F26AD6"/>
    <w:rsid w:val="00F308E9"/>
    <w:rsid w:val="00F32D0F"/>
    <w:rsid w:val="00F3383E"/>
    <w:rsid w:val="00F36C49"/>
    <w:rsid w:val="00F44680"/>
    <w:rsid w:val="00F465A7"/>
    <w:rsid w:val="00F509CD"/>
    <w:rsid w:val="00F50B7C"/>
    <w:rsid w:val="00F5390A"/>
    <w:rsid w:val="00F54DA5"/>
    <w:rsid w:val="00F550E6"/>
    <w:rsid w:val="00F56282"/>
    <w:rsid w:val="00F60D9A"/>
    <w:rsid w:val="00F62983"/>
    <w:rsid w:val="00F7270A"/>
    <w:rsid w:val="00F74345"/>
    <w:rsid w:val="00F77548"/>
    <w:rsid w:val="00F80A0A"/>
    <w:rsid w:val="00F82B19"/>
    <w:rsid w:val="00F85DD9"/>
    <w:rsid w:val="00F9028F"/>
    <w:rsid w:val="00F9212D"/>
    <w:rsid w:val="00F92CB6"/>
    <w:rsid w:val="00F93C50"/>
    <w:rsid w:val="00F965DA"/>
    <w:rsid w:val="00F973B9"/>
    <w:rsid w:val="00FA148A"/>
    <w:rsid w:val="00FA150E"/>
    <w:rsid w:val="00FA406A"/>
    <w:rsid w:val="00FA5D32"/>
    <w:rsid w:val="00FB503A"/>
    <w:rsid w:val="00FB516C"/>
    <w:rsid w:val="00FC4734"/>
    <w:rsid w:val="00FD0236"/>
    <w:rsid w:val="00FD18F4"/>
    <w:rsid w:val="00FD196F"/>
    <w:rsid w:val="00FD54DB"/>
    <w:rsid w:val="00FD619F"/>
    <w:rsid w:val="00FE3864"/>
    <w:rsid w:val="00FE60AC"/>
    <w:rsid w:val="00FF1920"/>
    <w:rsid w:val="01203FAE"/>
    <w:rsid w:val="01290F7E"/>
    <w:rsid w:val="012A7087"/>
    <w:rsid w:val="014A74B3"/>
    <w:rsid w:val="01535609"/>
    <w:rsid w:val="015D1E09"/>
    <w:rsid w:val="016043AA"/>
    <w:rsid w:val="01941499"/>
    <w:rsid w:val="01BE330D"/>
    <w:rsid w:val="01FB2235"/>
    <w:rsid w:val="025B11F3"/>
    <w:rsid w:val="02697903"/>
    <w:rsid w:val="02713441"/>
    <w:rsid w:val="027253B2"/>
    <w:rsid w:val="02CE2DAD"/>
    <w:rsid w:val="02E60833"/>
    <w:rsid w:val="02EC643A"/>
    <w:rsid w:val="02F96569"/>
    <w:rsid w:val="03101B74"/>
    <w:rsid w:val="032C3350"/>
    <w:rsid w:val="035837A7"/>
    <w:rsid w:val="03695CCF"/>
    <w:rsid w:val="0387364A"/>
    <w:rsid w:val="03BC74E0"/>
    <w:rsid w:val="03C82A00"/>
    <w:rsid w:val="03CE029A"/>
    <w:rsid w:val="03EA7B21"/>
    <w:rsid w:val="04297344"/>
    <w:rsid w:val="043E5C1C"/>
    <w:rsid w:val="044B2C66"/>
    <w:rsid w:val="046C173C"/>
    <w:rsid w:val="0497059B"/>
    <w:rsid w:val="04C130FF"/>
    <w:rsid w:val="04C66765"/>
    <w:rsid w:val="05013CF7"/>
    <w:rsid w:val="0507055D"/>
    <w:rsid w:val="05117B47"/>
    <w:rsid w:val="0517747A"/>
    <w:rsid w:val="052826AF"/>
    <w:rsid w:val="052919FB"/>
    <w:rsid w:val="052D4C17"/>
    <w:rsid w:val="054D41F3"/>
    <w:rsid w:val="056713AB"/>
    <w:rsid w:val="05713651"/>
    <w:rsid w:val="057A2D95"/>
    <w:rsid w:val="05AD1B88"/>
    <w:rsid w:val="05CF4152"/>
    <w:rsid w:val="05DB6330"/>
    <w:rsid w:val="05E40B08"/>
    <w:rsid w:val="05F41D11"/>
    <w:rsid w:val="05F83EAE"/>
    <w:rsid w:val="061E2023"/>
    <w:rsid w:val="063D3716"/>
    <w:rsid w:val="063E7D85"/>
    <w:rsid w:val="06826815"/>
    <w:rsid w:val="06993506"/>
    <w:rsid w:val="069A6383"/>
    <w:rsid w:val="06B73697"/>
    <w:rsid w:val="070F303A"/>
    <w:rsid w:val="071D6009"/>
    <w:rsid w:val="07293586"/>
    <w:rsid w:val="07295285"/>
    <w:rsid w:val="07306457"/>
    <w:rsid w:val="07527D8C"/>
    <w:rsid w:val="07636392"/>
    <w:rsid w:val="07636FC5"/>
    <w:rsid w:val="07770C56"/>
    <w:rsid w:val="07AA0C9F"/>
    <w:rsid w:val="07F46E23"/>
    <w:rsid w:val="080409E3"/>
    <w:rsid w:val="0816283A"/>
    <w:rsid w:val="08316608"/>
    <w:rsid w:val="083D0DD9"/>
    <w:rsid w:val="0886362F"/>
    <w:rsid w:val="08910623"/>
    <w:rsid w:val="0895477B"/>
    <w:rsid w:val="08B86C12"/>
    <w:rsid w:val="08C61157"/>
    <w:rsid w:val="092217DD"/>
    <w:rsid w:val="092C3782"/>
    <w:rsid w:val="093727FC"/>
    <w:rsid w:val="093A7294"/>
    <w:rsid w:val="09537529"/>
    <w:rsid w:val="09770BBB"/>
    <w:rsid w:val="09A61F2C"/>
    <w:rsid w:val="09C06F6A"/>
    <w:rsid w:val="09E4102D"/>
    <w:rsid w:val="0A220DD6"/>
    <w:rsid w:val="0A263993"/>
    <w:rsid w:val="0A2D3AC2"/>
    <w:rsid w:val="0A3926C9"/>
    <w:rsid w:val="0A3C7591"/>
    <w:rsid w:val="0A3D7005"/>
    <w:rsid w:val="0A8B3433"/>
    <w:rsid w:val="0AA755DF"/>
    <w:rsid w:val="0AAD1591"/>
    <w:rsid w:val="0AB060CA"/>
    <w:rsid w:val="0B120D44"/>
    <w:rsid w:val="0B437755"/>
    <w:rsid w:val="0B5F75F1"/>
    <w:rsid w:val="0B7A2D62"/>
    <w:rsid w:val="0B7C0D00"/>
    <w:rsid w:val="0BAE4863"/>
    <w:rsid w:val="0BD27BF6"/>
    <w:rsid w:val="0BE83414"/>
    <w:rsid w:val="0C105441"/>
    <w:rsid w:val="0C3B3C7D"/>
    <w:rsid w:val="0C4D51A1"/>
    <w:rsid w:val="0C6B78B4"/>
    <w:rsid w:val="0C6F649D"/>
    <w:rsid w:val="0C784098"/>
    <w:rsid w:val="0CAB2EAE"/>
    <w:rsid w:val="0CBA5A13"/>
    <w:rsid w:val="0CCB6D1E"/>
    <w:rsid w:val="0CDB17E1"/>
    <w:rsid w:val="0CE5440E"/>
    <w:rsid w:val="0CE9288B"/>
    <w:rsid w:val="0CFA3AA0"/>
    <w:rsid w:val="0D0902D4"/>
    <w:rsid w:val="0D597F09"/>
    <w:rsid w:val="0D5B1089"/>
    <w:rsid w:val="0D621C7D"/>
    <w:rsid w:val="0D774ACB"/>
    <w:rsid w:val="0D861C02"/>
    <w:rsid w:val="0DA15B6C"/>
    <w:rsid w:val="0DDD387C"/>
    <w:rsid w:val="0DE46C29"/>
    <w:rsid w:val="0DEC2665"/>
    <w:rsid w:val="0DF602DB"/>
    <w:rsid w:val="0E1C6E0F"/>
    <w:rsid w:val="0E22587A"/>
    <w:rsid w:val="0E2B7BB4"/>
    <w:rsid w:val="0E2E47E5"/>
    <w:rsid w:val="0E5F75BB"/>
    <w:rsid w:val="0E73034D"/>
    <w:rsid w:val="0E883FB0"/>
    <w:rsid w:val="0EEA5D65"/>
    <w:rsid w:val="0F13775A"/>
    <w:rsid w:val="0F1D39CF"/>
    <w:rsid w:val="0F3426AB"/>
    <w:rsid w:val="0F3B72E3"/>
    <w:rsid w:val="0F444DA6"/>
    <w:rsid w:val="0F487A60"/>
    <w:rsid w:val="0F5F45FE"/>
    <w:rsid w:val="0F9365CB"/>
    <w:rsid w:val="0F9A112B"/>
    <w:rsid w:val="0FBA7FEB"/>
    <w:rsid w:val="0FBB5E43"/>
    <w:rsid w:val="0FF0209C"/>
    <w:rsid w:val="0FF749BC"/>
    <w:rsid w:val="101805DC"/>
    <w:rsid w:val="10244899"/>
    <w:rsid w:val="1033153E"/>
    <w:rsid w:val="103F50C9"/>
    <w:rsid w:val="106D2F64"/>
    <w:rsid w:val="109066D8"/>
    <w:rsid w:val="10B63710"/>
    <w:rsid w:val="10C42D64"/>
    <w:rsid w:val="10D03DD3"/>
    <w:rsid w:val="10E45BD7"/>
    <w:rsid w:val="10ED52CC"/>
    <w:rsid w:val="10F10820"/>
    <w:rsid w:val="10FE6BB9"/>
    <w:rsid w:val="11093E79"/>
    <w:rsid w:val="111C2F7A"/>
    <w:rsid w:val="11490541"/>
    <w:rsid w:val="115171DF"/>
    <w:rsid w:val="115C3FEB"/>
    <w:rsid w:val="11665CA1"/>
    <w:rsid w:val="116A55A1"/>
    <w:rsid w:val="11763006"/>
    <w:rsid w:val="11862599"/>
    <w:rsid w:val="1193764B"/>
    <w:rsid w:val="1197624C"/>
    <w:rsid w:val="11DC1953"/>
    <w:rsid w:val="11DF61FD"/>
    <w:rsid w:val="11FA1275"/>
    <w:rsid w:val="12DE5996"/>
    <w:rsid w:val="1300000F"/>
    <w:rsid w:val="13006E62"/>
    <w:rsid w:val="13196BB0"/>
    <w:rsid w:val="13346E88"/>
    <w:rsid w:val="133D027F"/>
    <w:rsid w:val="135A035A"/>
    <w:rsid w:val="13951726"/>
    <w:rsid w:val="139F091B"/>
    <w:rsid w:val="13BB0AC0"/>
    <w:rsid w:val="13D14701"/>
    <w:rsid w:val="13FD7DB3"/>
    <w:rsid w:val="14396509"/>
    <w:rsid w:val="149D0971"/>
    <w:rsid w:val="14B41682"/>
    <w:rsid w:val="14DD2C3C"/>
    <w:rsid w:val="14F81AE5"/>
    <w:rsid w:val="15137114"/>
    <w:rsid w:val="155B1193"/>
    <w:rsid w:val="157443AD"/>
    <w:rsid w:val="159C58DF"/>
    <w:rsid w:val="15A313CF"/>
    <w:rsid w:val="15EC2FD8"/>
    <w:rsid w:val="16087E1D"/>
    <w:rsid w:val="16332E52"/>
    <w:rsid w:val="16516740"/>
    <w:rsid w:val="16A079BC"/>
    <w:rsid w:val="16C5397F"/>
    <w:rsid w:val="16E028DA"/>
    <w:rsid w:val="16FF4635"/>
    <w:rsid w:val="1703785A"/>
    <w:rsid w:val="175514A9"/>
    <w:rsid w:val="17701D14"/>
    <w:rsid w:val="17716D5F"/>
    <w:rsid w:val="17735226"/>
    <w:rsid w:val="178F2B93"/>
    <w:rsid w:val="17B45D56"/>
    <w:rsid w:val="17C419D1"/>
    <w:rsid w:val="17C90AA4"/>
    <w:rsid w:val="17CE68ED"/>
    <w:rsid w:val="17F15DE2"/>
    <w:rsid w:val="180660BE"/>
    <w:rsid w:val="182345C4"/>
    <w:rsid w:val="18237E28"/>
    <w:rsid w:val="182E6DCF"/>
    <w:rsid w:val="18311B63"/>
    <w:rsid w:val="18457474"/>
    <w:rsid w:val="187A463D"/>
    <w:rsid w:val="189F624C"/>
    <w:rsid w:val="18A77F31"/>
    <w:rsid w:val="18D80D3A"/>
    <w:rsid w:val="193F38CB"/>
    <w:rsid w:val="194B6F9E"/>
    <w:rsid w:val="19686713"/>
    <w:rsid w:val="196F567B"/>
    <w:rsid w:val="197B09C3"/>
    <w:rsid w:val="198F1879"/>
    <w:rsid w:val="199F5572"/>
    <w:rsid w:val="19A62D4F"/>
    <w:rsid w:val="19B70C37"/>
    <w:rsid w:val="1A0D6013"/>
    <w:rsid w:val="1A0F5ADB"/>
    <w:rsid w:val="1A1A1AC6"/>
    <w:rsid w:val="1A1C66C0"/>
    <w:rsid w:val="1A2E430E"/>
    <w:rsid w:val="1A42393B"/>
    <w:rsid w:val="1A616877"/>
    <w:rsid w:val="1A646509"/>
    <w:rsid w:val="1A6E7FFD"/>
    <w:rsid w:val="1A845784"/>
    <w:rsid w:val="1AAD45DE"/>
    <w:rsid w:val="1AB239AD"/>
    <w:rsid w:val="1AB51596"/>
    <w:rsid w:val="1AE231ED"/>
    <w:rsid w:val="1AE9011E"/>
    <w:rsid w:val="1B046F80"/>
    <w:rsid w:val="1B3267B5"/>
    <w:rsid w:val="1B3C441F"/>
    <w:rsid w:val="1B40161D"/>
    <w:rsid w:val="1B4403D6"/>
    <w:rsid w:val="1B441859"/>
    <w:rsid w:val="1B6606B1"/>
    <w:rsid w:val="1B8F0AF7"/>
    <w:rsid w:val="1B9D493D"/>
    <w:rsid w:val="1BA35CFA"/>
    <w:rsid w:val="1BE808E2"/>
    <w:rsid w:val="1BEA177B"/>
    <w:rsid w:val="1C02221A"/>
    <w:rsid w:val="1C2C1601"/>
    <w:rsid w:val="1C310980"/>
    <w:rsid w:val="1C39706C"/>
    <w:rsid w:val="1C5E7925"/>
    <w:rsid w:val="1C8B457A"/>
    <w:rsid w:val="1CCD3553"/>
    <w:rsid w:val="1CE0499C"/>
    <w:rsid w:val="1CEE4B08"/>
    <w:rsid w:val="1CF8056B"/>
    <w:rsid w:val="1CFD070F"/>
    <w:rsid w:val="1CFD5617"/>
    <w:rsid w:val="1D155116"/>
    <w:rsid w:val="1D5F6196"/>
    <w:rsid w:val="1D6132A5"/>
    <w:rsid w:val="1D8B44EB"/>
    <w:rsid w:val="1D8E56D5"/>
    <w:rsid w:val="1DB73488"/>
    <w:rsid w:val="1DCF0DA4"/>
    <w:rsid w:val="1DDA41D1"/>
    <w:rsid w:val="1DEC326C"/>
    <w:rsid w:val="1DF32C46"/>
    <w:rsid w:val="1E42412A"/>
    <w:rsid w:val="1E447632"/>
    <w:rsid w:val="1E4E1CF7"/>
    <w:rsid w:val="1E6B3A74"/>
    <w:rsid w:val="1E77046A"/>
    <w:rsid w:val="1E7A43DA"/>
    <w:rsid w:val="1E8247D2"/>
    <w:rsid w:val="1E950B0E"/>
    <w:rsid w:val="1ED16490"/>
    <w:rsid w:val="1F3D02AD"/>
    <w:rsid w:val="1F3D5DC5"/>
    <w:rsid w:val="1F6E51D3"/>
    <w:rsid w:val="1FD85E14"/>
    <w:rsid w:val="1FE7539E"/>
    <w:rsid w:val="20040694"/>
    <w:rsid w:val="20425900"/>
    <w:rsid w:val="20671BE0"/>
    <w:rsid w:val="206A2B6F"/>
    <w:rsid w:val="208E5E0B"/>
    <w:rsid w:val="20963CB8"/>
    <w:rsid w:val="20A81A1B"/>
    <w:rsid w:val="20B07FB6"/>
    <w:rsid w:val="20B646FB"/>
    <w:rsid w:val="21135528"/>
    <w:rsid w:val="21357430"/>
    <w:rsid w:val="213B3DFE"/>
    <w:rsid w:val="213B74B1"/>
    <w:rsid w:val="215A2310"/>
    <w:rsid w:val="219263AA"/>
    <w:rsid w:val="219F4F03"/>
    <w:rsid w:val="21DE318A"/>
    <w:rsid w:val="21EF5B80"/>
    <w:rsid w:val="21F54D1D"/>
    <w:rsid w:val="22054DD0"/>
    <w:rsid w:val="2244590A"/>
    <w:rsid w:val="225612DB"/>
    <w:rsid w:val="22576990"/>
    <w:rsid w:val="2270442A"/>
    <w:rsid w:val="22AA34A8"/>
    <w:rsid w:val="22B85EFB"/>
    <w:rsid w:val="22EC2589"/>
    <w:rsid w:val="22F47480"/>
    <w:rsid w:val="22FB7864"/>
    <w:rsid w:val="2345625E"/>
    <w:rsid w:val="234870AA"/>
    <w:rsid w:val="236965D0"/>
    <w:rsid w:val="23884092"/>
    <w:rsid w:val="239E2BE6"/>
    <w:rsid w:val="23B52C82"/>
    <w:rsid w:val="23DC4383"/>
    <w:rsid w:val="23DE1C48"/>
    <w:rsid w:val="23E60DCA"/>
    <w:rsid w:val="240210CD"/>
    <w:rsid w:val="243E4180"/>
    <w:rsid w:val="24417D04"/>
    <w:rsid w:val="24977269"/>
    <w:rsid w:val="24BF09F7"/>
    <w:rsid w:val="24F46581"/>
    <w:rsid w:val="24F5107B"/>
    <w:rsid w:val="24F96D10"/>
    <w:rsid w:val="250F794D"/>
    <w:rsid w:val="252D53FE"/>
    <w:rsid w:val="258B1809"/>
    <w:rsid w:val="259423F8"/>
    <w:rsid w:val="25B41523"/>
    <w:rsid w:val="25D13266"/>
    <w:rsid w:val="25E31F0B"/>
    <w:rsid w:val="25EC2D81"/>
    <w:rsid w:val="25FF1BED"/>
    <w:rsid w:val="2605179C"/>
    <w:rsid w:val="265359DC"/>
    <w:rsid w:val="26830793"/>
    <w:rsid w:val="26931905"/>
    <w:rsid w:val="269B236F"/>
    <w:rsid w:val="26B0201E"/>
    <w:rsid w:val="26BB53BB"/>
    <w:rsid w:val="26BC4A69"/>
    <w:rsid w:val="26CF09FB"/>
    <w:rsid w:val="26D51EB0"/>
    <w:rsid w:val="273C4B6B"/>
    <w:rsid w:val="27545D4B"/>
    <w:rsid w:val="277057A2"/>
    <w:rsid w:val="279E6736"/>
    <w:rsid w:val="27B33149"/>
    <w:rsid w:val="27BC4F58"/>
    <w:rsid w:val="27BF1E6D"/>
    <w:rsid w:val="27C2106B"/>
    <w:rsid w:val="27E044BB"/>
    <w:rsid w:val="27F84FA1"/>
    <w:rsid w:val="28492DA6"/>
    <w:rsid w:val="2883338A"/>
    <w:rsid w:val="28CF0AED"/>
    <w:rsid w:val="29206EB8"/>
    <w:rsid w:val="29430740"/>
    <w:rsid w:val="294818AA"/>
    <w:rsid w:val="29595666"/>
    <w:rsid w:val="29874881"/>
    <w:rsid w:val="29CB4AAB"/>
    <w:rsid w:val="29E325E0"/>
    <w:rsid w:val="2A061C3D"/>
    <w:rsid w:val="2A094F67"/>
    <w:rsid w:val="2A196FF8"/>
    <w:rsid w:val="2A2153A0"/>
    <w:rsid w:val="2A452503"/>
    <w:rsid w:val="2ACA6ACA"/>
    <w:rsid w:val="2AF635CE"/>
    <w:rsid w:val="2B080485"/>
    <w:rsid w:val="2B145387"/>
    <w:rsid w:val="2B252BCC"/>
    <w:rsid w:val="2B3F7001"/>
    <w:rsid w:val="2B616119"/>
    <w:rsid w:val="2B632533"/>
    <w:rsid w:val="2B694CAD"/>
    <w:rsid w:val="2B842CDA"/>
    <w:rsid w:val="2BA936A8"/>
    <w:rsid w:val="2BAB5EAC"/>
    <w:rsid w:val="2BC617B2"/>
    <w:rsid w:val="2BCA025E"/>
    <w:rsid w:val="2BD93C71"/>
    <w:rsid w:val="2BE5113C"/>
    <w:rsid w:val="2C134BE4"/>
    <w:rsid w:val="2C2A293E"/>
    <w:rsid w:val="2C315A5A"/>
    <w:rsid w:val="2C4B1C25"/>
    <w:rsid w:val="2C625E73"/>
    <w:rsid w:val="2C6E33DE"/>
    <w:rsid w:val="2C9411C1"/>
    <w:rsid w:val="2CD572D6"/>
    <w:rsid w:val="2CEC35ED"/>
    <w:rsid w:val="2D2B1262"/>
    <w:rsid w:val="2D4B1DE8"/>
    <w:rsid w:val="2D710BF8"/>
    <w:rsid w:val="2D7377DF"/>
    <w:rsid w:val="2D881ACE"/>
    <w:rsid w:val="2D9E56F5"/>
    <w:rsid w:val="2DC2796B"/>
    <w:rsid w:val="2DD1454C"/>
    <w:rsid w:val="2DE617FD"/>
    <w:rsid w:val="2E073C8D"/>
    <w:rsid w:val="2E667F96"/>
    <w:rsid w:val="2E8226AB"/>
    <w:rsid w:val="2E8257A5"/>
    <w:rsid w:val="2E9D68A0"/>
    <w:rsid w:val="2EA015F1"/>
    <w:rsid w:val="2EEA31B5"/>
    <w:rsid w:val="2F0E29F6"/>
    <w:rsid w:val="2F5B2ED3"/>
    <w:rsid w:val="2F707696"/>
    <w:rsid w:val="2F8B2A9E"/>
    <w:rsid w:val="2FD065E6"/>
    <w:rsid w:val="2FD96870"/>
    <w:rsid w:val="2FDD12B7"/>
    <w:rsid w:val="2FED28FB"/>
    <w:rsid w:val="2FFB45B9"/>
    <w:rsid w:val="302315DE"/>
    <w:rsid w:val="302830F5"/>
    <w:rsid w:val="30580BC9"/>
    <w:rsid w:val="30580DC2"/>
    <w:rsid w:val="306B49E2"/>
    <w:rsid w:val="30813010"/>
    <w:rsid w:val="30996E4F"/>
    <w:rsid w:val="30BE66B9"/>
    <w:rsid w:val="30C2771E"/>
    <w:rsid w:val="30C81806"/>
    <w:rsid w:val="30EC73BC"/>
    <w:rsid w:val="30F10EBA"/>
    <w:rsid w:val="310600FC"/>
    <w:rsid w:val="31091955"/>
    <w:rsid w:val="311E2ED7"/>
    <w:rsid w:val="311E746D"/>
    <w:rsid w:val="315619EE"/>
    <w:rsid w:val="315C449C"/>
    <w:rsid w:val="318135CD"/>
    <w:rsid w:val="318768BD"/>
    <w:rsid w:val="31B82709"/>
    <w:rsid w:val="31C33672"/>
    <w:rsid w:val="31D05482"/>
    <w:rsid w:val="31EA4FAC"/>
    <w:rsid w:val="31FE58ED"/>
    <w:rsid w:val="32400B34"/>
    <w:rsid w:val="32536DEE"/>
    <w:rsid w:val="32924211"/>
    <w:rsid w:val="329E6876"/>
    <w:rsid w:val="32CB1529"/>
    <w:rsid w:val="32D12807"/>
    <w:rsid w:val="32D30771"/>
    <w:rsid w:val="333015F2"/>
    <w:rsid w:val="334B6320"/>
    <w:rsid w:val="3367691E"/>
    <w:rsid w:val="338C35A2"/>
    <w:rsid w:val="33D934D4"/>
    <w:rsid w:val="33EF5425"/>
    <w:rsid w:val="33FD757D"/>
    <w:rsid w:val="33FE2F6A"/>
    <w:rsid w:val="34097725"/>
    <w:rsid w:val="340E07E5"/>
    <w:rsid w:val="34223DA4"/>
    <w:rsid w:val="34235BF7"/>
    <w:rsid w:val="343641A1"/>
    <w:rsid w:val="352B6EAD"/>
    <w:rsid w:val="35672BB9"/>
    <w:rsid w:val="356A6F13"/>
    <w:rsid w:val="356C15AE"/>
    <w:rsid w:val="35811B2D"/>
    <w:rsid w:val="358C5FA8"/>
    <w:rsid w:val="358E4F84"/>
    <w:rsid w:val="359A56C8"/>
    <w:rsid w:val="35B529C0"/>
    <w:rsid w:val="35B63460"/>
    <w:rsid w:val="35C15DF1"/>
    <w:rsid w:val="36074A7F"/>
    <w:rsid w:val="361814B5"/>
    <w:rsid w:val="362870FA"/>
    <w:rsid w:val="365866F1"/>
    <w:rsid w:val="36657031"/>
    <w:rsid w:val="366F722F"/>
    <w:rsid w:val="36715F8A"/>
    <w:rsid w:val="36800B77"/>
    <w:rsid w:val="36923549"/>
    <w:rsid w:val="369A48EF"/>
    <w:rsid w:val="36B75FBF"/>
    <w:rsid w:val="36BD0C45"/>
    <w:rsid w:val="36FF1730"/>
    <w:rsid w:val="371365E9"/>
    <w:rsid w:val="37882D08"/>
    <w:rsid w:val="37A518FB"/>
    <w:rsid w:val="37B866D1"/>
    <w:rsid w:val="37C8207A"/>
    <w:rsid w:val="37CB4D69"/>
    <w:rsid w:val="37E00298"/>
    <w:rsid w:val="37E33064"/>
    <w:rsid w:val="38244D79"/>
    <w:rsid w:val="382B2A06"/>
    <w:rsid w:val="386F2946"/>
    <w:rsid w:val="38721450"/>
    <w:rsid w:val="38B302F9"/>
    <w:rsid w:val="38B74D35"/>
    <w:rsid w:val="38C52336"/>
    <w:rsid w:val="38E3601B"/>
    <w:rsid w:val="38EB411C"/>
    <w:rsid w:val="38F12CD3"/>
    <w:rsid w:val="38F94775"/>
    <w:rsid w:val="38FB259A"/>
    <w:rsid w:val="392971ED"/>
    <w:rsid w:val="39325651"/>
    <w:rsid w:val="393F3BF3"/>
    <w:rsid w:val="39702D90"/>
    <w:rsid w:val="397103B8"/>
    <w:rsid w:val="39770D67"/>
    <w:rsid w:val="399604B5"/>
    <w:rsid w:val="39C1600D"/>
    <w:rsid w:val="39CB21DE"/>
    <w:rsid w:val="39CE3742"/>
    <w:rsid w:val="3A0D273F"/>
    <w:rsid w:val="3A623D75"/>
    <w:rsid w:val="3A872856"/>
    <w:rsid w:val="3A9B6DC2"/>
    <w:rsid w:val="3AA5514D"/>
    <w:rsid w:val="3B3763D1"/>
    <w:rsid w:val="3B50697A"/>
    <w:rsid w:val="3B5A6D6A"/>
    <w:rsid w:val="3B76789C"/>
    <w:rsid w:val="3B8C462B"/>
    <w:rsid w:val="3BE62A6A"/>
    <w:rsid w:val="3C01769C"/>
    <w:rsid w:val="3C07315E"/>
    <w:rsid w:val="3C2B6638"/>
    <w:rsid w:val="3C2F6E1E"/>
    <w:rsid w:val="3C4C5B2C"/>
    <w:rsid w:val="3C4F64BA"/>
    <w:rsid w:val="3C8F5568"/>
    <w:rsid w:val="3C971E90"/>
    <w:rsid w:val="3CA0344A"/>
    <w:rsid w:val="3CB0491B"/>
    <w:rsid w:val="3CDA245A"/>
    <w:rsid w:val="3CDF5911"/>
    <w:rsid w:val="3CF70FE4"/>
    <w:rsid w:val="3D1E06B7"/>
    <w:rsid w:val="3D2C6001"/>
    <w:rsid w:val="3D46256D"/>
    <w:rsid w:val="3D6929EA"/>
    <w:rsid w:val="3DDF458D"/>
    <w:rsid w:val="3DEA2E3A"/>
    <w:rsid w:val="3E3374E9"/>
    <w:rsid w:val="3E6612A4"/>
    <w:rsid w:val="3E817133"/>
    <w:rsid w:val="3E8B387F"/>
    <w:rsid w:val="3E9142EB"/>
    <w:rsid w:val="3ED541A4"/>
    <w:rsid w:val="3EDA0523"/>
    <w:rsid w:val="3EDF52A8"/>
    <w:rsid w:val="3F1302A9"/>
    <w:rsid w:val="3F462630"/>
    <w:rsid w:val="3F4D0EE6"/>
    <w:rsid w:val="3F7E66AC"/>
    <w:rsid w:val="3FE206EE"/>
    <w:rsid w:val="40021A07"/>
    <w:rsid w:val="407A6407"/>
    <w:rsid w:val="40882E65"/>
    <w:rsid w:val="409819DA"/>
    <w:rsid w:val="40BE2E4A"/>
    <w:rsid w:val="40D57477"/>
    <w:rsid w:val="41397742"/>
    <w:rsid w:val="418E08C1"/>
    <w:rsid w:val="41977E69"/>
    <w:rsid w:val="41A0625E"/>
    <w:rsid w:val="4200449D"/>
    <w:rsid w:val="420C7893"/>
    <w:rsid w:val="42120803"/>
    <w:rsid w:val="422609CD"/>
    <w:rsid w:val="423A3BCC"/>
    <w:rsid w:val="424E57D2"/>
    <w:rsid w:val="429C6840"/>
    <w:rsid w:val="42A909AC"/>
    <w:rsid w:val="42B26C49"/>
    <w:rsid w:val="42E6789E"/>
    <w:rsid w:val="433A6FE6"/>
    <w:rsid w:val="433E27FF"/>
    <w:rsid w:val="43480868"/>
    <w:rsid w:val="4350713C"/>
    <w:rsid w:val="436653E0"/>
    <w:rsid w:val="43861DD8"/>
    <w:rsid w:val="43BA0CAA"/>
    <w:rsid w:val="43BF2BD7"/>
    <w:rsid w:val="43C4379A"/>
    <w:rsid w:val="43C4431A"/>
    <w:rsid w:val="43EA3DB3"/>
    <w:rsid w:val="441806C8"/>
    <w:rsid w:val="44704FFB"/>
    <w:rsid w:val="44A4021D"/>
    <w:rsid w:val="44B951CC"/>
    <w:rsid w:val="44CD14E0"/>
    <w:rsid w:val="44D90E42"/>
    <w:rsid w:val="44ED37C1"/>
    <w:rsid w:val="44F20B0B"/>
    <w:rsid w:val="45017268"/>
    <w:rsid w:val="45191458"/>
    <w:rsid w:val="452E5F4C"/>
    <w:rsid w:val="45304A76"/>
    <w:rsid w:val="453C1A4E"/>
    <w:rsid w:val="454A1571"/>
    <w:rsid w:val="4553384A"/>
    <w:rsid w:val="45612018"/>
    <w:rsid w:val="4585470D"/>
    <w:rsid w:val="458647E4"/>
    <w:rsid w:val="458946E9"/>
    <w:rsid w:val="458A2EF4"/>
    <w:rsid w:val="45923040"/>
    <w:rsid w:val="45A47C0E"/>
    <w:rsid w:val="45AA6620"/>
    <w:rsid w:val="45C17353"/>
    <w:rsid w:val="45C65518"/>
    <w:rsid w:val="45EF7EF4"/>
    <w:rsid w:val="46577FD6"/>
    <w:rsid w:val="46636A74"/>
    <w:rsid w:val="468C5B5B"/>
    <w:rsid w:val="468F62DA"/>
    <w:rsid w:val="46A91F6F"/>
    <w:rsid w:val="46D102D4"/>
    <w:rsid w:val="46D955A7"/>
    <w:rsid w:val="46E40E1E"/>
    <w:rsid w:val="46F463E2"/>
    <w:rsid w:val="47133957"/>
    <w:rsid w:val="471F7215"/>
    <w:rsid w:val="472B7758"/>
    <w:rsid w:val="47405EC6"/>
    <w:rsid w:val="476017DF"/>
    <w:rsid w:val="476D45A2"/>
    <w:rsid w:val="47786CD0"/>
    <w:rsid w:val="478C5C0D"/>
    <w:rsid w:val="479C0B33"/>
    <w:rsid w:val="47A07E0C"/>
    <w:rsid w:val="47B85E16"/>
    <w:rsid w:val="47D11D47"/>
    <w:rsid w:val="47FB0E07"/>
    <w:rsid w:val="47FC5871"/>
    <w:rsid w:val="4870272E"/>
    <w:rsid w:val="487A3C7D"/>
    <w:rsid w:val="48860305"/>
    <w:rsid w:val="488D68E0"/>
    <w:rsid w:val="48C435AA"/>
    <w:rsid w:val="48C92781"/>
    <w:rsid w:val="48D01921"/>
    <w:rsid w:val="48EC21D9"/>
    <w:rsid w:val="48ED118F"/>
    <w:rsid w:val="490F322F"/>
    <w:rsid w:val="49333036"/>
    <w:rsid w:val="493F5B22"/>
    <w:rsid w:val="498418D0"/>
    <w:rsid w:val="499159AE"/>
    <w:rsid w:val="49B26913"/>
    <w:rsid w:val="49D3124A"/>
    <w:rsid w:val="49D45404"/>
    <w:rsid w:val="49DC7715"/>
    <w:rsid w:val="49DF5A70"/>
    <w:rsid w:val="49F56217"/>
    <w:rsid w:val="4A00080A"/>
    <w:rsid w:val="4A023139"/>
    <w:rsid w:val="4A267309"/>
    <w:rsid w:val="4A363F60"/>
    <w:rsid w:val="4A5278B2"/>
    <w:rsid w:val="4A7B576F"/>
    <w:rsid w:val="4A833F62"/>
    <w:rsid w:val="4A98379F"/>
    <w:rsid w:val="4AAB52E9"/>
    <w:rsid w:val="4AF561A9"/>
    <w:rsid w:val="4B171119"/>
    <w:rsid w:val="4B9C479F"/>
    <w:rsid w:val="4BD5286C"/>
    <w:rsid w:val="4BE1533C"/>
    <w:rsid w:val="4BE82A9A"/>
    <w:rsid w:val="4C132256"/>
    <w:rsid w:val="4C1406C1"/>
    <w:rsid w:val="4C1D1CED"/>
    <w:rsid w:val="4C1E4E22"/>
    <w:rsid w:val="4C444B00"/>
    <w:rsid w:val="4C470922"/>
    <w:rsid w:val="4C4A0649"/>
    <w:rsid w:val="4C7E5ECA"/>
    <w:rsid w:val="4C876AA5"/>
    <w:rsid w:val="4CA42F11"/>
    <w:rsid w:val="4CD764C8"/>
    <w:rsid w:val="4CDB50CD"/>
    <w:rsid w:val="4CF36BA4"/>
    <w:rsid w:val="4D072F96"/>
    <w:rsid w:val="4D0E00FB"/>
    <w:rsid w:val="4D176606"/>
    <w:rsid w:val="4D4F28B0"/>
    <w:rsid w:val="4D5C348D"/>
    <w:rsid w:val="4D876997"/>
    <w:rsid w:val="4D933ECE"/>
    <w:rsid w:val="4DAC43EE"/>
    <w:rsid w:val="4DC212ED"/>
    <w:rsid w:val="4DD3633F"/>
    <w:rsid w:val="4DEC4FB0"/>
    <w:rsid w:val="4DFC092B"/>
    <w:rsid w:val="4DFE24A0"/>
    <w:rsid w:val="4E075D8A"/>
    <w:rsid w:val="4E233626"/>
    <w:rsid w:val="4E2F0769"/>
    <w:rsid w:val="4E3A4529"/>
    <w:rsid w:val="4E4F162B"/>
    <w:rsid w:val="4E857BE9"/>
    <w:rsid w:val="4E9E313F"/>
    <w:rsid w:val="4EBE58CB"/>
    <w:rsid w:val="4EC00FAD"/>
    <w:rsid w:val="4ECA755A"/>
    <w:rsid w:val="4ECD5294"/>
    <w:rsid w:val="4F035EDA"/>
    <w:rsid w:val="4F2F414C"/>
    <w:rsid w:val="4F3168D5"/>
    <w:rsid w:val="4F69371B"/>
    <w:rsid w:val="4F9843DC"/>
    <w:rsid w:val="4F990102"/>
    <w:rsid w:val="4FBD2445"/>
    <w:rsid w:val="4FC62A8C"/>
    <w:rsid w:val="4FE20F0D"/>
    <w:rsid w:val="4FE51552"/>
    <w:rsid w:val="4FF0355D"/>
    <w:rsid w:val="50270F10"/>
    <w:rsid w:val="50504C4B"/>
    <w:rsid w:val="509A2B2F"/>
    <w:rsid w:val="509C6E7C"/>
    <w:rsid w:val="50B53461"/>
    <w:rsid w:val="50C32DBB"/>
    <w:rsid w:val="50E9301D"/>
    <w:rsid w:val="50FC276F"/>
    <w:rsid w:val="50FF470E"/>
    <w:rsid w:val="510E0E86"/>
    <w:rsid w:val="512F7EB8"/>
    <w:rsid w:val="5162104E"/>
    <w:rsid w:val="516C0EE5"/>
    <w:rsid w:val="516D71ED"/>
    <w:rsid w:val="5178491E"/>
    <w:rsid w:val="519E58CC"/>
    <w:rsid w:val="51A0391C"/>
    <w:rsid w:val="51B45F98"/>
    <w:rsid w:val="51B67921"/>
    <w:rsid w:val="51CA4517"/>
    <w:rsid w:val="51E1186B"/>
    <w:rsid w:val="52C33067"/>
    <w:rsid w:val="52C468F8"/>
    <w:rsid w:val="52E65FFF"/>
    <w:rsid w:val="53216551"/>
    <w:rsid w:val="532D490C"/>
    <w:rsid w:val="537A2251"/>
    <w:rsid w:val="53A039CC"/>
    <w:rsid w:val="53A1505A"/>
    <w:rsid w:val="53A67DF6"/>
    <w:rsid w:val="54063E08"/>
    <w:rsid w:val="5408079A"/>
    <w:rsid w:val="543437E8"/>
    <w:rsid w:val="54864630"/>
    <w:rsid w:val="548F37CF"/>
    <w:rsid w:val="54924981"/>
    <w:rsid w:val="54E54279"/>
    <w:rsid w:val="54E65AA0"/>
    <w:rsid w:val="54F425F4"/>
    <w:rsid w:val="54F73313"/>
    <w:rsid w:val="54F80955"/>
    <w:rsid w:val="5534747A"/>
    <w:rsid w:val="555170A7"/>
    <w:rsid w:val="55631EE3"/>
    <w:rsid w:val="55760C1C"/>
    <w:rsid w:val="557A430A"/>
    <w:rsid w:val="55817760"/>
    <w:rsid w:val="5587536D"/>
    <w:rsid w:val="559B174B"/>
    <w:rsid w:val="55CE0CF4"/>
    <w:rsid w:val="55E338B9"/>
    <w:rsid w:val="56153C71"/>
    <w:rsid w:val="561B6F98"/>
    <w:rsid w:val="561E0D43"/>
    <w:rsid w:val="56382375"/>
    <w:rsid w:val="563E1FD9"/>
    <w:rsid w:val="569C7A03"/>
    <w:rsid w:val="56AA20FB"/>
    <w:rsid w:val="56B22A9C"/>
    <w:rsid w:val="57211DAF"/>
    <w:rsid w:val="573A2B53"/>
    <w:rsid w:val="573C5226"/>
    <w:rsid w:val="57553BE2"/>
    <w:rsid w:val="5779217C"/>
    <w:rsid w:val="57B414C9"/>
    <w:rsid w:val="57B72A76"/>
    <w:rsid w:val="57C3426C"/>
    <w:rsid w:val="57CE1F93"/>
    <w:rsid w:val="58075394"/>
    <w:rsid w:val="583C352F"/>
    <w:rsid w:val="58832BE9"/>
    <w:rsid w:val="58857055"/>
    <w:rsid w:val="588743D1"/>
    <w:rsid w:val="5887701A"/>
    <w:rsid w:val="58890792"/>
    <w:rsid w:val="588F0F96"/>
    <w:rsid w:val="58A276EF"/>
    <w:rsid w:val="58D64281"/>
    <w:rsid w:val="59033A75"/>
    <w:rsid w:val="59474F12"/>
    <w:rsid w:val="598B598C"/>
    <w:rsid w:val="59C0439F"/>
    <w:rsid w:val="59D0390D"/>
    <w:rsid w:val="5A01530B"/>
    <w:rsid w:val="5A623E64"/>
    <w:rsid w:val="5A6E7E8C"/>
    <w:rsid w:val="5A7B7EDB"/>
    <w:rsid w:val="5ABE2233"/>
    <w:rsid w:val="5AF8735C"/>
    <w:rsid w:val="5AFE1A62"/>
    <w:rsid w:val="5B542D90"/>
    <w:rsid w:val="5B670D82"/>
    <w:rsid w:val="5B762A34"/>
    <w:rsid w:val="5B7B30BB"/>
    <w:rsid w:val="5B864E83"/>
    <w:rsid w:val="5B90562F"/>
    <w:rsid w:val="5BDF5D95"/>
    <w:rsid w:val="5BEE03A1"/>
    <w:rsid w:val="5BFE7528"/>
    <w:rsid w:val="5C7631E2"/>
    <w:rsid w:val="5C8C6049"/>
    <w:rsid w:val="5C966102"/>
    <w:rsid w:val="5C9746D3"/>
    <w:rsid w:val="5D0576AB"/>
    <w:rsid w:val="5D071AB8"/>
    <w:rsid w:val="5D156CCB"/>
    <w:rsid w:val="5D2900DD"/>
    <w:rsid w:val="5D7001DA"/>
    <w:rsid w:val="5D7768CC"/>
    <w:rsid w:val="5D847A44"/>
    <w:rsid w:val="5DEC6996"/>
    <w:rsid w:val="5E090A7C"/>
    <w:rsid w:val="5E1F2C9D"/>
    <w:rsid w:val="5E2467F1"/>
    <w:rsid w:val="5E434C52"/>
    <w:rsid w:val="5E442CA0"/>
    <w:rsid w:val="5E563BFF"/>
    <w:rsid w:val="5E7714EB"/>
    <w:rsid w:val="5E944527"/>
    <w:rsid w:val="5EDD1A0D"/>
    <w:rsid w:val="5EE22D1E"/>
    <w:rsid w:val="5F1A2B43"/>
    <w:rsid w:val="5F661200"/>
    <w:rsid w:val="5F7C05C5"/>
    <w:rsid w:val="5FA06F17"/>
    <w:rsid w:val="5FB837BB"/>
    <w:rsid w:val="60293C95"/>
    <w:rsid w:val="602F1E07"/>
    <w:rsid w:val="60343388"/>
    <w:rsid w:val="603766C1"/>
    <w:rsid w:val="604F3CE0"/>
    <w:rsid w:val="608645FD"/>
    <w:rsid w:val="60B6106F"/>
    <w:rsid w:val="60CC405A"/>
    <w:rsid w:val="60E80E3E"/>
    <w:rsid w:val="60F859FA"/>
    <w:rsid w:val="6124721E"/>
    <w:rsid w:val="6128205D"/>
    <w:rsid w:val="612D1708"/>
    <w:rsid w:val="61B009E9"/>
    <w:rsid w:val="61B85EB8"/>
    <w:rsid w:val="61BB4F80"/>
    <w:rsid w:val="61E215D8"/>
    <w:rsid w:val="61EF73DD"/>
    <w:rsid w:val="61FD104C"/>
    <w:rsid w:val="621B3775"/>
    <w:rsid w:val="62364782"/>
    <w:rsid w:val="62592339"/>
    <w:rsid w:val="626F7C94"/>
    <w:rsid w:val="628E2EF5"/>
    <w:rsid w:val="62D34C09"/>
    <w:rsid w:val="6394356A"/>
    <w:rsid w:val="63AE7638"/>
    <w:rsid w:val="63BA4040"/>
    <w:rsid w:val="63C61B2C"/>
    <w:rsid w:val="63D40BE9"/>
    <w:rsid w:val="63E4526F"/>
    <w:rsid w:val="64102431"/>
    <w:rsid w:val="641F4B74"/>
    <w:rsid w:val="64557AE9"/>
    <w:rsid w:val="646A0092"/>
    <w:rsid w:val="648004A8"/>
    <w:rsid w:val="64831AF0"/>
    <w:rsid w:val="64A5243A"/>
    <w:rsid w:val="64B83D30"/>
    <w:rsid w:val="64BE204E"/>
    <w:rsid w:val="64EB536B"/>
    <w:rsid w:val="64F531DE"/>
    <w:rsid w:val="65034475"/>
    <w:rsid w:val="651C083D"/>
    <w:rsid w:val="6534401C"/>
    <w:rsid w:val="65373578"/>
    <w:rsid w:val="653C2980"/>
    <w:rsid w:val="65491AB6"/>
    <w:rsid w:val="654C013B"/>
    <w:rsid w:val="655A4097"/>
    <w:rsid w:val="655A4B55"/>
    <w:rsid w:val="65812D67"/>
    <w:rsid w:val="658E60A3"/>
    <w:rsid w:val="65B36DEF"/>
    <w:rsid w:val="65D14E30"/>
    <w:rsid w:val="65F02B9F"/>
    <w:rsid w:val="660D7CC5"/>
    <w:rsid w:val="6614005E"/>
    <w:rsid w:val="665B6338"/>
    <w:rsid w:val="66C01ABB"/>
    <w:rsid w:val="66D006EF"/>
    <w:rsid w:val="66D24930"/>
    <w:rsid w:val="66E77372"/>
    <w:rsid w:val="66FC710B"/>
    <w:rsid w:val="671F124A"/>
    <w:rsid w:val="675D4546"/>
    <w:rsid w:val="677A33C6"/>
    <w:rsid w:val="67861860"/>
    <w:rsid w:val="67A87D12"/>
    <w:rsid w:val="67C06E3C"/>
    <w:rsid w:val="67C34F79"/>
    <w:rsid w:val="68017DE0"/>
    <w:rsid w:val="6806201B"/>
    <w:rsid w:val="681F6961"/>
    <w:rsid w:val="68517ED9"/>
    <w:rsid w:val="68610A2F"/>
    <w:rsid w:val="68805514"/>
    <w:rsid w:val="68916427"/>
    <w:rsid w:val="68E629DE"/>
    <w:rsid w:val="68F22857"/>
    <w:rsid w:val="69025F20"/>
    <w:rsid w:val="69087969"/>
    <w:rsid w:val="69112DFC"/>
    <w:rsid w:val="69316E2F"/>
    <w:rsid w:val="694E2071"/>
    <w:rsid w:val="6969358B"/>
    <w:rsid w:val="69761FDD"/>
    <w:rsid w:val="69766163"/>
    <w:rsid w:val="697A3B33"/>
    <w:rsid w:val="698060B5"/>
    <w:rsid w:val="69D44760"/>
    <w:rsid w:val="69D743CA"/>
    <w:rsid w:val="69DC5E5C"/>
    <w:rsid w:val="69E23ECC"/>
    <w:rsid w:val="69FF7BB4"/>
    <w:rsid w:val="6A520EC7"/>
    <w:rsid w:val="6AD73E29"/>
    <w:rsid w:val="6AD912D7"/>
    <w:rsid w:val="6AF87E20"/>
    <w:rsid w:val="6B0661AA"/>
    <w:rsid w:val="6B322639"/>
    <w:rsid w:val="6B424CD1"/>
    <w:rsid w:val="6B4D4826"/>
    <w:rsid w:val="6B6A4067"/>
    <w:rsid w:val="6B726F6D"/>
    <w:rsid w:val="6B95202E"/>
    <w:rsid w:val="6BE24647"/>
    <w:rsid w:val="6C16656A"/>
    <w:rsid w:val="6C352571"/>
    <w:rsid w:val="6C636C38"/>
    <w:rsid w:val="6C677CCE"/>
    <w:rsid w:val="6C7655BB"/>
    <w:rsid w:val="6C913668"/>
    <w:rsid w:val="6CA6757D"/>
    <w:rsid w:val="6CC51CA4"/>
    <w:rsid w:val="6CCC7477"/>
    <w:rsid w:val="6CE67E96"/>
    <w:rsid w:val="6D1A57E7"/>
    <w:rsid w:val="6D8A34D6"/>
    <w:rsid w:val="6D9D55E5"/>
    <w:rsid w:val="6DA81E02"/>
    <w:rsid w:val="6DAE66ED"/>
    <w:rsid w:val="6DB34098"/>
    <w:rsid w:val="6DB545B6"/>
    <w:rsid w:val="6DC50917"/>
    <w:rsid w:val="6DC67C18"/>
    <w:rsid w:val="6DE02FB4"/>
    <w:rsid w:val="6DE62D33"/>
    <w:rsid w:val="6DE8588C"/>
    <w:rsid w:val="6DFE6541"/>
    <w:rsid w:val="6E514CED"/>
    <w:rsid w:val="6E5378F4"/>
    <w:rsid w:val="6E573C27"/>
    <w:rsid w:val="6E675F15"/>
    <w:rsid w:val="6E7A1D2F"/>
    <w:rsid w:val="6EA3381F"/>
    <w:rsid w:val="6EB563D5"/>
    <w:rsid w:val="6ED92677"/>
    <w:rsid w:val="6EDB17D1"/>
    <w:rsid w:val="6EDD144A"/>
    <w:rsid w:val="6F141779"/>
    <w:rsid w:val="6F225983"/>
    <w:rsid w:val="6F340F35"/>
    <w:rsid w:val="6F972ACD"/>
    <w:rsid w:val="6FFC5590"/>
    <w:rsid w:val="705E1831"/>
    <w:rsid w:val="706D1DD0"/>
    <w:rsid w:val="70826FC5"/>
    <w:rsid w:val="70856B87"/>
    <w:rsid w:val="70A67B23"/>
    <w:rsid w:val="70D527EE"/>
    <w:rsid w:val="71137758"/>
    <w:rsid w:val="71504AF6"/>
    <w:rsid w:val="71580581"/>
    <w:rsid w:val="715B5300"/>
    <w:rsid w:val="717224A8"/>
    <w:rsid w:val="718E2083"/>
    <w:rsid w:val="718F788D"/>
    <w:rsid w:val="7197625B"/>
    <w:rsid w:val="71B72595"/>
    <w:rsid w:val="71BA6E32"/>
    <w:rsid w:val="71CC3085"/>
    <w:rsid w:val="71D27F8A"/>
    <w:rsid w:val="7218633D"/>
    <w:rsid w:val="722F16E0"/>
    <w:rsid w:val="7233357B"/>
    <w:rsid w:val="72553024"/>
    <w:rsid w:val="72564A11"/>
    <w:rsid w:val="7298621E"/>
    <w:rsid w:val="72C102BC"/>
    <w:rsid w:val="72C258EA"/>
    <w:rsid w:val="72DF436B"/>
    <w:rsid w:val="72EF1F0D"/>
    <w:rsid w:val="73122968"/>
    <w:rsid w:val="731F5D5E"/>
    <w:rsid w:val="737B02B7"/>
    <w:rsid w:val="738934CF"/>
    <w:rsid w:val="73A95D94"/>
    <w:rsid w:val="73C51AD5"/>
    <w:rsid w:val="73D31D65"/>
    <w:rsid w:val="73EC0CB5"/>
    <w:rsid w:val="73EF4D9E"/>
    <w:rsid w:val="74056110"/>
    <w:rsid w:val="741E793C"/>
    <w:rsid w:val="744E0792"/>
    <w:rsid w:val="74565626"/>
    <w:rsid w:val="745E3944"/>
    <w:rsid w:val="747B6DC4"/>
    <w:rsid w:val="74920AC5"/>
    <w:rsid w:val="749F21A4"/>
    <w:rsid w:val="74B07C2D"/>
    <w:rsid w:val="74D55507"/>
    <w:rsid w:val="75261540"/>
    <w:rsid w:val="753E7047"/>
    <w:rsid w:val="754E27EF"/>
    <w:rsid w:val="7552783C"/>
    <w:rsid w:val="756652F1"/>
    <w:rsid w:val="757B02C5"/>
    <w:rsid w:val="75855A79"/>
    <w:rsid w:val="75AD3111"/>
    <w:rsid w:val="75C64A95"/>
    <w:rsid w:val="75DC126D"/>
    <w:rsid w:val="75DF3C62"/>
    <w:rsid w:val="76094526"/>
    <w:rsid w:val="761F259E"/>
    <w:rsid w:val="7635099D"/>
    <w:rsid w:val="76364AE6"/>
    <w:rsid w:val="7644698B"/>
    <w:rsid w:val="76451D18"/>
    <w:rsid w:val="76885266"/>
    <w:rsid w:val="76D8478C"/>
    <w:rsid w:val="76E052D5"/>
    <w:rsid w:val="772113EC"/>
    <w:rsid w:val="77366751"/>
    <w:rsid w:val="773B62E9"/>
    <w:rsid w:val="775A7F45"/>
    <w:rsid w:val="775D3801"/>
    <w:rsid w:val="77762421"/>
    <w:rsid w:val="777E6441"/>
    <w:rsid w:val="77B358A8"/>
    <w:rsid w:val="77B56B1F"/>
    <w:rsid w:val="77C61210"/>
    <w:rsid w:val="77CF26E1"/>
    <w:rsid w:val="77CF7DC0"/>
    <w:rsid w:val="77E24114"/>
    <w:rsid w:val="77F03ED5"/>
    <w:rsid w:val="780F09F4"/>
    <w:rsid w:val="78394278"/>
    <w:rsid w:val="78A04C36"/>
    <w:rsid w:val="78A90480"/>
    <w:rsid w:val="78BB7E05"/>
    <w:rsid w:val="790A4F99"/>
    <w:rsid w:val="793E3CC3"/>
    <w:rsid w:val="795F1FF1"/>
    <w:rsid w:val="796D1F8A"/>
    <w:rsid w:val="798929BE"/>
    <w:rsid w:val="798B1137"/>
    <w:rsid w:val="79CA7A8D"/>
    <w:rsid w:val="79D23554"/>
    <w:rsid w:val="79DC5BD6"/>
    <w:rsid w:val="79E748F2"/>
    <w:rsid w:val="79EE7CD5"/>
    <w:rsid w:val="79F113D1"/>
    <w:rsid w:val="7A12013C"/>
    <w:rsid w:val="7A193B1E"/>
    <w:rsid w:val="7A364017"/>
    <w:rsid w:val="7A4E0214"/>
    <w:rsid w:val="7A8265E1"/>
    <w:rsid w:val="7A8F04A7"/>
    <w:rsid w:val="7AC1798C"/>
    <w:rsid w:val="7AC21015"/>
    <w:rsid w:val="7AF41F17"/>
    <w:rsid w:val="7B1251BC"/>
    <w:rsid w:val="7B686D42"/>
    <w:rsid w:val="7B841746"/>
    <w:rsid w:val="7BAC1A48"/>
    <w:rsid w:val="7BAC4AFF"/>
    <w:rsid w:val="7BFB3340"/>
    <w:rsid w:val="7C1E6014"/>
    <w:rsid w:val="7C2D7BAF"/>
    <w:rsid w:val="7C64519A"/>
    <w:rsid w:val="7C6C5AC7"/>
    <w:rsid w:val="7C91470E"/>
    <w:rsid w:val="7CC6544B"/>
    <w:rsid w:val="7CE61B13"/>
    <w:rsid w:val="7D0239FF"/>
    <w:rsid w:val="7D0E6C30"/>
    <w:rsid w:val="7D5E40CD"/>
    <w:rsid w:val="7D6951E5"/>
    <w:rsid w:val="7D6A6E71"/>
    <w:rsid w:val="7D6F3FA1"/>
    <w:rsid w:val="7D75175A"/>
    <w:rsid w:val="7D7D1662"/>
    <w:rsid w:val="7DA077EC"/>
    <w:rsid w:val="7DA37098"/>
    <w:rsid w:val="7DB36D5C"/>
    <w:rsid w:val="7DCD56F2"/>
    <w:rsid w:val="7DF550A5"/>
    <w:rsid w:val="7E157327"/>
    <w:rsid w:val="7E3C517E"/>
    <w:rsid w:val="7E517702"/>
    <w:rsid w:val="7E591B17"/>
    <w:rsid w:val="7EA96C28"/>
    <w:rsid w:val="7EB42003"/>
    <w:rsid w:val="7ECA4E00"/>
    <w:rsid w:val="7F001CE7"/>
    <w:rsid w:val="7FE47E50"/>
    <w:rsid w:val="7FE63405"/>
    <w:rsid w:val="7FEF5213"/>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line="360" w:lineRule="auto"/>
      <w:ind w:firstLine="200" w:firstLineChars="200"/>
      <w:outlineLvl w:val="1"/>
    </w:pPr>
    <w:rPr>
      <w:b/>
      <w:bCs/>
      <w:sz w:val="24"/>
      <w:szCs w:val="32"/>
    </w:rPr>
  </w:style>
  <w:style w:type="paragraph" w:styleId="6">
    <w:name w:val="heading 3"/>
    <w:basedOn w:val="1"/>
    <w:next w:val="1"/>
    <w:autoRedefine/>
    <w:qFormat/>
    <w:locked/>
    <w:uiPriority w:val="0"/>
    <w:pPr>
      <w:keepLines/>
      <w:adjustRightInd w:val="0"/>
      <w:spacing w:before="120" w:after="120" w:line="416" w:lineRule="atLeast"/>
      <w:textAlignment w:val="baseline"/>
      <w:outlineLvl w:val="2"/>
    </w:pPr>
    <w:rPr>
      <w:b/>
      <w:kern w:val="0"/>
      <w:sz w:val="24"/>
      <w:szCs w:val="20"/>
    </w:rPr>
  </w:style>
  <w:style w:type="paragraph" w:styleId="7">
    <w:name w:val="heading 4"/>
    <w:basedOn w:val="1"/>
    <w:next w:val="1"/>
    <w:unhideWhenUsed/>
    <w:qFormat/>
    <w:locked/>
    <w:uiPriority w:val="0"/>
    <w:pPr>
      <w:outlineLvl w:val="3"/>
    </w:pPr>
    <w:rPr>
      <w:b/>
      <w:bCs/>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locked/>
    <w:uiPriority w:val="0"/>
    <w:pPr>
      <w:ind w:firstLine="420"/>
    </w:pPr>
  </w:style>
  <w:style w:type="paragraph" w:styleId="3">
    <w:name w:val="Body Text Indent"/>
    <w:basedOn w:val="1"/>
    <w:next w:val="2"/>
    <w:link w:val="55"/>
    <w:autoRedefine/>
    <w:qFormat/>
    <w:uiPriority w:val="0"/>
    <w:pPr>
      <w:spacing w:after="120"/>
      <w:ind w:left="420" w:leftChars="200"/>
    </w:pPr>
    <w:rPr>
      <w:kern w:val="0"/>
      <w:sz w:val="24"/>
      <w:szCs w:val="20"/>
    </w:rPr>
  </w:style>
  <w:style w:type="paragraph" w:styleId="8">
    <w:name w:val="Normal Indent"/>
    <w:basedOn w:val="1"/>
    <w:next w:val="9"/>
    <w:qFormat/>
    <w:locked/>
    <w:uiPriority w:val="0"/>
    <w:pPr>
      <w:spacing w:line="360" w:lineRule="auto"/>
      <w:ind w:firstLine="420" w:firstLineChars="200"/>
    </w:pPr>
    <w:rPr>
      <w:rFonts w:ascii="Times New Roman" w:hAnsi="Times New Roman" w:eastAsia="宋体"/>
      <w:sz w:val="24"/>
    </w:rPr>
  </w:style>
  <w:style w:type="paragraph" w:customStyle="1" w:styleId="9">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styleId="10">
    <w:name w:val="Document Map"/>
    <w:basedOn w:val="1"/>
    <w:link w:val="110"/>
    <w:qFormat/>
    <w:locked/>
    <w:uiPriority w:val="0"/>
    <w:rPr>
      <w:rFonts w:ascii="宋体"/>
      <w:sz w:val="18"/>
      <w:szCs w:val="18"/>
    </w:rPr>
  </w:style>
  <w:style w:type="paragraph" w:styleId="11">
    <w:name w:val="annotation text"/>
    <w:basedOn w:val="1"/>
    <w:link w:val="62"/>
    <w:autoRedefine/>
    <w:semiHidden/>
    <w:qFormat/>
    <w:uiPriority w:val="0"/>
    <w:pPr>
      <w:jc w:val="left"/>
    </w:pPr>
    <w:rPr>
      <w:kern w:val="0"/>
      <w:sz w:val="24"/>
      <w:szCs w:val="20"/>
    </w:rPr>
  </w:style>
  <w:style w:type="paragraph" w:styleId="12">
    <w:name w:val="Body Text 3"/>
    <w:basedOn w:val="1"/>
    <w:autoRedefine/>
    <w:qFormat/>
    <w:locked/>
    <w:uiPriority w:val="0"/>
    <w:pPr>
      <w:spacing w:line="560" w:lineRule="exact"/>
    </w:pPr>
    <w:rPr>
      <w:rFonts w:ascii="宋体"/>
      <w:sz w:val="28"/>
    </w:rPr>
  </w:style>
  <w:style w:type="paragraph" w:styleId="13">
    <w:name w:val="Body Text"/>
    <w:basedOn w:val="1"/>
    <w:next w:val="1"/>
    <w:link w:val="59"/>
    <w:autoRedefine/>
    <w:qFormat/>
    <w:uiPriority w:val="0"/>
    <w:pPr>
      <w:widowControl/>
      <w:snapToGrid w:val="0"/>
      <w:spacing w:before="60" w:after="160" w:line="259" w:lineRule="auto"/>
      <w:ind w:right="113"/>
    </w:pPr>
    <w:rPr>
      <w:kern w:val="0"/>
      <w:sz w:val="18"/>
      <w:szCs w:val="20"/>
    </w:rPr>
  </w:style>
  <w:style w:type="paragraph" w:styleId="14">
    <w:name w:val="Block Text"/>
    <w:basedOn w:val="1"/>
    <w:autoRedefine/>
    <w:qFormat/>
    <w:locked/>
    <w:uiPriority w:val="0"/>
    <w:pPr>
      <w:spacing w:after="120"/>
      <w:ind w:left="1440" w:leftChars="700" w:right="700" w:rightChars="700"/>
    </w:pPr>
  </w:style>
  <w:style w:type="paragraph" w:styleId="15">
    <w:name w:val="Plain Text"/>
    <w:basedOn w:val="1"/>
    <w:next w:val="12"/>
    <w:autoRedefine/>
    <w:qFormat/>
    <w:locked/>
    <w:uiPriority w:val="0"/>
    <w:pPr>
      <w:ind w:firstLine="200" w:firstLineChars="200"/>
    </w:pPr>
    <w:rPr>
      <w:rFonts w:ascii="宋体"/>
      <w:bCs/>
      <w:color w:val="000000"/>
      <w:sz w:val="28"/>
      <w:szCs w:val="28"/>
    </w:rPr>
  </w:style>
  <w:style w:type="paragraph" w:styleId="16">
    <w:name w:val="List Bullet 5"/>
    <w:basedOn w:val="1"/>
    <w:autoRedefine/>
    <w:qFormat/>
    <w:locked/>
    <w:uiPriority w:val="0"/>
    <w:pPr>
      <w:numPr>
        <w:ilvl w:val="0"/>
        <w:numId w:val="1"/>
      </w:numPr>
    </w:pPr>
  </w:style>
  <w:style w:type="paragraph" w:styleId="17">
    <w:name w:val="Date"/>
    <w:basedOn w:val="1"/>
    <w:next w:val="1"/>
    <w:link w:val="63"/>
    <w:autoRedefine/>
    <w:qFormat/>
    <w:uiPriority w:val="0"/>
    <w:pPr>
      <w:ind w:left="100" w:leftChars="2500"/>
    </w:pPr>
    <w:rPr>
      <w:kern w:val="0"/>
      <w:sz w:val="24"/>
      <w:szCs w:val="20"/>
    </w:rPr>
  </w:style>
  <w:style w:type="paragraph" w:styleId="18">
    <w:name w:val="Body Text Indent 2"/>
    <w:basedOn w:val="1"/>
    <w:autoRedefine/>
    <w:qFormat/>
    <w:locked/>
    <w:uiPriority w:val="0"/>
    <w:pPr>
      <w:spacing w:line="360" w:lineRule="auto"/>
      <w:ind w:firstLine="573"/>
    </w:pPr>
    <w:rPr>
      <w:sz w:val="28"/>
    </w:rPr>
  </w:style>
  <w:style w:type="paragraph" w:styleId="19">
    <w:name w:val="Balloon Text"/>
    <w:basedOn w:val="1"/>
    <w:link w:val="64"/>
    <w:autoRedefine/>
    <w:semiHidden/>
    <w:qFormat/>
    <w:uiPriority w:val="0"/>
    <w:rPr>
      <w:kern w:val="0"/>
      <w:sz w:val="18"/>
      <w:szCs w:val="20"/>
    </w:rPr>
  </w:style>
  <w:style w:type="paragraph" w:styleId="20">
    <w:name w:val="footer"/>
    <w:basedOn w:val="1"/>
    <w:next w:val="1"/>
    <w:link w:val="65"/>
    <w:autoRedefine/>
    <w:qFormat/>
    <w:uiPriority w:val="99"/>
    <w:pPr>
      <w:tabs>
        <w:tab w:val="center" w:pos="4153"/>
        <w:tab w:val="right" w:pos="8306"/>
      </w:tabs>
      <w:snapToGrid w:val="0"/>
      <w:jc w:val="left"/>
    </w:pPr>
    <w:rPr>
      <w:kern w:val="0"/>
      <w:sz w:val="18"/>
      <w:szCs w:val="20"/>
    </w:rPr>
  </w:style>
  <w:style w:type="paragraph" w:styleId="21">
    <w:name w:val="header"/>
    <w:basedOn w:val="1"/>
    <w:link w:val="6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w:basedOn w:val="1"/>
    <w:autoRedefine/>
    <w:semiHidden/>
    <w:unhideWhenUsed/>
    <w:qFormat/>
    <w:locked/>
    <w:uiPriority w:val="99"/>
    <w:pPr>
      <w:ind w:left="200" w:hanging="200" w:hangingChars="200"/>
      <w:contextualSpacing/>
    </w:pPr>
  </w:style>
  <w:style w:type="paragraph" w:styleId="23">
    <w:name w:val="table of figures"/>
    <w:basedOn w:val="1"/>
    <w:next w:val="1"/>
    <w:autoRedefine/>
    <w:unhideWhenUsed/>
    <w:qFormat/>
    <w:locked/>
    <w:uiPriority w:val="99"/>
    <w:pPr>
      <w:jc w:val="center"/>
    </w:pPr>
    <w:rPr>
      <w:sz w:val="24"/>
    </w:rPr>
  </w:style>
  <w:style w:type="paragraph" w:styleId="24">
    <w:name w:val="Body Text 2"/>
    <w:basedOn w:val="1"/>
    <w:autoRedefine/>
    <w:unhideWhenUsed/>
    <w:qFormat/>
    <w:locked/>
    <w:uiPriority w:val="99"/>
    <w:pPr>
      <w:spacing w:after="120" w:line="480" w:lineRule="auto"/>
    </w:pPr>
  </w:style>
  <w:style w:type="paragraph" w:styleId="25">
    <w:name w:val="Normal (Web)"/>
    <w:basedOn w:val="1"/>
    <w:link w:val="56"/>
    <w:autoRedefine/>
    <w:qFormat/>
    <w:uiPriority w:val="99"/>
    <w:pPr>
      <w:widowControl/>
      <w:jc w:val="center"/>
    </w:pPr>
    <w:rPr>
      <w:rFonts w:ascii="宋体" w:hAnsi="宋体"/>
      <w:b/>
      <w:kern w:val="0"/>
      <w:sz w:val="32"/>
      <w:szCs w:val="20"/>
    </w:rPr>
  </w:style>
  <w:style w:type="paragraph" w:styleId="26">
    <w:name w:val="Title"/>
    <w:basedOn w:val="1"/>
    <w:next w:val="1"/>
    <w:link w:val="108"/>
    <w:autoRedefine/>
    <w:qFormat/>
    <w:locked/>
    <w:uiPriority w:val="0"/>
    <w:pPr>
      <w:spacing w:before="240" w:after="60"/>
      <w:jc w:val="center"/>
      <w:outlineLvl w:val="0"/>
    </w:pPr>
    <w:rPr>
      <w:rFonts w:asciiTheme="majorHAnsi" w:hAnsiTheme="majorHAnsi" w:cstheme="majorBidi"/>
      <w:b/>
      <w:bCs/>
      <w:sz w:val="30"/>
      <w:szCs w:val="32"/>
    </w:rPr>
  </w:style>
  <w:style w:type="paragraph" w:styleId="27">
    <w:name w:val="annotation subject"/>
    <w:basedOn w:val="11"/>
    <w:next w:val="11"/>
    <w:link w:val="67"/>
    <w:autoRedefine/>
    <w:semiHidden/>
    <w:qFormat/>
    <w:uiPriority w:val="0"/>
    <w:rPr>
      <w:b/>
    </w:rPr>
  </w:style>
  <w:style w:type="paragraph" w:styleId="28">
    <w:name w:val="Body Text First Indent"/>
    <w:basedOn w:val="13"/>
    <w:autoRedefine/>
    <w:qFormat/>
    <w:locked/>
    <w:uiPriority w:val="0"/>
    <w:pPr>
      <w:spacing w:after="120"/>
      <w:ind w:firstLine="420" w:firstLineChars="100"/>
    </w:pPr>
    <w:rPr>
      <w:kern w:val="2"/>
      <w:sz w:val="21"/>
      <w:szCs w:val="24"/>
    </w:rPr>
  </w:style>
  <w:style w:type="table" w:styleId="30">
    <w:name w:val="Table Grid"/>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locked/>
    <w:uiPriority w:val="0"/>
    <w:rPr>
      <w:b/>
      <w:bCs/>
    </w:rPr>
  </w:style>
  <w:style w:type="character" w:styleId="33">
    <w:name w:val="page number"/>
    <w:basedOn w:val="31"/>
    <w:autoRedefine/>
    <w:qFormat/>
    <w:locked/>
    <w:uiPriority w:val="0"/>
  </w:style>
  <w:style w:type="character" w:styleId="34">
    <w:name w:val="FollowedHyperlink"/>
    <w:basedOn w:val="31"/>
    <w:qFormat/>
    <w:locked/>
    <w:uiPriority w:val="0"/>
    <w:rPr>
      <w:color w:val="000000"/>
      <w:u w:val="none"/>
    </w:rPr>
  </w:style>
  <w:style w:type="character" w:styleId="35">
    <w:name w:val="Emphasis"/>
    <w:basedOn w:val="31"/>
    <w:autoRedefine/>
    <w:qFormat/>
    <w:locked/>
    <w:uiPriority w:val="0"/>
  </w:style>
  <w:style w:type="character" w:styleId="36">
    <w:name w:val="Hyperlink"/>
    <w:basedOn w:val="31"/>
    <w:autoRedefine/>
    <w:qFormat/>
    <w:locked/>
    <w:uiPriority w:val="0"/>
    <w:rPr>
      <w:color w:val="000000"/>
      <w:u w:val="none"/>
    </w:rPr>
  </w:style>
  <w:style w:type="character" w:styleId="37">
    <w:name w:val="annotation reference"/>
    <w:autoRedefine/>
    <w:qFormat/>
    <w:uiPriority w:val="0"/>
    <w:rPr>
      <w:sz w:val="21"/>
    </w:rPr>
  </w:style>
  <w:style w:type="paragraph" w:customStyle="1" w:styleId="38">
    <w:name w:val="Default"/>
    <w:basedOn w:val="39"/>
    <w:next w:val="1"/>
    <w:autoRedefine/>
    <w:qFormat/>
    <w:uiPriority w:val="0"/>
    <w:pPr>
      <w:autoSpaceDE w:val="0"/>
      <w:autoSpaceDN w:val="0"/>
      <w:jc w:val="left"/>
    </w:pPr>
    <w:rPr>
      <w:rFonts w:hint="eastAsia" w:ascii="宋体"/>
      <w:kern w:val="0"/>
      <w:sz w:val="24"/>
      <w:szCs w:val="24"/>
    </w:rPr>
  </w:style>
  <w:style w:type="paragraph" w:customStyle="1" w:styleId="39">
    <w:name w:val="1 表头"/>
    <w:basedOn w:val="1"/>
    <w:autoRedefine/>
    <w:qFormat/>
    <w:uiPriority w:val="0"/>
    <w:pPr>
      <w:adjustRightInd w:val="0"/>
      <w:snapToGrid w:val="0"/>
      <w:jc w:val="center"/>
    </w:pPr>
    <w:rPr>
      <w:b/>
      <w:color w:val="000000"/>
      <w:szCs w:val="21"/>
    </w:rPr>
  </w:style>
  <w:style w:type="paragraph" w:customStyle="1" w:styleId="40">
    <w:name w:val="样式 正文文本缩进 + 行距: 1.5 倍行距"/>
    <w:basedOn w:val="1"/>
    <w:qFormat/>
    <w:uiPriority w:val="0"/>
    <w:pPr>
      <w:spacing w:after="120"/>
      <w:ind w:left="90" w:leftChars="32" w:firstLine="560"/>
    </w:pPr>
    <w:rPr>
      <w:rFonts w:cs="宋体"/>
    </w:rPr>
  </w:style>
  <w:style w:type="paragraph" w:customStyle="1" w:styleId="41">
    <w:name w:val="默认段落"/>
    <w:basedOn w:val="1"/>
    <w:qFormat/>
    <w:uiPriority w:val="0"/>
  </w:style>
  <w:style w:type="paragraph" w:customStyle="1" w:styleId="42">
    <w:name w:val="表格"/>
    <w:basedOn w:val="43"/>
    <w:next w:val="44"/>
    <w:link w:val="47"/>
    <w:autoRedefine/>
    <w:qFormat/>
    <w:uiPriority w:val="0"/>
    <w:pPr>
      <w:adjustRightInd w:val="0"/>
      <w:snapToGrid w:val="0"/>
      <w:spacing w:beforeLines="10" w:afterLines="10" w:line="259" w:lineRule="auto"/>
      <w:jc w:val="center"/>
    </w:pPr>
    <w:rPr>
      <w:kern w:val="0"/>
      <w:szCs w:val="20"/>
    </w:rPr>
  </w:style>
  <w:style w:type="paragraph" w:customStyle="1" w:styleId="43">
    <w:name w:val="Table Paragraph"/>
    <w:basedOn w:val="1"/>
    <w:autoRedefine/>
    <w:qFormat/>
    <w:uiPriority w:val="1"/>
    <w:rPr>
      <w:rFonts w:ascii="宋体" w:hAnsi="宋体" w:cs="宋体"/>
      <w:lang w:val="zh-CN" w:bidi="zh-CN"/>
    </w:rPr>
  </w:style>
  <w:style w:type="paragraph" w:customStyle="1" w:styleId="44">
    <w:name w:val="样式 标题 2 + 首行缩进:  2 字符"/>
    <w:basedOn w:val="5"/>
    <w:next w:val="45"/>
    <w:autoRedefine/>
    <w:qFormat/>
    <w:uiPriority w:val="0"/>
    <w:pPr>
      <w:widowControl/>
      <w:spacing w:line="300" w:lineRule="auto"/>
      <w:ind w:left="1320" w:hanging="420"/>
    </w:pPr>
    <w:rPr>
      <w:rFonts w:eastAsia="黑体"/>
      <w:b w:val="0"/>
      <w:sz w:val="30"/>
    </w:rPr>
  </w:style>
  <w:style w:type="paragraph" w:customStyle="1" w:styleId="45">
    <w:name w:val="图号"/>
    <w:next w:val="46"/>
    <w:autoRedefine/>
    <w:qFormat/>
    <w:uiPriority w:val="0"/>
    <w:pPr>
      <w:widowControl w:val="0"/>
      <w:spacing w:line="529" w:lineRule="exact"/>
      <w:ind w:left="198"/>
    </w:pPr>
    <w:rPr>
      <w:rFonts w:ascii="宋体" w:hAnsi="Times New Roman" w:eastAsia="宋体" w:cs="Times New Roman"/>
      <w:b/>
      <w:sz w:val="24"/>
      <w:lang w:val="en-US" w:eastAsia="zh-CN" w:bidi="ar-SA"/>
    </w:rPr>
  </w:style>
  <w:style w:type="paragraph" w:customStyle="1" w:styleId="46">
    <w:name w:val="Char Char Char Char Char Char Char Char Char Char Char Char Char Char Char Char Char Char Char Char Char Char"/>
    <w:basedOn w:val="1"/>
    <w:next w:val="1"/>
    <w:autoRedefine/>
    <w:qFormat/>
    <w:uiPriority w:val="0"/>
    <w:pPr>
      <w:spacing w:line="360" w:lineRule="auto"/>
      <w:ind w:firstLine="200"/>
    </w:pPr>
    <w:rPr>
      <w:rFonts w:ascii="宋体"/>
      <w:sz w:val="24"/>
    </w:rPr>
  </w:style>
  <w:style w:type="character" w:customStyle="1" w:styleId="47">
    <w:name w:val="表格 Char"/>
    <w:link w:val="42"/>
    <w:autoRedefine/>
    <w:qFormat/>
    <w:locked/>
    <w:uiPriority w:val="0"/>
    <w:rPr>
      <w:rFonts w:ascii="宋体"/>
      <w:sz w:val="21"/>
    </w:rPr>
  </w:style>
  <w:style w:type="paragraph" w:customStyle="1" w:styleId="48">
    <w:name w:val="表头"/>
    <w:basedOn w:val="20"/>
    <w:link w:val="104"/>
    <w:autoRedefine/>
    <w:qFormat/>
    <w:uiPriority w:val="0"/>
    <w:rPr>
      <w:rFonts w:ascii="黑体" w:eastAsia="黑体"/>
      <w:sz w:val="24"/>
    </w:rPr>
  </w:style>
  <w:style w:type="paragraph" w:customStyle="1" w:styleId="49">
    <w:name w:val="报告表格"/>
    <w:basedOn w:val="1"/>
    <w:autoRedefine/>
    <w:qFormat/>
    <w:uiPriority w:val="0"/>
    <w:pPr>
      <w:autoSpaceDE w:val="0"/>
      <w:autoSpaceDN w:val="0"/>
      <w:adjustRightInd w:val="0"/>
      <w:jc w:val="center"/>
      <w:textAlignment w:val="baseline"/>
    </w:pPr>
    <w:rPr>
      <w:kern w:val="0"/>
      <w:szCs w:val="20"/>
    </w:rPr>
  </w:style>
  <w:style w:type="paragraph" w:customStyle="1" w:styleId="50">
    <w:name w:val="表格内"/>
    <w:basedOn w:val="1"/>
    <w:autoRedefine/>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51">
    <w:name w:val="样式 标题 1一级标题 + 段前: 0.5 行 段后: 0.5 行"/>
    <w:basedOn w:val="4"/>
    <w:autoRedefine/>
    <w:qFormat/>
    <w:uiPriority w:val="99"/>
    <w:pPr>
      <w:spacing w:line="320" w:lineRule="exact"/>
      <w:outlineLvl w:val="9"/>
    </w:pPr>
    <w:rPr>
      <w:spacing w:val="-6"/>
      <w:sz w:val="21"/>
      <w:szCs w:val="21"/>
    </w:rPr>
  </w:style>
  <w:style w:type="character" w:customStyle="1" w:styleId="52">
    <w:name w:val="cur"/>
    <w:basedOn w:val="31"/>
    <w:autoRedefine/>
    <w:qFormat/>
    <w:uiPriority w:val="0"/>
    <w:rPr>
      <w:color w:val="FFFFFF"/>
      <w:shd w:val="clear" w:color="auto" w:fill="2F6B98"/>
    </w:rPr>
  </w:style>
  <w:style w:type="character" w:customStyle="1" w:styleId="53">
    <w:name w:val="_Style 5"/>
    <w:autoRedefine/>
    <w:qFormat/>
    <w:uiPriority w:val="0"/>
    <w:rPr>
      <w:b/>
      <w:smallCaps/>
      <w:spacing w:val="5"/>
    </w:rPr>
  </w:style>
  <w:style w:type="character" w:customStyle="1" w:styleId="54">
    <w:name w:val="radio-btn"/>
    <w:basedOn w:val="31"/>
    <w:autoRedefine/>
    <w:qFormat/>
    <w:uiPriority w:val="0"/>
    <w:rPr>
      <w:sz w:val="16"/>
      <w:szCs w:val="16"/>
    </w:rPr>
  </w:style>
  <w:style w:type="character" w:customStyle="1" w:styleId="55">
    <w:name w:val="正文文本缩进 Char"/>
    <w:link w:val="3"/>
    <w:autoRedefine/>
    <w:semiHidden/>
    <w:qFormat/>
    <w:locked/>
    <w:uiPriority w:val="0"/>
    <w:rPr>
      <w:rFonts w:ascii="Times New Roman" w:hAnsi="Times New Roman" w:eastAsia="宋体"/>
      <w:sz w:val="24"/>
    </w:rPr>
  </w:style>
  <w:style w:type="character" w:customStyle="1" w:styleId="56">
    <w:name w:val="普通(网站) Char"/>
    <w:link w:val="25"/>
    <w:autoRedefine/>
    <w:qFormat/>
    <w:locked/>
    <w:uiPriority w:val="99"/>
    <w:rPr>
      <w:rFonts w:ascii="宋体" w:hAnsi="宋体"/>
      <w:b/>
      <w:sz w:val="32"/>
    </w:rPr>
  </w:style>
  <w:style w:type="character" w:customStyle="1" w:styleId="57">
    <w:name w:val="radio-btn2"/>
    <w:basedOn w:val="31"/>
    <w:autoRedefine/>
    <w:qFormat/>
    <w:uiPriority w:val="0"/>
    <w:rPr>
      <w:sz w:val="19"/>
      <w:szCs w:val="19"/>
    </w:rPr>
  </w:style>
  <w:style w:type="character" w:customStyle="1" w:styleId="58">
    <w:name w:val="日期 字符"/>
    <w:autoRedefine/>
    <w:semiHidden/>
    <w:qFormat/>
    <w:uiPriority w:val="0"/>
    <w:rPr>
      <w:rFonts w:ascii="Times New Roman" w:hAnsi="Times New Roman" w:eastAsia="宋体"/>
      <w:sz w:val="24"/>
    </w:rPr>
  </w:style>
  <w:style w:type="character" w:customStyle="1" w:styleId="59">
    <w:name w:val="正文文本 Char"/>
    <w:link w:val="13"/>
    <w:autoRedefine/>
    <w:qFormat/>
    <w:locked/>
    <w:uiPriority w:val="99"/>
    <w:rPr>
      <w:sz w:val="18"/>
    </w:rPr>
  </w:style>
  <w:style w:type="character" w:customStyle="1" w:styleId="60">
    <w:name w:val="正文文本 字符1"/>
    <w:autoRedefine/>
    <w:semiHidden/>
    <w:qFormat/>
    <w:uiPriority w:val="0"/>
    <w:rPr>
      <w:rFonts w:ascii="Times New Roman" w:hAnsi="Times New Roman" w:eastAsia="宋体"/>
      <w:sz w:val="24"/>
    </w:rPr>
  </w:style>
  <w:style w:type="character" w:customStyle="1" w:styleId="61">
    <w:name w:val="批注文字 字符1"/>
    <w:autoRedefine/>
    <w:semiHidden/>
    <w:qFormat/>
    <w:uiPriority w:val="0"/>
    <w:rPr>
      <w:rFonts w:ascii="Times New Roman" w:hAnsi="Times New Roman" w:eastAsia="宋体"/>
      <w:sz w:val="24"/>
    </w:rPr>
  </w:style>
  <w:style w:type="character" w:customStyle="1" w:styleId="62">
    <w:name w:val="批注文字 Char"/>
    <w:link w:val="11"/>
    <w:autoRedefine/>
    <w:qFormat/>
    <w:locked/>
    <w:uiPriority w:val="0"/>
    <w:rPr>
      <w:rFonts w:ascii="Times New Roman" w:hAnsi="Times New Roman" w:eastAsia="宋体"/>
      <w:sz w:val="24"/>
    </w:rPr>
  </w:style>
  <w:style w:type="character" w:customStyle="1" w:styleId="63">
    <w:name w:val="日期 Char"/>
    <w:link w:val="17"/>
    <w:autoRedefine/>
    <w:qFormat/>
    <w:locked/>
    <w:uiPriority w:val="0"/>
    <w:rPr>
      <w:rFonts w:ascii="Times New Roman" w:hAnsi="Times New Roman" w:eastAsia="宋体"/>
      <w:sz w:val="24"/>
    </w:rPr>
  </w:style>
  <w:style w:type="character" w:customStyle="1" w:styleId="64">
    <w:name w:val="批注框文本 Char"/>
    <w:link w:val="19"/>
    <w:autoRedefine/>
    <w:semiHidden/>
    <w:qFormat/>
    <w:locked/>
    <w:uiPriority w:val="0"/>
    <w:rPr>
      <w:rFonts w:ascii="Times New Roman" w:hAnsi="Times New Roman" w:eastAsia="宋体"/>
      <w:sz w:val="18"/>
    </w:rPr>
  </w:style>
  <w:style w:type="character" w:customStyle="1" w:styleId="65">
    <w:name w:val="页脚 Char"/>
    <w:link w:val="20"/>
    <w:autoRedefine/>
    <w:qFormat/>
    <w:locked/>
    <w:uiPriority w:val="99"/>
    <w:rPr>
      <w:sz w:val="18"/>
    </w:rPr>
  </w:style>
  <w:style w:type="character" w:customStyle="1" w:styleId="66">
    <w:name w:val="页眉 Char"/>
    <w:link w:val="21"/>
    <w:autoRedefine/>
    <w:qFormat/>
    <w:locked/>
    <w:uiPriority w:val="0"/>
    <w:rPr>
      <w:sz w:val="18"/>
    </w:rPr>
  </w:style>
  <w:style w:type="character" w:customStyle="1" w:styleId="67">
    <w:name w:val="批注主题 Char"/>
    <w:link w:val="27"/>
    <w:autoRedefine/>
    <w:semiHidden/>
    <w:qFormat/>
    <w:locked/>
    <w:uiPriority w:val="0"/>
    <w:rPr>
      <w:rFonts w:ascii="Times New Roman" w:hAnsi="Times New Roman" w:eastAsia="宋体"/>
      <w:b/>
      <w:kern w:val="2"/>
      <w:sz w:val="24"/>
    </w:rPr>
  </w:style>
  <w:style w:type="character" w:customStyle="1" w:styleId="68">
    <w:name w:val="lable"/>
    <w:basedOn w:val="31"/>
    <w:autoRedefine/>
    <w:qFormat/>
    <w:uiPriority w:val="0"/>
    <w:rPr>
      <w:sz w:val="19"/>
      <w:szCs w:val="19"/>
    </w:rPr>
  </w:style>
  <w:style w:type="character" w:customStyle="1" w:styleId="69">
    <w:name w:val="radio-btn1"/>
    <w:basedOn w:val="31"/>
    <w:autoRedefine/>
    <w:qFormat/>
    <w:uiPriority w:val="0"/>
    <w:rPr>
      <w:sz w:val="19"/>
      <w:szCs w:val="19"/>
    </w:rPr>
  </w:style>
  <w:style w:type="character" w:customStyle="1" w:styleId="70">
    <w:name w:val="lishishuju"/>
    <w:basedOn w:val="31"/>
    <w:autoRedefine/>
    <w:qFormat/>
    <w:uiPriority w:val="0"/>
    <w:rPr>
      <w:b/>
      <w:bCs/>
      <w:color w:val="000052"/>
      <w:sz w:val="19"/>
      <w:szCs w:val="19"/>
      <w:bdr w:val="single" w:color="E3E3E3" w:sz="4" w:space="0"/>
    </w:rPr>
  </w:style>
  <w:style w:type="character" w:customStyle="1" w:styleId="71">
    <w:name w:val="cur1"/>
    <w:basedOn w:val="31"/>
    <w:autoRedefine/>
    <w:qFormat/>
    <w:uiPriority w:val="0"/>
    <w:rPr>
      <w:color w:val="FFFFFF"/>
      <w:shd w:val="clear" w:color="auto" w:fill="2F6B98"/>
    </w:rPr>
  </w:style>
  <w:style w:type="character" w:customStyle="1" w:styleId="72">
    <w:name w:val="页脚 字符"/>
    <w:basedOn w:val="31"/>
    <w:autoRedefine/>
    <w:qFormat/>
    <w:uiPriority w:val="99"/>
  </w:style>
  <w:style w:type="character" w:customStyle="1" w:styleId="73">
    <w:name w:val="znspantitle"/>
    <w:basedOn w:val="31"/>
    <w:autoRedefine/>
    <w:qFormat/>
    <w:uiPriority w:val="0"/>
    <w:rPr>
      <w:b/>
      <w:bCs/>
      <w:color w:val="333333"/>
    </w:rPr>
  </w:style>
  <w:style w:type="paragraph" w:customStyle="1" w:styleId="74">
    <w:name w:val="Char"/>
    <w:basedOn w:val="1"/>
    <w:autoRedefine/>
    <w:qFormat/>
    <w:uiPriority w:val="0"/>
  </w:style>
  <w:style w:type="paragraph" w:customStyle="1" w:styleId="75">
    <w:name w:val="图表"/>
    <w:basedOn w:val="1"/>
    <w:autoRedefine/>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76">
    <w:name w:val="标题三！！！！！！！"/>
    <w:basedOn w:val="6"/>
    <w:autoRedefine/>
    <w:qFormat/>
    <w:uiPriority w:val="0"/>
    <w:pPr>
      <w:keepLines w:val="0"/>
      <w:adjustRightInd/>
      <w:spacing w:before="0" w:after="0" w:line="500" w:lineRule="exact"/>
      <w:textAlignment w:val="auto"/>
    </w:pPr>
    <w:rPr>
      <w:rFonts w:ascii="楷体_GB2312" w:hAnsi="楷体_GB2312" w:eastAsia="楷体_GB2312" w:cs="楷体_GB2312"/>
      <w:sz w:val="28"/>
      <w:szCs w:val="28"/>
    </w:rPr>
  </w:style>
  <w:style w:type="paragraph" w:customStyle="1" w:styleId="77">
    <w:name w:val="样式 标题 3 + 黑体 非加粗"/>
    <w:basedOn w:val="6"/>
    <w:autoRedefine/>
    <w:qFormat/>
    <w:uiPriority w:val="0"/>
    <w:pPr>
      <w:tabs>
        <w:tab w:val="left" w:pos="4678"/>
      </w:tabs>
      <w:snapToGrid w:val="0"/>
      <w:spacing w:before="156" w:beforeLines="50" w:after="156" w:afterLines="50" w:line="360" w:lineRule="auto"/>
    </w:pPr>
  </w:style>
  <w:style w:type="paragraph" w:customStyle="1" w:styleId="78">
    <w:name w:val="正文1"/>
    <w:basedOn w:val="1"/>
    <w:autoRedefine/>
    <w:qFormat/>
    <w:uiPriority w:val="0"/>
    <w:pPr>
      <w:adjustRightInd w:val="0"/>
      <w:snapToGrid w:val="0"/>
      <w:spacing w:line="500" w:lineRule="atLeast"/>
      <w:ind w:firstLine="567"/>
    </w:pPr>
    <w:rPr>
      <w:sz w:val="28"/>
    </w:rPr>
  </w:style>
  <w:style w:type="paragraph" w:customStyle="1" w:styleId="79">
    <w:name w:val="表格后空行"/>
    <w:basedOn w:val="1"/>
    <w:autoRedefine/>
    <w:qFormat/>
    <w:uiPriority w:val="0"/>
    <w:pPr>
      <w:widowControl/>
      <w:spacing w:line="240" w:lineRule="exact"/>
      <w:textAlignment w:val="baseline"/>
    </w:pPr>
    <w:rPr>
      <w:rFonts w:ascii="宋体" w:cs="宋体"/>
      <w:color w:val="000000"/>
      <w:kern w:val="0"/>
      <w:sz w:val="18"/>
      <w:szCs w:val="20"/>
      <w:u w:color="000000"/>
    </w:rPr>
  </w:style>
  <w:style w:type="paragraph" w:customStyle="1" w:styleId="80">
    <w:name w:val="表格的文字"/>
    <w:basedOn w:val="1"/>
    <w:autoRedefine/>
    <w:qFormat/>
    <w:uiPriority w:val="0"/>
    <w:pPr>
      <w:adjustRightInd w:val="0"/>
      <w:snapToGrid w:val="0"/>
      <w:spacing w:line="240" w:lineRule="atLeast"/>
      <w:jc w:val="center"/>
    </w:pPr>
    <w:rPr>
      <w:rFonts w:ascii="仿宋_GB2312" w:hAnsi="仿宋_GB2312"/>
      <w:b/>
      <w:bCs/>
      <w:szCs w:val="20"/>
    </w:rPr>
  </w:style>
  <w:style w:type="paragraph" w:customStyle="1" w:styleId="81">
    <w:name w:val="缩进"/>
    <w:basedOn w:val="1"/>
    <w:autoRedefine/>
    <w:qFormat/>
    <w:uiPriority w:val="0"/>
    <w:pPr>
      <w:spacing w:line="360" w:lineRule="auto"/>
      <w:ind w:firstLine="200" w:firstLineChars="200"/>
    </w:pPr>
    <w:rPr>
      <w:sz w:val="24"/>
    </w:rPr>
  </w:style>
  <w:style w:type="paragraph" w:customStyle="1" w:styleId="82">
    <w:name w:val="报告正文"/>
    <w:basedOn w:val="1"/>
    <w:autoRedefine/>
    <w:qFormat/>
    <w:uiPriority w:val="0"/>
    <w:pPr>
      <w:spacing w:line="520" w:lineRule="exact"/>
      <w:ind w:firstLine="488" w:firstLineChars="200"/>
      <w:jc w:val="left"/>
    </w:pPr>
    <w:rPr>
      <w:bCs/>
      <w:spacing w:val="8"/>
      <w:kern w:val="0"/>
      <w:sz w:val="24"/>
    </w:rPr>
  </w:style>
  <w:style w:type="paragraph" w:customStyle="1" w:styleId="83">
    <w:name w:val="正本文字"/>
    <w:basedOn w:val="1"/>
    <w:autoRedefine/>
    <w:qFormat/>
    <w:uiPriority w:val="0"/>
    <w:pPr>
      <w:adjustRightInd w:val="0"/>
      <w:snapToGrid w:val="0"/>
      <w:spacing w:line="360" w:lineRule="auto"/>
      <w:ind w:firstLine="480" w:firstLineChars="200"/>
      <w:jc w:val="left"/>
    </w:pPr>
    <w:rPr>
      <w:kern w:val="18"/>
      <w:sz w:val="24"/>
      <w:szCs w:val="20"/>
    </w:rPr>
  </w:style>
  <w:style w:type="paragraph" w:customStyle="1" w:styleId="84">
    <w:name w:val="正文(首行缩进)"/>
    <w:basedOn w:val="1"/>
    <w:next w:val="5"/>
    <w:autoRedefine/>
    <w:qFormat/>
    <w:uiPriority w:val="0"/>
    <w:pPr>
      <w:spacing w:line="360" w:lineRule="auto"/>
      <w:ind w:firstLine="480" w:firstLineChars="200"/>
    </w:pPr>
    <w:rPr>
      <w:bCs/>
      <w:color w:val="000000"/>
      <w:kern w:val="24"/>
      <w:sz w:val="24"/>
    </w:rPr>
  </w:style>
  <w:style w:type="paragraph" w:customStyle="1" w:styleId="85">
    <w:name w:val="表头、图号"/>
    <w:basedOn w:val="1"/>
    <w:autoRedefine/>
    <w:unhideWhenUsed/>
    <w:qFormat/>
    <w:uiPriority w:val="0"/>
    <w:pPr>
      <w:widowControl/>
    </w:pPr>
    <w:rPr>
      <w:rFonts w:eastAsia="黑体"/>
      <w:kern w:val="0"/>
    </w:rPr>
  </w:style>
  <w:style w:type="paragraph" w:customStyle="1" w:styleId="86">
    <w:name w:val="li_正文"/>
    <w:basedOn w:val="1"/>
    <w:autoRedefine/>
    <w:qFormat/>
    <w:uiPriority w:val="0"/>
    <w:pPr>
      <w:ind w:firstLine="200" w:firstLineChars="200"/>
      <w:jc w:val="left"/>
    </w:pPr>
    <w:rPr>
      <w:rFonts w:ascii="Calibri" w:hAnsi="Calibri"/>
      <w:sz w:val="28"/>
      <w:szCs w:val="28"/>
    </w:rPr>
  </w:style>
  <w:style w:type="paragraph" w:customStyle="1" w:styleId="87">
    <w:name w:val="表格文字中"/>
    <w:basedOn w:val="1"/>
    <w:autoRedefine/>
    <w:qFormat/>
    <w:uiPriority w:val="0"/>
    <w:pPr>
      <w:jc w:val="center"/>
    </w:pPr>
    <w:rPr>
      <w:kern w:val="0"/>
      <w:sz w:val="24"/>
      <w:szCs w:val="20"/>
    </w:rPr>
  </w:style>
  <w:style w:type="paragraph" w:customStyle="1" w:styleId="88">
    <w:name w:val="样式5"/>
    <w:basedOn w:val="1"/>
    <w:autoRedefine/>
    <w:qFormat/>
    <w:uiPriority w:val="0"/>
    <w:pPr>
      <w:snapToGrid w:val="0"/>
      <w:spacing w:line="360" w:lineRule="auto"/>
      <w:ind w:firstLine="510"/>
    </w:pPr>
    <w:rPr>
      <w:sz w:val="28"/>
    </w:rPr>
  </w:style>
  <w:style w:type="paragraph" w:customStyle="1" w:styleId="8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90">
    <w:name w:val="表格文字"/>
    <w:basedOn w:val="28"/>
    <w:autoRedefine/>
    <w:qFormat/>
    <w:uiPriority w:val="0"/>
    <w:pPr>
      <w:adjustRightInd w:val="0"/>
      <w:spacing w:line="320" w:lineRule="exact"/>
      <w:ind w:left="-80"/>
      <w:jc w:val="center"/>
      <w:textAlignment w:val="baseline"/>
    </w:pPr>
    <w:rPr>
      <w:szCs w:val="21"/>
    </w:rPr>
  </w:style>
  <w:style w:type="paragraph" w:customStyle="1" w:styleId="91">
    <w:name w:val="表题"/>
    <w:basedOn w:val="1"/>
    <w:next w:val="1"/>
    <w:autoRedefine/>
    <w:qFormat/>
    <w:uiPriority w:val="0"/>
    <w:pPr>
      <w:adjustRightInd w:val="0"/>
      <w:snapToGrid w:val="0"/>
      <w:spacing w:line="360" w:lineRule="auto"/>
      <w:ind w:firstLine="422" w:firstLineChars="200"/>
      <w:jc w:val="center"/>
    </w:pPr>
    <w:rPr>
      <w:b/>
      <w:color w:val="000000" w:themeColor="text1"/>
      <w:kern w:val="0"/>
      <w14:textFill>
        <w14:solidFill>
          <w14:schemeClr w14:val="tx1"/>
        </w14:solidFill>
      </w14:textFill>
    </w:rPr>
  </w:style>
  <w:style w:type="paragraph" w:customStyle="1" w:styleId="92">
    <w:name w:val="表、图名"/>
    <w:basedOn w:val="1"/>
    <w:autoRedefine/>
    <w:qFormat/>
    <w:uiPriority w:val="0"/>
    <w:pPr>
      <w:adjustRightInd w:val="0"/>
      <w:snapToGrid w:val="0"/>
      <w:spacing w:line="520" w:lineRule="exact"/>
      <w:ind w:left="-6" w:firstLine="560"/>
    </w:pPr>
    <w:rPr>
      <w:b/>
      <w:szCs w:val="20"/>
    </w:rPr>
  </w:style>
  <w:style w:type="paragraph" w:customStyle="1" w:styleId="93">
    <w:name w:val="0"/>
    <w:basedOn w:val="74"/>
    <w:autoRedefine/>
    <w:qFormat/>
    <w:uiPriority w:val="0"/>
    <w:pPr>
      <w:overflowPunct w:val="0"/>
      <w:adjustRightInd w:val="0"/>
      <w:snapToGrid w:val="0"/>
      <w:jc w:val="center"/>
    </w:pPr>
    <w:rPr>
      <w:snapToGrid w:val="0"/>
      <w:color w:val="000000" w:themeColor="text1"/>
      <w:kern w:val="0"/>
      <w:szCs w:val="21"/>
      <w14:textFill>
        <w14:solidFill>
          <w14:schemeClr w14:val="tx1"/>
        </w14:solidFill>
      </w14:textFill>
    </w:rPr>
  </w:style>
  <w:style w:type="paragraph" w:customStyle="1" w:styleId="94">
    <w:name w:val="表头及表尾"/>
    <w:autoRedefine/>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szCs w:val="21"/>
      <w:lang w:val="en-US" w:eastAsia="zh-CN" w:bidi="ar-SA"/>
    </w:rPr>
  </w:style>
  <w:style w:type="paragraph" w:customStyle="1" w:styleId="9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文本1"/>
    <w:basedOn w:val="1"/>
    <w:autoRedefine/>
    <w:qFormat/>
    <w:uiPriority w:val="0"/>
    <w:pPr>
      <w:shd w:val="clear" w:color="auto" w:fill="FFFFFF"/>
      <w:spacing w:line="0" w:lineRule="atLeast"/>
      <w:jc w:val="distribute"/>
    </w:pPr>
    <w:rPr>
      <w:rFonts w:ascii="宋体" w:hAnsi="宋体" w:cs="宋体"/>
      <w:kern w:val="0"/>
      <w:sz w:val="26"/>
      <w:szCs w:val="26"/>
    </w:rPr>
  </w:style>
  <w:style w:type="paragraph" w:customStyle="1" w:styleId="97">
    <w:name w:val="样式 首行缩进:  2 字符1"/>
    <w:basedOn w:val="1"/>
    <w:autoRedefine/>
    <w:qFormat/>
    <w:uiPriority w:val="0"/>
    <w:pPr>
      <w:adjustRightInd w:val="0"/>
      <w:snapToGrid w:val="0"/>
      <w:spacing w:line="360" w:lineRule="auto"/>
      <w:ind w:firstLine="480"/>
    </w:pPr>
    <w:rPr>
      <w:rFonts w:cs="宋体"/>
    </w:rPr>
  </w:style>
  <w:style w:type="paragraph" w:customStyle="1" w:styleId="98">
    <w:name w:val="ach正文"/>
    <w:basedOn w:val="1"/>
    <w:autoRedefine/>
    <w:qFormat/>
    <w:uiPriority w:val="0"/>
    <w:pPr>
      <w:spacing w:line="500" w:lineRule="exact"/>
      <w:ind w:firstLine="200" w:firstLineChars="200"/>
    </w:pPr>
    <w:rPr>
      <w:rFonts w:hAnsi="宋体"/>
      <w:color w:val="0000FF"/>
    </w:rPr>
  </w:style>
  <w:style w:type="paragraph" w:styleId="99">
    <w:name w:val="No Spacing"/>
    <w:basedOn w:val="22"/>
    <w:next w:val="1"/>
    <w:link w:val="106"/>
    <w:autoRedefine/>
    <w:qFormat/>
    <w:uiPriority w:val="1"/>
    <w:pPr>
      <w:ind w:left="0" w:firstLine="0" w:firstLineChars="0"/>
      <w:jc w:val="center"/>
    </w:pPr>
  </w:style>
  <w:style w:type="paragraph" w:customStyle="1" w:styleId="100">
    <w:name w:val="标题文本"/>
    <w:basedOn w:val="101"/>
    <w:autoRedefine/>
    <w:qFormat/>
    <w:uiPriority w:val="0"/>
    <w:pPr>
      <w:ind w:firstLine="0" w:firstLineChars="0"/>
    </w:pPr>
    <w:rPr>
      <w:b/>
      <w:snapToGrid w:val="0"/>
    </w:rPr>
  </w:style>
  <w:style w:type="paragraph" w:customStyle="1" w:styleId="101">
    <w:name w:val="文本"/>
    <w:basedOn w:val="3"/>
    <w:autoRedefine/>
    <w:qFormat/>
    <w:uiPriority w:val="0"/>
    <w:pPr>
      <w:adjustRightInd w:val="0"/>
      <w:snapToGrid w:val="0"/>
      <w:spacing w:after="0" w:line="520" w:lineRule="exact"/>
      <w:ind w:firstLine="200" w:firstLineChars="200"/>
    </w:pPr>
    <w:rPr>
      <w:rFonts w:ascii="宋体"/>
      <w:sz w:val="24"/>
    </w:rPr>
  </w:style>
  <w:style w:type="character" w:customStyle="1" w:styleId="102">
    <w:name w:val="表格文字2 Char"/>
    <w:link w:val="103"/>
    <w:autoRedefine/>
    <w:qFormat/>
    <w:locked/>
    <w:uiPriority w:val="0"/>
    <w:rPr>
      <w:rFonts w:ascii="宋体" w:hAnsi="宋体" w:cs="宋体"/>
      <w:bCs/>
      <w:spacing w:val="5"/>
      <w:szCs w:val="21"/>
    </w:rPr>
  </w:style>
  <w:style w:type="paragraph" w:customStyle="1" w:styleId="103">
    <w:name w:val="表格文字2"/>
    <w:basedOn w:val="1"/>
    <w:link w:val="102"/>
    <w:autoRedefine/>
    <w:qFormat/>
    <w:uiPriority w:val="0"/>
    <w:pPr>
      <w:tabs>
        <w:tab w:val="left" w:pos="277"/>
        <w:tab w:val="left" w:pos="600"/>
        <w:tab w:val="left" w:pos="780"/>
        <w:tab w:val="left" w:pos="2517"/>
      </w:tabs>
      <w:adjustRightInd w:val="0"/>
      <w:spacing w:before="60"/>
      <w:jc w:val="center"/>
    </w:pPr>
    <w:rPr>
      <w:rFonts w:ascii="宋体" w:hAnsi="宋体" w:cs="宋体"/>
      <w:bCs/>
      <w:spacing w:val="5"/>
      <w:kern w:val="0"/>
      <w:sz w:val="20"/>
      <w:szCs w:val="21"/>
    </w:rPr>
  </w:style>
  <w:style w:type="character" w:customStyle="1" w:styleId="104">
    <w:name w:val="表头 Char"/>
    <w:basedOn w:val="31"/>
    <w:link w:val="48"/>
    <w:autoRedefine/>
    <w:qFormat/>
    <w:uiPriority w:val="0"/>
    <w:rPr>
      <w:rFonts w:ascii="黑体" w:eastAsia="黑体"/>
      <w:sz w:val="24"/>
    </w:rPr>
  </w:style>
  <w:style w:type="paragraph" w:customStyle="1" w:styleId="105">
    <w:name w:val="1正文"/>
    <w:autoRedefine/>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06">
    <w:name w:val="无间隔 Char"/>
    <w:basedOn w:val="31"/>
    <w:link w:val="99"/>
    <w:autoRedefine/>
    <w:qFormat/>
    <w:locked/>
    <w:uiPriority w:val="1"/>
    <w:rPr>
      <w:kern w:val="2"/>
      <w:sz w:val="21"/>
      <w:szCs w:val="24"/>
    </w:rPr>
  </w:style>
  <w:style w:type="paragraph" w:customStyle="1" w:styleId="107">
    <w:name w:val="表格内容"/>
    <w:basedOn w:val="1"/>
    <w:next w:val="8"/>
    <w:autoRedefine/>
    <w:qFormat/>
    <w:uiPriority w:val="0"/>
    <w:pPr>
      <w:adjustRightInd w:val="0"/>
      <w:snapToGrid w:val="0"/>
      <w:jc w:val="center"/>
    </w:pPr>
    <w:rPr>
      <w:color w:val="000000"/>
      <w:szCs w:val="21"/>
    </w:rPr>
  </w:style>
  <w:style w:type="character" w:customStyle="1" w:styleId="108">
    <w:name w:val="标题 Char"/>
    <w:basedOn w:val="31"/>
    <w:link w:val="26"/>
    <w:autoRedefine/>
    <w:qFormat/>
    <w:uiPriority w:val="0"/>
    <w:rPr>
      <w:rFonts w:asciiTheme="majorHAnsi" w:hAnsiTheme="majorHAnsi" w:cstheme="majorBidi"/>
      <w:b/>
      <w:bCs/>
      <w:kern w:val="2"/>
      <w:sz w:val="30"/>
      <w:szCs w:val="32"/>
    </w:rPr>
  </w:style>
  <w:style w:type="paragraph" w:styleId="109">
    <w:name w:val="List Paragraph"/>
    <w:basedOn w:val="1"/>
    <w:autoRedefine/>
    <w:qFormat/>
    <w:uiPriority w:val="34"/>
    <w:pPr>
      <w:ind w:firstLine="420" w:firstLineChars="200"/>
    </w:pPr>
  </w:style>
  <w:style w:type="character" w:customStyle="1" w:styleId="110">
    <w:name w:val="文档结构图 Char"/>
    <w:basedOn w:val="31"/>
    <w:link w:val="10"/>
    <w:autoRedefine/>
    <w:qFormat/>
    <w:uiPriority w:val="0"/>
    <w:rPr>
      <w:rFonts w:ascii="宋体"/>
      <w:kern w:val="2"/>
      <w:sz w:val="18"/>
      <w:szCs w:val="18"/>
    </w:rPr>
  </w:style>
  <w:style w:type="paragraph" w:customStyle="1" w:styleId="111">
    <w:name w:val="《正文》"/>
    <w:basedOn w:val="1"/>
    <w:autoRedefine/>
    <w:qFormat/>
    <w:uiPriority w:val="0"/>
    <w:pPr>
      <w:spacing w:line="360" w:lineRule="auto"/>
      <w:ind w:firstLine="200" w:firstLineChars="200"/>
    </w:pPr>
    <w:rPr>
      <w:sz w:val="24"/>
    </w:rPr>
  </w:style>
  <w:style w:type="paragraph" w:customStyle="1" w:styleId="112">
    <w:name w:val="表"/>
    <w:basedOn w:val="1"/>
    <w:next w:val="22"/>
    <w:autoRedefine/>
    <w:qFormat/>
    <w:uiPriority w:val="0"/>
    <w:pPr>
      <w:spacing w:line="400" w:lineRule="exact"/>
      <w:jc w:val="center"/>
    </w:pPr>
    <w:rPr>
      <w:rFonts w:eastAsia="黑体" w:cs="宋体"/>
      <w:color w:val="000000" w:themeColor="text1"/>
      <w:kern w:val="0"/>
      <w:sz w:val="24"/>
      <w14:textFill>
        <w14:solidFill>
          <w14:schemeClr w14:val="tx1"/>
        </w14:solidFill>
      </w14:textFill>
    </w:rPr>
  </w:style>
  <w:style w:type="table" w:customStyle="1" w:styleId="113">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114">
    <w:name w:val="Table Text"/>
    <w:basedOn w:val="1"/>
    <w:semiHidden/>
    <w:qFormat/>
    <w:uiPriority w:val="0"/>
    <w:rPr>
      <w:rFonts w:ascii="宋体" w:hAnsi="宋体" w:eastAsia="宋体" w:cs="宋体"/>
      <w:sz w:val="24"/>
      <w:szCs w:val="24"/>
      <w:lang w:val="en-US" w:eastAsia="en-US" w:bidi="ar-SA"/>
    </w:rPr>
  </w:style>
  <w:style w:type="paragraph" w:customStyle="1" w:styleId="115">
    <w:name w:val="正文A"/>
    <w:basedOn w:val="1"/>
    <w:qFormat/>
    <w:uiPriority w:val="0"/>
    <w:pPr>
      <w:spacing w:line="500" w:lineRule="exact"/>
      <w:ind w:firstLine="480" w:firstLineChars="200"/>
    </w:pPr>
    <w:rPr>
      <w:rFonts w:ascii="华文仿宋" w:hAnsi="华文仿宋" w:eastAsia="华文仿宋" w:cs="华文仿宋"/>
    </w:rPr>
  </w:style>
  <w:style w:type="paragraph" w:customStyle="1" w:styleId="116">
    <w:name w:val="Other|1"/>
    <w:basedOn w:val="1"/>
    <w:qFormat/>
    <w:uiPriority w:val="0"/>
    <w:pPr>
      <w:jc w:val="center"/>
    </w:pPr>
    <w:rPr>
      <w:rFonts w:ascii="MingLiU" w:hAnsi="MingLiU" w:eastAsia="MingLiU" w:cs="MingLiU"/>
      <w:sz w:val="17"/>
      <w:szCs w:val="17"/>
      <w:lang w:val="zh-TW" w:eastAsia="zh-TW" w:bidi="zh-TW"/>
    </w:rPr>
  </w:style>
  <w:style w:type="paragraph" w:customStyle="1" w:styleId="117">
    <w:name w:val="表内字"/>
    <w:basedOn w:val="1"/>
    <w:qFormat/>
    <w:uiPriority w:val="0"/>
    <w:pPr>
      <w:spacing w:line="240" w:lineRule="auto"/>
      <w:ind w:firstLine="0" w:firstLineChars="0"/>
      <w:jc w:val="center"/>
    </w:pPr>
    <w:rPr>
      <w:sz w:val="21"/>
    </w:rPr>
  </w:style>
  <w:style w:type="paragraph" w:customStyle="1" w:styleId="118">
    <w:name w:val="p0"/>
    <w:basedOn w:val="1"/>
    <w:qFormat/>
    <w:uiPriority w:val="0"/>
    <w:pPr>
      <w:widowControl/>
    </w:pPr>
    <w:rPr>
      <w:kern w:val="0"/>
      <w:szCs w:val="21"/>
    </w:rPr>
  </w:style>
  <w:style w:type="character" w:customStyle="1" w:styleId="119">
    <w:name w:val="font11"/>
    <w:basedOn w:val="31"/>
    <w:qFormat/>
    <w:uiPriority w:val="0"/>
    <w:rPr>
      <w:rFonts w:hint="eastAsia" w:ascii="宋体" w:hAnsi="宋体" w:eastAsia="宋体" w:cs="宋体"/>
      <w:color w:val="000000"/>
      <w:sz w:val="21"/>
      <w:szCs w:val="21"/>
      <w:u w:val="none"/>
    </w:rPr>
  </w:style>
  <w:style w:type="paragraph" w:customStyle="1" w:styleId="120">
    <w:name w:val="标1"/>
    <w:basedOn w:val="1"/>
    <w:qFormat/>
    <w:uiPriority w:val="0"/>
    <w:pPr>
      <w:spacing w:before="100" w:beforeLines="100" w:line="360" w:lineRule="auto"/>
      <w:ind w:firstLine="420" w:firstLineChars="200"/>
      <w:jc w:val="left"/>
    </w:pPr>
    <w:rPr>
      <w:rFonts w:ascii="Times New Roman" w:hAnsi="Times New Roman" w:eastAsia="宋体"/>
      <w:b/>
      <w:color w:val="000000"/>
      <w:sz w:val="24"/>
    </w:rPr>
  </w:style>
  <w:style w:type="paragraph" w:customStyle="1" w:styleId="121">
    <w:name w:val="XQ报告表正文"/>
    <w:basedOn w:val="1"/>
    <w:qFormat/>
    <w:uiPriority w:val="0"/>
    <w:pPr>
      <w:adjustRightInd w:val="0"/>
      <w:snapToGrid w:val="0"/>
      <w:spacing w:line="360" w:lineRule="auto"/>
      <w:ind w:firstLine="200" w:firstLineChars="200"/>
    </w:pPr>
    <w:rPr>
      <w:rFonts w:hAnsi="宋体" w:cs="宋体"/>
      <w:bCs/>
      <w:kern w:val="0"/>
      <w:sz w:val="24"/>
      <w:lang w:val="zh-CN"/>
    </w:rPr>
  </w:style>
  <w:style w:type="paragraph" w:customStyle="1" w:styleId="122">
    <w:name w:val="0正文"/>
    <w:basedOn w:val="1"/>
    <w:qFormat/>
    <w:uiPriority w:val="0"/>
    <w:pPr>
      <w:spacing w:line="300" w:lineRule="auto"/>
      <w:ind w:firstLine="720" w:firstLineChars="200"/>
    </w:pPr>
    <w:rPr>
      <w:rFonts w:ascii="Times New Roman" w:hAnsi="Times New Roman"/>
    </w:rPr>
  </w:style>
  <w:style w:type="paragraph" w:customStyle="1" w:styleId="123">
    <w:name w:val="中文报告书样式"/>
    <w:basedOn w:val="1"/>
    <w:qFormat/>
    <w:locked/>
    <w:uiPriority w:val="0"/>
    <w:pPr>
      <w:adjustRightInd w:val="0"/>
      <w:spacing w:line="480" w:lineRule="atLeast"/>
      <w:ind w:firstLine="482"/>
      <w:textAlignment w:val="baseline"/>
    </w:pPr>
    <w:rPr>
      <w:kern w:val="24"/>
      <w:sz w:val="24"/>
      <w:szCs w:val="20"/>
    </w:rPr>
  </w:style>
  <w:style w:type="paragraph" w:customStyle="1" w:styleId="124">
    <w:name w:val="环评正文"/>
    <w:basedOn w:val="1"/>
    <w:qFormat/>
    <w:locked/>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87</Pages>
  <Words>47570</Words>
  <Characters>53504</Characters>
  <Lines>420</Lines>
  <Paragraphs>118</Paragraphs>
  <TotalTime>276</TotalTime>
  <ScaleCrop>false</ScaleCrop>
  <LinksUpToDate>false</LinksUpToDate>
  <CharactersWithSpaces>53754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2024-07-02T03:50:00Z</dcterms:created>
  <dc:creator>lhj</dc:creator>
  <cp:lastModifiedBy>L</cp:lastModifiedBy>
  <cp:lastPrinted>2022-02-10T02:32:00Z</cp:lastPrinted>
  <dcterms:modified xsi:type="dcterms:W3CDTF">2025-02-28T07:43:52Z</dcterms:modified>
  <dc:title>附件2</dc:title>
  <cp:revision>385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D84A5CC761C141DEB55422CB81B56B3F_13</vt:lpwstr>
  </property>
  <property fmtid="{D5CDD505-2E9C-101B-9397-08002B2CF9AE}" pid="4" name="KSOTemplateDocerSaveRecord">
    <vt:lpwstr>eyJoZGlkIjoiNTIwNTMyNWI4ZDc1YjQ5OTdmNTBjMWM4MmNhMDUxMDIiLCJ1c2VySWQiOiIyODMyMDU4MTYifQ==</vt:lpwstr>
  </property>
</Properties>
</file>