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0" w:after="0" w:line="56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b w:val="0"/>
          <w:i w:val="0"/>
          <w:strike w:val="0"/>
          <w:color w:val="00000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0" w:after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strike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strike w:val="0"/>
          <w:color w:val="000000"/>
          <w:sz w:val="44"/>
          <w:szCs w:val="44"/>
        </w:rPr>
        <w:t>工业固定资产投资项目节能评估报告书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评估依据</w:t>
      </w:r>
      <w:bookmarkStart w:id="0" w:name="_GoBack"/>
      <w:bookmarkEnd w:id="0"/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相关法律、法规、规划、行业准入条件和产业政策。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0" w:after="0" w:line="560" w:lineRule="exact"/>
        <w:ind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工业类相关标准及规范：设计及管理方面的标准和规范，产品能耗限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val="en-US" w:eastAsia="zh-CN"/>
        </w:rPr>
        <w:t>定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额标准，设备能效标准。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0" w:after="0" w:line="560" w:lineRule="exact"/>
        <w:ind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相关工程资料和技术合同等。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0" w:after="0" w:line="560" w:lineRule="exact"/>
        <w:ind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同行业国内国际先进水平。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二、项目概况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0" w:after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项目建设单位基本情况。项目建设单位名称、性质、地址、邮编、法人代表、项目联系人及联系方式，企业运营总体情况。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0" w:after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项目基本情况。项目名称，建设地点，项目类型，建设规模及内容，项目总投资，主要经济技术指标，项目进度计划等；改、扩建项目原有生产工艺、主要生产工艺、主要设备情况。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0" w:after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项目建设方案。项目工艺、技术的选择；厂区布局和车间工艺平面布置基本情况。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0" w:after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项目用能特点。主要供、用能系统与设备的初步选择，能源消耗种类、数量及能源使用分布情况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包括原有及新增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三、能源供应评估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0" w:after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项目所在地能源供应条件及消费情况。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0" w:after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项目能源消费对当地能源消费的影响。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四、项目建设方案节能评估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0" w:after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项目布局及对能源消费的影响。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0" w:after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项目工艺流程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val="en-US" w:eastAsia="zh-CN"/>
        </w:rPr>
        <w:t>图）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、技术方案及对能源消费的影响。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0" w:after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主要用能工艺和工序，及其能耗指标和能效水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0" w:after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主要耗能设备及其运行效率、能耗指标和能效水平。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0" w:after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辅助和附属设备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建筑物、动力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及能耗指标和能效水平。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0" w:after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原有生产工艺、主要产品产量、设备耗能状况，用能存在的主要问题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改、扩建项目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五、项目能源消耗及能效水平分析评估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after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项目能源消费种类、来源及年消耗总量；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after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能源加工、转换、贮存、利用情况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可以用能源网络或能源平衡表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after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能效指标及水平。包括分品种实物能耗总量、综合能耗总量，单位产品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产值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综合能耗、可比能耗，按单一能源品种考核的实物单耗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如每吨电解铝耗电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、主要工序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艺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单耗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如钢铁企业的焦化、炼铁工序能耗等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、单位投资能耗等。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六、节能措施评估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after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一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节能措施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after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i w:val="0"/>
          <w:strike w:val="0"/>
          <w:color w:val="00000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、节能技术措施。节能新技术、新工艺、新设备应用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包括建筑物布局，节能产品、材料、设备等的选用和选型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；余热、余压、可燃气体回收利用；资源综合利用情况；相关专业的节能措施，包括工艺、电气、动力、贮运等专业的节能措施。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after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i w:val="0"/>
          <w:strike w:val="0"/>
          <w:color w:val="00000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、节能管理措施。节能管理制度和措施，能源管理机构及人员配备，能源统计、计量及监测仪器仪表配置等。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0" w:after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二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单项节能工程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0" w:after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未纳入建设项目主导工艺流程和拟分期建设的节能工程，详细论述工艺流程、设备选型、单项节能效益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量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计算、投资估算及投资回收期等。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after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节能措施效果评估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after="0"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单位产品能耗、主要工序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艺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能耗、单位产值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增加值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能耗指标、单位投资能耗等指标国内外对比分析，设计指标是否达到同行业国内或国际先进水平。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0" w:after="0" w:line="560" w:lineRule="exact"/>
        <w:ind w:left="0" w:leftChars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节能措施经济性分析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0" w:after="0" w:line="560" w:lineRule="exact"/>
        <w:ind w:leftChars="200" w:right="0" w:rightChars="0" w:firstLine="320" w:firstLineChars="1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节能技术和管理措施的成本及经济效益测算和分析。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七、存在问题及建议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八、结论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九、附图、附表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0" w:after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厂区总平面图、车间工艺平面布置图；主要耗能设备一览表；主要能源和载能工质品种及年需要表；能源平衡表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val="en-US" w:eastAsia="zh-CN"/>
        </w:rPr>
        <w:t>图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000000"/>
          <w:sz w:val="32"/>
          <w:szCs w:val="32"/>
        </w:rPr>
        <w:t>等。</w:t>
      </w:r>
    </w:p>
    <w:sectPr>
      <w:pgSz w:w="11900" w:h="16840"/>
      <w:pgMar w:top="1440" w:right="1803" w:bottom="1440" w:left="1803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D744A5"/>
    <w:multiLevelType w:val="singleLevel"/>
    <w:tmpl w:val="84D744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107318B"/>
    <w:multiLevelType w:val="singleLevel"/>
    <w:tmpl w:val="6107318B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noPunctuationKerning w:val="1"/>
  <w:compat>
    <w:ulTrailSpace/>
    <w:useFELayout/>
    <w:compatSetting w:name="compatibilityMode" w:uri="http://schemas.microsoft.com/office/word" w:val="15"/>
  </w:compat>
  <w:rsids>
    <w:rsidRoot w:val="00000000"/>
    <w:rsid w:val="4BC171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Office_11.8.2.11500_F1E327BC-269C-435d-A152-05C5408002CA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2024-10-24T09:09:00Z</dcterms:created>
  <dc:creator>Apache POI</dc:creator>
  <cp:lastModifiedBy>Administrator</cp:lastModifiedBy>
  <dcterms:modified xsi:type="dcterms:W3CDTF">2024-10-24T09:38:33Z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CD46D0F079FD4987AECB43CBEFD6BB3D</vt:lpwstr>
  </property>
</Properties>
</file>