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01"/>
        </w:tabs>
        <w:kinsoku/>
        <w:wordWrap/>
        <w:overflowPunct/>
        <w:topLinePunct w:val="0"/>
        <w:autoSpaceDE/>
        <w:autoSpaceDN/>
        <w:bidi w:val="0"/>
        <w:adjustRightInd/>
        <w:snapToGrid/>
        <w:spacing w:after="156" w:afterLines="50" w:line="560" w:lineRule="exact"/>
        <w:jc w:val="left"/>
        <w:textAlignment w:val="auto"/>
        <w:rPr>
          <w:rFonts w:hint="default" w:ascii="Times New Roman" w:hAnsi="Times New Roman" w:eastAsia="黑体" w:cs="Times New Roman"/>
          <w:b w:val="0"/>
          <w:bCs w:val="0"/>
          <w:sz w:val="32"/>
          <w:szCs w:val="32"/>
          <w:u w:val="none"/>
          <w:lang w:val="en-US" w:eastAsia="zh-CN" w:bidi="ar"/>
        </w:rPr>
      </w:pPr>
      <w:r>
        <w:rPr>
          <w:rFonts w:hint="default" w:ascii="Times New Roman" w:hAnsi="Times New Roman" w:eastAsia="黑体" w:cs="Times New Roman"/>
          <w:b w:val="0"/>
          <w:bCs w:val="0"/>
          <w:sz w:val="32"/>
          <w:szCs w:val="32"/>
          <w:u w:val="none"/>
          <w:lang w:bidi="ar"/>
        </w:rPr>
        <w:t>附件</w:t>
      </w:r>
      <w:r>
        <w:rPr>
          <w:rFonts w:hint="default" w:ascii="Times New Roman" w:hAnsi="Times New Roman" w:eastAsia="黑体" w:cs="Times New Roman"/>
          <w:b w:val="0"/>
          <w:bCs w:val="0"/>
          <w:sz w:val="32"/>
          <w:szCs w:val="32"/>
          <w:u w:val="none"/>
          <w:lang w:val="en-US" w:eastAsia="zh-CN" w:bidi="ar"/>
        </w:rPr>
        <w:t>1</w:t>
      </w:r>
    </w:p>
    <w:p>
      <w:pPr>
        <w:keepNext w:val="0"/>
        <w:keepLines w:val="0"/>
        <w:pageBreakBefore w:val="0"/>
        <w:widowControl w:val="0"/>
        <w:tabs>
          <w:tab w:val="left" w:pos="1401"/>
        </w:tabs>
        <w:kinsoku/>
        <w:wordWrap/>
        <w:overflowPunct/>
        <w:topLinePunct w:val="0"/>
        <w:autoSpaceDE/>
        <w:autoSpaceDN/>
        <w:bidi w:val="0"/>
        <w:adjustRightInd/>
        <w:snapToGrid/>
        <w:spacing w:after="156" w:afterLines="50" w:line="560" w:lineRule="exact"/>
        <w:jc w:val="center"/>
        <w:textAlignment w:val="auto"/>
        <w:rPr>
          <w:rFonts w:hint="eastAsia" w:ascii="Times New Roman" w:hAnsi="Times New Roman" w:eastAsia="方正小标宋_GBK" w:cs="Times New Roman"/>
          <w:b w:val="0"/>
          <w:bCs w:val="0"/>
          <w:kern w:val="2"/>
          <w:sz w:val="44"/>
          <w:szCs w:val="44"/>
          <w:u w:val="none"/>
          <w:lang w:val="en-US" w:eastAsia="zh-CN" w:bidi="ar-SA"/>
        </w:rPr>
      </w:pPr>
      <w:r>
        <w:rPr>
          <w:rFonts w:hint="eastAsia" w:ascii="Times New Roman" w:hAnsi="Times New Roman" w:eastAsia="方正小标宋_GBK" w:cs="Times New Roman"/>
          <w:b w:val="0"/>
          <w:bCs w:val="0"/>
          <w:kern w:val="2"/>
          <w:sz w:val="44"/>
          <w:szCs w:val="44"/>
          <w:u w:val="none"/>
          <w:lang w:val="en-US" w:eastAsia="zh-CN" w:bidi="ar-SA"/>
        </w:rPr>
        <w:t>义务教育阳光招生专项行动对照检查表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仿宋_GBK" w:hAnsi="方正仿宋_GBK" w:eastAsia="方正仿宋_GBK" w:cs="方正仿宋_GBK"/>
          <w:b w:val="0"/>
          <w:bCs w:val="0"/>
          <w:sz w:val="32"/>
          <w:szCs w:val="32"/>
          <w:u w:val="none"/>
          <w:vertAlign w:val="baseline"/>
          <w:lang w:val="en-US" w:eastAsia="zh-CN"/>
        </w:rPr>
      </w:pPr>
      <w:r>
        <w:rPr>
          <w:rFonts w:hint="eastAsia" w:ascii="方正仿宋_GBK" w:hAnsi="方正仿宋_GBK" w:eastAsia="方正仿宋_GBK" w:cs="方正仿宋_GBK"/>
          <w:b w:val="0"/>
          <w:bCs w:val="0"/>
          <w:sz w:val="32"/>
          <w:szCs w:val="32"/>
          <w:u w:val="none"/>
          <w:lang w:val="en-US" w:eastAsia="zh-CN"/>
        </w:rPr>
        <w:t>县市教科（育）局（签章）：          填报人：              联系电话：</w:t>
      </w:r>
    </w:p>
    <w:tbl>
      <w:tblPr>
        <w:tblStyle w:val="6"/>
        <w:tblW w:w="14145" w:type="dxa"/>
        <w:jc w:val="center"/>
        <w:tblLayout w:type="fixed"/>
        <w:tblCellMar>
          <w:top w:w="0" w:type="dxa"/>
          <w:left w:w="0" w:type="dxa"/>
          <w:bottom w:w="0" w:type="dxa"/>
          <w:right w:w="0" w:type="dxa"/>
        </w:tblCellMar>
      </w:tblPr>
      <w:tblGrid>
        <w:gridCol w:w="708"/>
        <w:gridCol w:w="1168"/>
        <w:gridCol w:w="6739"/>
        <w:gridCol w:w="4554"/>
        <w:gridCol w:w="976"/>
      </w:tblGrid>
      <w:tr>
        <w:tblPrEx>
          <w:tblCellMar>
            <w:top w:w="0" w:type="dxa"/>
            <w:left w:w="0" w:type="dxa"/>
            <w:bottom w:w="0" w:type="dxa"/>
            <w:right w:w="0" w:type="dxa"/>
          </w:tblCellMar>
        </w:tblPrEx>
        <w:trPr>
          <w:trHeight w:val="357" w:hRule="exact"/>
          <w:tblHeader/>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12" w:lineRule="auto"/>
              <w:jc w:val="center"/>
              <w:textAlignment w:val="center"/>
              <w:rPr>
                <w:rFonts w:hint="eastAsia" w:ascii="Times New Roman" w:hAnsi="Times New Roman" w:eastAsia="仿宋_GB2312"/>
                <w:b/>
                <w:bCs/>
                <w:sz w:val="24"/>
                <w:u w:val="none"/>
                <w:lang w:eastAsia="zh-CN"/>
              </w:rPr>
            </w:pPr>
            <w:r>
              <w:rPr>
                <w:rFonts w:hint="eastAsia" w:ascii="Times New Roman" w:hAnsi="Times New Roman" w:eastAsia="仿宋_GB2312"/>
                <w:b/>
                <w:bCs/>
                <w:kern w:val="0"/>
                <w:sz w:val="24"/>
                <w:u w:val="none"/>
                <w:lang w:eastAsia="zh-CN" w:bidi="ar"/>
              </w:rPr>
              <w:t>序号</w:t>
            </w:r>
          </w:p>
        </w:tc>
        <w:tc>
          <w:tcPr>
            <w:tcW w:w="1168"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4"/>
                <w:u w:val="none"/>
                <w:lang w:eastAsia="zh-CN" w:bidi="ar"/>
              </w:rPr>
            </w:pPr>
            <w:r>
              <w:rPr>
                <w:rFonts w:hint="eastAsia" w:ascii="Times New Roman" w:hAnsi="Times New Roman" w:eastAsia="仿宋_GB2312"/>
                <w:b/>
                <w:bCs/>
                <w:kern w:val="0"/>
                <w:sz w:val="24"/>
                <w:u w:val="none"/>
                <w:lang w:eastAsia="zh-CN" w:bidi="ar"/>
              </w:rPr>
              <w:t>重点任务</w:t>
            </w:r>
          </w:p>
        </w:tc>
        <w:tc>
          <w:tcPr>
            <w:tcW w:w="6739"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4"/>
                <w:u w:val="none"/>
                <w:lang w:eastAsia="zh-CN" w:bidi="ar"/>
              </w:rPr>
            </w:pPr>
            <w:r>
              <w:rPr>
                <w:rFonts w:hint="eastAsia" w:ascii="Times New Roman" w:hAnsi="Times New Roman" w:eastAsia="仿宋_GB2312"/>
                <w:b/>
                <w:bCs/>
                <w:kern w:val="0"/>
                <w:sz w:val="24"/>
                <w:u w:val="none"/>
                <w:lang w:eastAsia="zh-CN" w:bidi="ar"/>
              </w:rPr>
              <w:t>重点任务排查项目</w:t>
            </w:r>
          </w:p>
        </w:tc>
        <w:tc>
          <w:tcPr>
            <w:tcW w:w="4554"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2"/>
                <w:szCs w:val="22"/>
                <w:u w:val="none"/>
                <w:lang w:eastAsia="zh-CN" w:bidi="ar"/>
              </w:rPr>
            </w:pPr>
            <w:r>
              <w:rPr>
                <w:rFonts w:hint="eastAsia" w:ascii="Times New Roman" w:hAnsi="Times New Roman" w:eastAsia="仿宋_GB2312"/>
                <w:b/>
                <w:bCs/>
                <w:kern w:val="0"/>
                <w:sz w:val="22"/>
                <w:szCs w:val="22"/>
                <w:u w:val="none"/>
                <w:lang w:eastAsia="zh-CN" w:bidi="ar"/>
              </w:rPr>
              <w:t>落实举措（简要填写印发文件或政策执行情况）</w:t>
            </w:r>
          </w:p>
        </w:tc>
        <w:tc>
          <w:tcPr>
            <w:tcW w:w="976"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2"/>
                <w:szCs w:val="22"/>
                <w:u w:val="none"/>
                <w:lang w:eastAsia="zh-CN" w:bidi="ar"/>
              </w:rPr>
            </w:pPr>
            <w:r>
              <w:rPr>
                <w:rFonts w:hint="eastAsia" w:ascii="Times New Roman" w:hAnsi="Times New Roman" w:eastAsia="仿宋_GB2312"/>
                <w:b/>
                <w:bCs/>
                <w:kern w:val="0"/>
                <w:sz w:val="22"/>
                <w:szCs w:val="22"/>
                <w:u w:val="none"/>
                <w:lang w:eastAsia="zh-CN" w:bidi="ar"/>
              </w:rPr>
              <w:t>检查结论</w:t>
            </w:r>
          </w:p>
        </w:tc>
      </w:tr>
      <w:tr>
        <w:tblPrEx>
          <w:tblCellMar>
            <w:top w:w="0" w:type="dxa"/>
            <w:left w:w="0" w:type="dxa"/>
            <w:bottom w:w="0" w:type="dxa"/>
            <w:right w:w="0" w:type="dxa"/>
          </w:tblCellMar>
        </w:tblPrEx>
        <w:trPr>
          <w:trHeight w:val="417" w:hRule="atLeas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优化招生入学政策措施</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sz w:val="24"/>
                <w:u w:val="none"/>
                <w:lang w:val="en-US" w:eastAsia="zh-Hans"/>
              </w:rPr>
              <w:t>学校</w:t>
            </w:r>
            <w:r>
              <w:rPr>
                <w:rFonts w:hint="eastAsia" w:ascii="Times New Roman" w:hAnsi="Times New Roman" w:eastAsia="仿宋_GB2312"/>
                <w:b w:val="0"/>
                <w:bCs w:val="0"/>
                <w:sz w:val="24"/>
                <w:u w:val="none"/>
                <w:lang w:val="en-US" w:eastAsia="zh-CN"/>
              </w:rPr>
              <w:t>划片招生范围是否</w:t>
            </w:r>
            <w:r>
              <w:rPr>
                <w:rFonts w:hint="eastAsia" w:ascii="Times New Roman" w:hAnsi="Times New Roman" w:eastAsia="仿宋_GB2312"/>
                <w:b w:val="0"/>
                <w:bCs w:val="0"/>
                <w:sz w:val="24"/>
                <w:u w:val="none"/>
                <w:lang w:val="en-US" w:eastAsia="zh-Hans"/>
              </w:rPr>
              <w:t>科学合理</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sz w:val="24"/>
                <w:u w:val="none"/>
              </w:rPr>
            </w:pPr>
          </w:p>
        </w:tc>
      </w:tr>
      <w:tr>
        <w:tblPrEx>
          <w:tblCellMar>
            <w:top w:w="0" w:type="dxa"/>
            <w:left w:w="0" w:type="dxa"/>
            <w:bottom w:w="0" w:type="dxa"/>
            <w:right w:w="0" w:type="dxa"/>
          </w:tblCellMar>
        </w:tblPrEx>
        <w:trPr>
          <w:trHeight w:val="409" w:hRule="atLeas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w:t>
            </w:r>
          </w:p>
        </w:tc>
        <w:tc>
          <w:tcPr>
            <w:tcW w:w="1168" w:type="dxa"/>
            <w:vMerge w:val="continue"/>
            <w:tcBorders>
              <w:left w:val="single" w:color="auto" w:sz="4" w:space="0"/>
              <w:right w:val="single" w:color="auto" w:sz="4" w:space="0"/>
            </w:tcBorders>
            <w:noWrap w:val="0"/>
            <w:vAlign w:val="center"/>
          </w:tcPr>
          <w:p>
            <w:pPr>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val="en-US" w:eastAsia="zh-Hans" w:bidi="ar"/>
              </w:rPr>
              <w:t>新建学校招生范围和新建小区对口学校划分工作机制</w:t>
            </w:r>
            <w:r>
              <w:rPr>
                <w:rFonts w:hint="eastAsia" w:ascii="Times New Roman" w:hAnsi="Times New Roman" w:eastAsia="仿宋_GB2312"/>
                <w:b w:val="0"/>
                <w:bCs w:val="0"/>
                <w:kern w:val="0"/>
                <w:sz w:val="24"/>
                <w:u w:val="none"/>
                <w:lang w:val="en-US" w:eastAsia="zh-CN" w:bidi="ar"/>
              </w:rPr>
              <w:t>是否完善</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08" w:hRule="exact"/>
          <w:jc w:val="center"/>
        </w:trPr>
        <w:tc>
          <w:tcPr>
            <w:tcW w:w="7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3</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Hans" w:bidi="ar"/>
              </w:rPr>
            </w:pPr>
            <w:r>
              <w:rPr>
                <w:rFonts w:hint="eastAsia" w:ascii="Times New Roman" w:hAnsi="Times New Roman" w:eastAsia="仿宋_GB2312"/>
                <w:b w:val="0"/>
                <w:bCs w:val="0"/>
                <w:kern w:val="0"/>
                <w:sz w:val="24"/>
                <w:u w:val="none"/>
                <w:lang w:val="en-US" w:eastAsia="zh-CN" w:bidi="ar"/>
              </w:rPr>
              <w:t>地（州、市）教育行政部门举办的</w:t>
            </w:r>
            <w:r>
              <w:rPr>
                <w:rFonts w:hint="eastAsia" w:ascii="Times New Roman" w:hAnsi="Times New Roman" w:eastAsia="仿宋_GB2312"/>
                <w:b w:val="0"/>
                <w:bCs w:val="0"/>
                <w:kern w:val="0"/>
                <w:sz w:val="24"/>
                <w:u w:val="none"/>
                <w:lang w:val="en-US" w:eastAsia="zh-Hans" w:bidi="ar"/>
              </w:rPr>
              <w:t>义务教育学校</w:t>
            </w:r>
            <w:r>
              <w:rPr>
                <w:rFonts w:hint="eastAsia" w:ascii="Times New Roman" w:hAnsi="Times New Roman" w:eastAsia="仿宋_GB2312"/>
                <w:b w:val="0"/>
                <w:bCs w:val="0"/>
                <w:kern w:val="0"/>
                <w:sz w:val="24"/>
                <w:u w:val="none"/>
                <w:lang w:val="en-US" w:eastAsia="zh-CN" w:bidi="ar"/>
              </w:rPr>
              <w:t>是否</w:t>
            </w:r>
            <w:r>
              <w:rPr>
                <w:rFonts w:hint="eastAsia" w:ascii="Times New Roman" w:hAnsi="Times New Roman" w:eastAsia="仿宋_GB2312"/>
                <w:b w:val="0"/>
                <w:bCs w:val="0"/>
                <w:kern w:val="0"/>
                <w:sz w:val="24"/>
                <w:u w:val="none"/>
                <w:lang w:val="en-US" w:eastAsia="zh-Hans" w:bidi="ar"/>
              </w:rPr>
              <w:t>全面纳入属地招生管理</w:t>
            </w:r>
            <w:r>
              <w:rPr>
                <w:rFonts w:hint="default" w:ascii="Times New Roman" w:hAnsi="Times New Roman" w:eastAsia="仿宋_GB2312"/>
                <w:b w:val="0"/>
                <w:bCs w:val="0"/>
                <w:kern w:val="0"/>
                <w:sz w:val="24"/>
                <w:u w:val="none"/>
                <w:lang w:eastAsia="zh-Hans" w:bidi="ar"/>
              </w:rPr>
              <w:t>、</w:t>
            </w:r>
            <w:r>
              <w:rPr>
                <w:rFonts w:hint="eastAsia" w:ascii="Times New Roman" w:hAnsi="Times New Roman" w:eastAsia="仿宋_GB2312"/>
                <w:b w:val="0"/>
                <w:bCs w:val="0"/>
                <w:kern w:val="0"/>
                <w:sz w:val="24"/>
                <w:u w:val="none"/>
                <w:lang w:val="en-US" w:eastAsia="zh-Hans" w:bidi="ar"/>
              </w:rPr>
              <w:t>实行统一招生政策</w:t>
            </w:r>
          </w:p>
        </w:tc>
        <w:tc>
          <w:tcPr>
            <w:tcW w:w="4554" w:type="dxa"/>
            <w:tcBorders>
              <w:top w:val="single" w:color="auto" w:sz="4" w:space="0"/>
              <w:left w:val="single" w:color="auto"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1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color w:val="auto"/>
                <w:sz w:val="24"/>
                <w:u w:val="none"/>
                <w:lang w:val="en-US" w:eastAsia="zh-Hans"/>
              </w:rPr>
              <w:t>拔尖创新人才早期培养</w:t>
            </w:r>
            <w:r>
              <w:rPr>
                <w:rFonts w:hint="eastAsia" w:ascii="Times New Roman" w:hAnsi="Times New Roman" w:eastAsia="仿宋_GB2312"/>
                <w:b w:val="0"/>
                <w:bCs w:val="0"/>
                <w:color w:val="auto"/>
                <w:sz w:val="24"/>
                <w:u w:val="none"/>
                <w:lang w:val="en-US" w:eastAsia="zh-CN"/>
              </w:rPr>
              <w:t>招生政策是否</w:t>
            </w:r>
            <w:r>
              <w:rPr>
                <w:rFonts w:hint="eastAsia" w:ascii="Times New Roman" w:hAnsi="Times New Roman" w:eastAsia="仿宋_GB2312"/>
                <w:b w:val="0"/>
                <w:bCs w:val="0"/>
                <w:color w:val="auto"/>
                <w:sz w:val="24"/>
                <w:u w:val="none"/>
                <w:lang w:val="en-US" w:eastAsia="zh-Hans"/>
              </w:rPr>
              <w:t>经</w:t>
            </w:r>
            <w:r>
              <w:rPr>
                <w:rFonts w:hint="eastAsia" w:ascii="Times New Roman" w:hAnsi="Times New Roman" w:eastAsia="仿宋_GB2312"/>
                <w:b w:val="0"/>
                <w:bCs w:val="0"/>
                <w:color w:val="auto"/>
                <w:sz w:val="24"/>
                <w:u w:val="none"/>
                <w:lang w:val="en-US" w:eastAsia="zh-CN"/>
              </w:rPr>
              <w:t>由</w:t>
            </w:r>
            <w:r>
              <w:rPr>
                <w:rFonts w:hint="eastAsia" w:ascii="Times New Roman" w:hAnsi="Times New Roman" w:eastAsia="仿宋_GB2312"/>
                <w:b w:val="0"/>
                <w:bCs w:val="0"/>
                <w:color w:val="auto"/>
                <w:sz w:val="24"/>
                <w:u w:val="none"/>
                <w:lang w:val="en-US" w:eastAsia="zh-Hans"/>
              </w:rPr>
              <w:t>省级教育行政部门制定出台或审批</w:t>
            </w:r>
            <w:r>
              <w:rPr>
                <w:rFonts w:hint="default" w:ascii="Times New Roman" w:hAnsi="Times New Roman" w:eastAsia="仿宋_GB2312"/>
                <w:b w:val="0"/>
                <w:bCs w:val="0"/>
                <w:color w:val="auto"/>
                <w:sz w:val="24"/>
                <w:u w:val="none"/>
                <w:lang w:eastAsia="zh-Hans"/>
              </w:rPr>
              <w:t>、</w:t>
            </w:r>
            <w:r>
              <w:rPr>
                <w:rFonts w:hint="eastAsia" w:ascii="Times New Roman" w:hAnsi="Times New Roman" w:eastAsia="仿宋_GB2312"/>
                <w:b w:val="0"/>
                <w:bCs w:val="0"/>
                <w:color w:val="auto"/>
                <w:sz w:val="24"/>
                <w:u w:val="none"/>
                <w:lang w:val="en-US" w:eastAsia="zh-Hans"/>
              </w:rPr>
              <w:t>备案</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1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5</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Hans" w:bidi="ar"/>
              </w:rPr>
            </w:pPr>
            <w:r>
              <w:rPr>
                <w:rFonts w:hint="eastAsia" w:ascii="Times New Roman" w:hAnsi="Times New Roman" w:eastAsia="仿宋_GB2312"/>
                <w:b w:val="0"/>
                <w:bCs w:val="0"/>
                <w:sz w:val="24"/>
                <w:u w:val="none"/>
                <w:lang w:val="en-US" w:eastAsia="zh-Hans"/>
              </w:rPr>
              <w:t>外语</w:t>
            </w:r>
            <w:r>
              <w:rPr>
                <w:rFonts w:hint="eastAsia" w:ascii="Times New Roman" w:hAnsi="Times New Roman" w:eastAsia="仿宋_GB2312"/>
                <w:b w:val="0"/>
                <w:bCs w:val="0"/>
                <w:sz w:val="24"/>
                <w:u w:val="none"/>
                <w:lang w:val="en-US" w:eastAsia="zh-CN"/>
              </w:rPr>
              <w:t>、</w:t>
            </w:r>
            <w:r>
              <w:rPr>
                <w:rFonts w:hint="eastAsia" w:ascii="Times New Roman" w:hAnsi="Times New Roman" w:eastAsia="仿宋_GB2312"/>
                <w:b w:val="0"/>
                <w:bCs w:val="0"/>
                <w:sz w:val="24"/>
                <w:u w:val="none"/>
                <w:lang w:val="en-US" w:eastAsia="zh-Hans"/>
              </w:rPr>
              <w:t>艺术</w:t>
            </w:r>
            <w:r>
              <w:rPr>
                <w:rFonts w:hint="eastAsia" w:ascii="Times New Roman" w:hAnsi="Times New Roman" w:eastAsia="仿宋_GB2312"/>
                <w:b w:val="0"/>
                <w:bCs w:val="0"/>
                <w:sz w:val="24"/>
                <w:u w:val="none"/>
                <w:lang w:val="en-US" w:eastAsia="zh-CN"/>
              </w:rPr>
              <w:t>、</w:t>
            </w:r>
            <w:r>
              <w:rPr>
                <w:rFonts w:hint="eastAsia" w:ascii="Times New Roman" w:hAnsi="Times New Roman" w:eastAsia="仿宋_GB2312"/>
                <w:b w:val="0"/>
                <w:bCs w:val="0"/>
                <w:sz w:val="24"/>
                <w:u w:val="none"/>
                <w:lang w:val="en-US" w:eastAsia="zh-Hans"/>
              </w:rPr>
              <w:t>体育类办学特色学校</w:t>
            </w:r>
            <w:r>
              <w:rPr>
                <w:rFonts w:hint="eastAsia" w:ascii="Times New Roman" w:hAnsi="Times New Roman" w:eastAsia="仿宋_GB2312"/>
                <w:b w:val="0"/>
                <w:bCs w:val="0"/>
                <w:sz w:val="24"/>
                <w:u w:val="none"/>
                <w:lang w:val="en-US" w:eastAsia="zh-CN"/>
              </w:rPr>
              <w:t>的</w:t>
            </w:r>
            <w:r>
              <w:rPr>
                <w:rFonts w:hint="eastAsia" w:ascii="Times New Roman" w:hAnsi="Times New Roman" w:eastAsia="仿宋_GB2312"/>
                <w:b w:val="0"/>
                <w:bCs w:val="0"/>
                <w:sz w:val="24"/>
                <w:u w:val="none"/>
                <w:lang w:val="en-US" w:eastAsia="zh-Hans"/>
              </w:rPr>
              <w:t>特殊类型招生政策是否经</w:t>
            </w:r>
            <w:r>
              <w:rPr>
                <w:rFonts w:hint="eastAsia" w:ascii="Times New Roman" w:hAnsi="Times New Roman" w:eastAsia="仿宋_GB2312"/>
                <w:b w:val="0"/>
                <w:bCs w:val="0"/>
                <w:sz w:val="24"/>
                <w:u w:val="none"/>
                <w:lang w:val="en-US" w:eastAsia="zh-CN"/>
              </w:rPr>
              <w:t>由</w:t>
            </w:r>
            <w:r>
              <w:rPr>
                <w:rFonts w:hint="eastAsia" w:ascii="Times New Roman" w:hAnsi="Times New Roman" w:eastAsia="仿宋_GB2312"/>
                <w:b w:val="0"/>
                <w:bCs w:val="0"/>
                <w:sz w:val="24"/>
                <w:u w:val="none"/>
                <w:lang w:val="en-US" w:eastAsia="zh-Hans"/>
              </w:rPr>
              <w:t>省级教育行政部门制定出台或审批</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备案</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5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6</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Hans" w:bidi="ar-SA"/>
              </w:rPr>
            </w:pPr>
            <w:r>
              <w:rPr>
                <w:rFonts w:hint="eastAsia" w:ascii="Times New Roman" w:hAnsi="Times New Roman" w:eastAsia="仿宋_GB2312"/>
                <w:b w:val="0"/>
                <w:bCs w:val="0"/>
                <w:sz w:val="24"/>
                <w:u w:val="none"/>
                <w:lang w:val="en-US" w:eastAsia="zh-Hans"/>
              </w:rPr>
              <w:t>高层次人才等特殊群体子女教育优</w:t>
            </w:r>
            <w:r>
              <w:rPr>
                <w:rFonts w:hint="eastAsia" w:ascii="Times New Roman" w:hAnsi="Times New Roman" w:eastAsia="仿宋_GB2312"/>
                <w:b w:val="0"/>
                <w:bCs w:val="0"/>
                <w:sz w:val="24"/>
                <w:u w:val="none"/>
                <w:lang w:val="en-US" w:eastAsia="zh-CN"/>
              </w:rPr>
              <w:t>待</w:t>
            </w:r>
            <w:r>
              <w:rPr>
                <w:rFonts w:hint="eastAsia" w:ascii="Times New Roman" w:hAnsi="Times New Roman" w:eastAsia="仿宋_GB2312"/>
                <w:b w:val="0"/>
                <w:bCs w:val="0"/>
                <w:sz w:val="24"/>
                <w:u w:val="none"/>
                <w:lang w:val="en-US" w:eastAsia="zh-Hans"/>
              </w:rPr>
              <w:t>政策</w:t>
            </w:r>
            <w:r>
              <w:rPr>
                <w:rFonts w:hint="eastAsia" w:ascii="Times New Roman" w:hAnsi="Times New Roman" w:eastAsia="仿宋_GB2312"/>
                <w:b w:val="0"/>
                <w:bCs w:val="0"/>
                <w:sz w:val="24"/>
                <w:u w:val="none"/>
                <w:lang w:val="en-US" w:eastAsia="zh-CN"/>
              </w:rPr>
              <w:t>是否有</w:t>
            </w:r>
            <w:r>
              <w:rPr>
                <w:rFonts w:hint="eastAsia" w:ascii="Times New Roman" w:hAnsi="Times New Roman" w:eastAsia="仿宋_GB2312"/>
                <w:b w:val="0"/>
                <w:bCs w:val="0"/>
                <w:sz w:val="24"/>
                <w:u w:val="none"/>
                <w:lang w:val="en-US" w:eastAsia="zh-Hans"/>
              </w:rPr>
              <w:t>明确的实施依据</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范围</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要求和程序</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31"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7</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严格规范招生行为</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eastAsia="zh-CN" w:bidi="ar"/>
              </w:rPr>
              <w:t>是否</w:t>
            </w:r>
            <w:r>
              <w:rPr>
                <w:rFonts w:hint="eastAsia" w:ascii="Times New Roman" w:hAnsi="Times New Roman" w:eastAsia="仿宋_GB2312"/>
                <w:b w:val="0"/>
                <w:bCs w:val="0"/>
                <w:kern w:val="0"/>
                <w:sz w:val="24"/>
                <w:u w:val="none"/>
                <w:lang w:bidi="ar"/>
              </w:rPr>
              <w:t>将社会培训机构自行组织的各类考试结果、培训证书作为招生</w:t>
            </w:r>
            <w:r>
              <w:rPr>
                <w:rFonts w:hint="eastAsia" w:ascii="Times New Roman" w:hAnsi="Times New Roman" w:eastAsia="仿宋_GB2312"/>
                <w:b w:val="0"/>
                <w:bCs w:val="0"/>
                <w:kern w:val="0"/>
                <w:sz w:val="24"/>
                <w:u w:val="none"/>
                <w:lang w:val="en-US" w:eastAsia="zh-Hans" w:bidi="ar"/>
              </w:rPr>
              <w:t>参考或</w:t>
            </w:r>
            <w:r>
              <w:rPr>
                <w:rFonts w:hint="eastAsia" w:ascii="Times New Roman" w:hAnsi="Times New Roman" w:eastAsia="仿宋_GB2312"/>
                <w:b w:val="0"/>
                <w:bCs w:val="0"/>
                <w:kern w:val="0"/>
                <w:sz w:val="24"/>
                <w:u w:val="none"/>
                <w:lang w:bidi="ar"/>
              </w:rPr>
              <w:t>依据</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r>
      <w:tr>
        <w:tblPrEx>
          <w:tblCellMar>
            <w:top w:w="0" w:type="dxa"/>
            <w:left w:w="0" w:type="dxa"/>
            <w:bottom w:w="0" w:type="dxa"/>
            <w:right w:w="0" w:type="dxa"/>
          </w:tblCellMar>
        </w:tblPrEx>
        <w:trPr>
          <w:trHeight w:val="385"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8</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eastAsia="zh-CN" w:bidi="ar"/>
              </w:rPr>
              <w:t>是否</w:t>
            </w:r>
            <w:r>
              <w:rPr>
                <w:rFonts w:hint="eastAsia" w:ascii="Times New Roman" w:hAnsi="Times New Roman" w:eastAsia="仿宋_GB2312"/>
                <w:b w:val="0"/>
                <w:bCs w:val="0"/>
                <w:kern w:val="0"/>
                <w:sz w:val="24"/>
                <w:u w:val="none"/>
                <w:lang w:bidi="ar"/>
              </w:rPr>
              <w:t>将学科竞赛成绩</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考级证明</w:t>
            </w:r>
            <w:r>
              <w:rPr>
                <w:rFonts w:hint="eastAsia" w:ascii="Times New Roman" w:hAnsi="Times New Roman" w:eastAsia="仿宋_GB2312"/>
                <w:b w:val="0"/>
                <w:bCs w:val="0"/>
                <w:kern w:val="0"/>
                <w:sz w:val="24"/>
                <w:u w:val="none"/>
                <w:lang w:eastAsia="zh-CN" w:bidi="ar"/>
              </w:rPr>
              <w:t>（证书）等</w:t>
            </w:r>
            <w:r>
              <w:rPr>
                <w:rFonts w:hint="eastAsia" w:ascii="Times New Roman" w:hAnsi="Times New Roman" w:eastAsia="仿宋_GB2312"/>
                <w:b w:val="0"/>
                <w:bCs w:val="0"/>
                <w:kern w:val="0"/>
                <w:sz w:val="24"/>
                <w:u w:val="none"/>
                <w:lang w:bidi="ar"/>
              </w:rPr>
              <w:t>作为招生</w:t>
            </w:r>
            <w:r>
              <w:rPr>
                <w:rFonts w:hint="eastAsia" w:ascii="Times New Roman" w:hAnsi="Times New Roman" w:eastAsia="仿宋_GB2312"/>
                <w:b w:val="0"/>
                <w:bCs w:val="0"/>
                <w:kern w:val="0"/>
                <w:sz w:val="24"/>
                <w:u w:val="none"/>
                <w:lang w:eastAsia="zh-CN" w:bidi="ar"/>
              </w:rPr>
              <w:t>参考或</w:t>
            </w:r>
            <w:r>
              <w:rPr>
                <w:rFonts w:hint="eastAsia" w:ascii="Times New Roman" w:hAnsi="Times New Roman" w:eastAsia="仿宋_GB2312"/>
                <w:b w:val="0"/>
                <w:bCs w:val="0"/>
                <w:kern w:val="0"/>
                <w:sz w:val="24"/>
                <w:u w:val="none"/>
                <w:lang w:bidi="ar"/>
              </w:rPr>
              <w:t>依据</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CellMar>
            <w:top w:w="0" w:type="dxa"/>
            <w:left w:w="0" w:type="dxa"/>
            <w:bottom w:w="0" w:type="dxa"/>
            <w:right w:w="0" w:type="dxa"/>
          </w:tblCellMar>
        </w:tblPrEx>
        <w:trPr>
          <w:trHeight w:val="522"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9</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收取或变相收取与入学挂钩、关联的</w:t>
            </w:r>
            <w:r>
              <w:rPr>
                <w:rFonts w:hint="eastAsia" w:ascii="Times New Roman" w:hAnsi="Times New Roman" w:eastAsia="仿宋_GB2312"/>
                <w:b w:val="0"/>
                <w:bCs w:val="0"/>
                <w:kern w:val="0"/>
                <w:sz w:val="24"/>
                <w:u w:val="none"/>
                <w:lang w:bidi="ar"/>
              </w:rPr>
              <w:t>“捐资助学款”“共建费”</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81"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10</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ascii="Times New Roman" w:hAnsi="Times New Roman" w:eastAsia="仿宋_GB2312"/>
                <w:b w:val="0"/>
                <w:bCs w:val="0"/>
                <w:kern w:val="0"/>
                <w:sz w:val="24"/>
                <w:u w:val="none"/>
                <w:lang w:bidi="ar"/>
              </w:rPr>
              <w:t>是否</w:t>
            </w:r>
            <w:r>
              <w:rPr>
                <w:rFonts w:hint="eastAsia" w:ascii="Times New Roman" w:hAnsi="Times New Roman" w:eastAsia="仿宋_GB2312"/>
                <w:kern w:val="0"/>
                <w:sz w:val="24"/>
                <w:lang w:bidi="ar"/>
              </w:rPr>
              <w:t>以高额物质奖励</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虚假宣</w:t>
            </w:r>
            <w:r>
              <w:rPr>
                <w:rFonts w:hint="eastAsia" w:ascii="Times New Roman" w:hAnsi="Times New Roman" w:eastAsia="仿宋_GB2312"/>
                <w:b w:val="0"/>
                <w:bCs w:val="0"/>
                <w:kern w:val="0"/>
                <w:sz w:val="24"/>
                <w:u w:val="none"/>
                <w:lang w:eastAsia="zh-CN" w:bidi="ar"/>
              </w:rPr>
              <w:t>传、</w:t>
            </w:r>
            <w:r>
              <w:rPr>
                <w:rFonts w:hint="eastAsia" w:ascii="Times New Roman" w:hAnsi="Times New Roman" w:eastAsia="仿宋_GB2312"/>
                <w:b w:val="0"/>
                <w:bCs w:val="0"/>
                <w:kern w:val="0"/>
                <w:sz w:val="24"/>
                <w:u w:val="none"/>
                <w:lang w:bidi="ar"/>
              </w:rPr>
              <w:t>口头承诺或签订录取承诺书</w:t>
            </w:r>
            <w:r>
              <w:rPr>
                <w:rFonts w:hint="eastAsia" w:ascii="Times New Roman" w:hAnsi="Times New Roman" w:eastAsia="仿宋_GB2312"/>
                <w:b w:val="0"/>
                <w:bCs w:val="0"/>
                <w:kern w:val="0"/>
                <w:sz w:val="24"/>
                <w:u w:val="none"/>
                <w:lang w:eastAsia="zh-CN" w:bidi="ar"/>
              </w:rPr>
              <w:t>等方式</w:t>
            </w:r>
            <w:r>
              <w:rPr>
                <w:rFonts w:hint="eastAsia" w:ascii="Times New Roman" w:hAnsi="Times New Roman" w:eastAsia="仿宋_GB2312"/>
                <w:b w:val="0"/>
                <w:bCs w:val="0"/>
                <w:kern w:val="0"/>
                <w:sz w:val="24"/>
                <w:u w:val="none"/>
                <w:lang w:bidi="ar"/>
              </w:rPr>
              <w:t>招揽生源</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42"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11</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eastAsia="zh-CN" w:bidi="ar"/>
              </w:rPr>
              <w:t>是否自行组织或与社会培训机构联合组织以选拔生源为目的的各类测试面试</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1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12</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sz w:val="24"/>
                <w:u w:val="none"/>
                <w:lang w:eastAsia="zh-CN"/>
              </w:rPr>
              <w:t>是否设立或变相设立</w:t>
            </w:r>
            <w:r>
              <w:rPr>
                <w:rFonts w:hint="eastAsia" w:ascii="Times New Roman" w:hAnsi="Times New Roman" w:eastAsia="仿宋_GB2312"/>
                <w:b w:val="0"/>
                <w:bCs w:val="0"/>
                <w:sz w:val="24"/>
                <w:u w:val="none"/>
              </w:rPr>
              <w:t>重点班、快慢班</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05"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13</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强化招生信息公开</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sz w:val="24"/>
                <w:u w:val="none"/>
              </w:rPr>
              <w:t>是否</w:t>
            </w:r>
            <w:r>
              <w:rPr>
                <w:rFonts w:hint="eastAsia" w:ascii="Times New Roman" w:hAnsi="Times New Roman" w:eastAsia="仿宋_GB2312"/>
                <w:b w:val="0"/>
                <w:bCs w:val="0"/>
                <w:sz w:val="24"/>
                <w:u w:val="none"/>
                <w:lang w:val="en-US" w:eastAsia="zh-Hans"/>
              </w:rPr>
              <w:t>通过互联网等多种方式</w:t>
            </w:r>
            <w:r>
              <w:rPr>
                <w:rFonts w:hint="eastAsia" w:ascii="Times New Roman" w:hAnsi="Times New Roman" w:eastAsia="仿宋_GB2312"/>
                <w:b w:val="0"/>
                <w:bCs w:val="0"/>
                <w:sz w:val="24"/>
                <w:u w:val="none"/>
              </w:rPr>
              <w:t>公布</w:t>
            </w:r>
            <w:r>
              <w:rPr>
                <w:rFonts w:hint="eastAsia" w:ascii="Times New Roman" w:hAnsi="Times New Roman" w:eastAsia="仿宋_GB2312"/>
                <w:b w:val="0"/>
                <w:bCs w:val="0"/>
                <w:sz w:val="24"/>
                <w:u w:val="none"/>
                <w:lang w:eastAsia="zh-CN"/>
              </w:rPr>
              <w:t>辖区内</w:t>
            </w:r>
            <w:r>
              <w:rPr>
                <w:rFonts w:hint="eastAsia" w:ascii="Times New Roman" w:hAnsi="Times New Roman" w:eastAsia="仿宋_GB2312"/>
                <w:b w:val="0"/>
                <w:bCs w:val="0"/>
                <w:kern w:val="0"/>
                <w:sz w:val="24"/>
                <w:u w:val="none"/>
                <w:lang w:bidi="ar"/>
              </w:rPr>
              <w:t>每所义务教育学校当年度招生政策</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划片范围</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报名条件</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招生程序</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sz w:val="24"/>
                <w:u w:val="none"/>
                <w:lang w:val="en-US" w:eastAsia="zh-CN"/>
              </w:rPr>
              <w:t>入学新生名单等</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CellMar>
            <w:top w:w="0" w:type="dxa"/>
            <w:left w:w="0" w:type="dxa"/>
            <w:bottom w:w="0" w:type="dxa"/>
            <w:right w:w="0" w:type="dxa"/>
          </w:tblCellMar>
        </w:tblPrEx>
        <w:trPr>
          <w:trHeight w:val="53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是否建立响应机制，指导区域内热点中小学校及时回应社会和家长关心关注的问题，面向公众公开声明</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3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15</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是否设立并公布专门的招生入学热线，畅通政策咨询、举报申诉等渠道</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391"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16</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eastAsia="zh-CN" w:bidi="ar"/>
              </w:rPr>
            </w:pPr>
            <w:r>
              <w:rPr>
                <w:rFonts w:hint="eastAsia" w:ascii="Times New Roman" w:hAnsi="Times New Roman" w:eastAsia="仿宋_GB2312"/>
                <w:b w:val="0"/>
                <w:bCs w:val="0"/>
                <w:kern w:val="0"/>
                <w:sz w:val="24"/>
                <w:u w:val="none"/>
                <w:lang w:eastAsia="zh-CN" w:bidi="ar"/>
              </w:rPr>
              <w:t>优化招生入学流程</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是否使用统一的招生入学服务平台或招生系统</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37"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17</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是否实现报名、材料审核和录取一网通办</w:t>
            </w:r>
          </w:p>
        </w:tc>
        <w:tc>
          <w:tcPr>
            <w:tcW w:w="455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95"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18</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是否实现区域内户籍、房产、居住证、出生证明、疫苗接种等入学相关信息互通共享</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01"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19</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是否利用信息化手段自动对比审核入学证明材料</w:t>
            </w:r>
          </w:p>
        </w:tc>
        <w:tc>
          <w:tcPr>
            <w:tcW w:w="455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6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20</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是否严格按照学籍信息采集表内容采集学生及家长信息</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92" w:hRule="exact"/>
          <w:jc w:val="center"/>
        </w:trPr>
        <w:tc>
          <w:tcPr>
            <w:tcW w:w="7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21</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明确禁止</w:t>
            </w:r>
            <w:r>
              <w:rPr>
                <w:rFonts w:hint="eastAsia" w:ascii="Times New Roman" w:hAnsi="Times New Roman" w:eastAsia="仿宋_GB2312"/>
                <w:b w:val="0"/>
                <w:bCs w:val="0"/>
                <w:kern w:val="0"/>
                <w:sz w:val="24"/>
                <w:u w:val="none"/>
                <w:lang w:bidi="ar"/>
              </w:rPr>
              <w:t>利用各类APP、小程序随意反复采集学生相关信息</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r>
      <w:tr>
        <w:tblPrEx>
          <w:tblCellMar>
            <w:top w:w="0" w:type="dxa"/>
            <w:left w:w="0" w:type="dxa"/>
            <w:bottom w:w="0" w:type="dxa"/>
            <w:right w:w="0" w:type="dxa"/>
          </w:tblCellMar>
        </w:tblPrEx>
        <w:trPr>
          <w:trHeight w:val="647"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22</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保障特殊群体入学</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能够</w:t>
            </w:r>
            <w:r>
              <w:rPr>
                <w:rFonts w:hint="eastAsia" w:ascii="Times New Roman" w:hAnsi="Times New Roman" w:eastAsia="仿宋_GB2312"/>
                <w:b w:val="0"/>
                <w:bCs w:val="0"/>
                <w:kern w:val="0"/>
                <w:sz w:val="24"/>
                <w:u w:val="none"/>
                <w:lang w:bidi="ar"/>
              </w:rPr>
              <w:t>及时更新</w:t>
            </w:r>
            <w:r>
              <w:rPr>
                <w:rFonts w:hint="eastAsia" w:ascii="Times New Roman" w:hAnsi="Times New Roman" w:eastAsia="仿宋_GB2312"/>
                <w:b w:val="0"/>
                <w:bCs w:val="0"/>
                <w:kern w:val="0"/>
                <w:sz w:val="24"/>
                <w:u w:val="none"/>
                <w:lang w:eastAsia="zh-CN" w:bidi="ar"/>
              </w:rPr>
              <w:t>全国基础教育管理服务平台</w:t>
            </w:r>
            <w:r>
              <w:rPr>
                <w:rFonts w:hint="eastAsia" w:ascii="Times New Roman" w:hAnsi="Times New Roman" w:eastAsia="仿宋_GB2312"/>
                <w:b w:val="0"/>
                <w:bCs w:val="0"/>
                <w:sz w:val="24"/>
                <w:u w:val="none"/>
              </w:rPr>
              <w:t>控辍保学台账中疑似辍学和辍学学生信息</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71"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23</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eastAsia="zh-CN" w:bidi="ar"/>
              </w:rPr>
              <w:t>是否采取行动加强</w:t>
            </w:r>
            <w:r>
              <w:rPr>
                <w:rFonts w:hint="eastAsia" w:ascii="Times New Roman" w:hAnsi="Times New Roman" w:eastAsia="仿宋_GB2312"/>
                <w:b w:val="0"/>
                <w:bCs w:val="0"/>
                <w:kern w:val="0"/>
                <w:sz w:val="24"/>
                <w:u w:val="none"/>
                <w:lang w:bidi="ar"/>
              </w:rPr>
              <w:t>辍学学生</w:t>
            </w:r>
            <w:r>
              <w:rPr>
                <w:rFonts w:hint="eastAsia" w:ascii="Times New Roman" w:hAnsi="Times New Roman" w:eastAsia="仿宋_GB2312"/>
                <w:b w:val="0"/>
                <w:bCs w:val="0"/>
                <w:kern w:val="0"/>
                <w:sz w:val="24"/>
                <w:u w:val="none"/>
                <w:lang w:eastAsia="zh-CN" w:bidi="ar"/>
              </w:rPr>
              <w:t>的劝返复学工作</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87"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是否全面落实随迁子女就学政策，精简入学证明材料</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19"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25</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是否依法保障能够</w:t>
            </w:r>
            <w:r>
              <w:rPr>
                <w:rFonts w:hint="eastAsia" w:ascii="Times New Roman" w:hAnsi="Times New Roman" w:eastAsia="仿宋_GB2312"/>
                <w:sz w:val="24"/>
              </w:rPr>
              <w:t>接受普通教育的适龄残疾儿童少年就近就便随班就读</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689"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26</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是否建立本地农村留守儿童、事实无人抚养儿童、孤儿、家庭经济困难学生等群体入学工作台账</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rPr>
            </w:pPr>
          </w:p>
        </w:tc>
      </w:tr>
      <w:tr>
        <w:tblPrEx>
          <w:tblCellMar>
            <w:top w:w="0" w:type="dxa"/>
            <w:left w:w="0" w:type="dxa"/>
            <w:bottom w:w="0" w:type="dxa"/>
            <w:right w:w="0" w:type="dxa"/>
          </w:tblCellMar>
        </w:tblPrEx>
        <w:trPr>
          <w:trHeight w:val="540"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27</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是否建立与公安、民政等部分信息共享比对机制</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val="en-US" w:eastAsia="zh-CN"/>
        </w:rPr>
      </w:pPr>
      <w:r>
        <w:rPr>
          <w:rFonts w:hint="default" w:ascii="Times New Roman" w:hAnsi="Times New Roman" w:eastAsia="黑体" w:cs="Times New Roman"/>
          <w:color w:val="000000"/>
          <w:w w:val="95"/>
          <w:sz w:val="36"/>
          <w:szCs w:val="36"/>
          <w:lang w:eastAsia="zh-CN"/>
        </w:rPr>
        <w:t>附件</w:t>
      </w:r>
      <w:r>
        <w:rPr>
          <w:rFonts w:hint="default" w:ascii="Times New Roman" w:hAnsi="Times New Roman" w:eastAsia="黑体" w:cs="Times New Roman"/>
          <w:color w:val="000000"/>
          <w:w w:val="95"/>
          <w:sz w:val="36"/>
          <w:szCs w:val="36"/>
          <w:lang w:val="en-US" w:eastAsia="zh-CN"/>
        </w:rPr>
        <w:t>2</w:t>
      </w:r>
    </w:p>
    <w:p>
      <w:pPr>
        <w:pStyle w:val="5"/>
        <w:ind w:left="0" w:leftChars="0" w:firstLine="0" w:firstLineChars="0"/>
        <w:jc w:val="center"/>
        <w:rPr>
          <w:rFonts w:hint="default"/>
          <w:lang w:val="en-US" w:eastAsia="zh-CN"/>
        </w:rPr>
      </w:pPr>
      <w:r>
        <w:rPr>
          <w:rFonts w:hint="eastAsia" w:ascii="Times New Roman" w:hAnsi="Times New Roman" w:eastAsia="方正小标宋_GBK" w:cs="Times New Roman"/>
          <w:sz w:val="44"/>
          <w:szCs w:val="44"/>
          <w:lang w:val="en-US" w:eastAsia="zh-CN"/>
        </w:rPr>
        <w:t>义务教育招生入学工作问题线索管理台账</w:t>
      </w:r>
    </w:p>
    <w:p>
      <w:pPr>
        <w:pStyle w:val="5"/>
        <w:ind w:left="0" w:leftChars="0" w:firstLine="0" w:firstLineChars="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县市教科（育）局（签章）：         填报人：            联系电话：</w:t>
      </w:r>
    </w:p>
    <w:tbl>
      <w:tblPr>
        <w:tblStyle w:val="7"/>
        <w:tblW w:w="12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62"/>
        <w:gridCol w:w="3503"/>
        <w:gridCol w:w="2287"/>
        <w:gridCol w:w="176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447"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262"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问题线索来源（含群众来信来电、上访、平台举报等）</w:t>
            </w:r>
          </w:p>
        </w:tc>
        <w:tc>
          <w:tcPr>
            <w:tcW w:w="3503"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问题线索摘要</w:t>
            </w:r>
          </w:p>
        </w:tc>
        <w:tc>
          <w:tcPr>
            <w:tcW w:w="2287"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办理情况</w:t>
            </w:r>
          </w:p>
        </w:tc>
        <w:tc>
          <w:tcPr>
            <w:tcW w:w="176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280" w:firstLineChars="10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处理结果</w:t>
            </w:r>
          </w:p>
        </w:tc>
        <w:tc>
          <w:tcPr>
            <w:tcW w:w="937"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2262"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3503"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228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1764"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93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2262"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3503"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228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1764"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93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2262"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3503"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228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1764"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c>
          <w:tcPr>
            <w:tcW w:w="937" w:type="dxa"/>
            <w:noWrap w:val="0"/>
            <w:vAlign w:val="center"/>
          </w:tcPr>
          <w:p>
            <w:pPr>
              <w:pStyle w:val="5"/>
              <w:jc w:val="center"/>
              <w:rPr>
                <w:rFonts w:hint="eastAsia" w:ascii="方正仿宋_GBK" w:hAnsi="方正仿宋_GBK" w:eastAsia="方正仿宋_GBK" w:cs="方正仿宋_GBK"/>
                <w:sz w:val="32"/>
                <w:szCs w:val="32"/>
                <w:vertAlign w:val="baseline"/>
                <w:lang w:val="en-US" w:eastAsia="zh-CN"/>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val="en-US" w:eastAsia="zh-CN"/>
        </w:rPr>
      </w:pPr>
      <w:r>
        <w:rPr>
          <w:rFonts w:hint="default" w:ascii="Times New Roman" w:hAnsi="Times New Roman" w:eastAsia="黑体" w:cs="Times New Roman"/>
          <w:color w:val="000000"/>
          <w:w w:val="95"/>
          <w:sz w:val="36"/>
          <w:szCs w:val="36"/>
          <w:lang w:eastAsia="zh-CN"/>
        </w:rPr>
        <w:t>附件</w:t>
      </w:r>
      <w:r>
        <w:rPr>
          <w:rFonts w:hint="eastAsia" w:ascii="Times New Roman" w:hAnsi="Times New Roman" w:eastAsia="黑体" w:cs="Times New Roman"/>
          <w:color w:val="000000"/>
          <w:w w:val="95"/>
          <w:sz w:val="36"/>
          <w:szCs w:val="36"/>
          <w:lang w:val="en-US" w:eastAsia="zh-CN"/>
        </w:rPr>
        <w:t>3</w:t>
      </w:r>
    </w:p>
    <w:p>
      <w:pPr>
        <w:pStyle w:val="5"/>
        <w:ind w:left="0" w:leftChars="0" w:firstLine="0" w:firstLineChars="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义务教育阳光招生专项行动违规招生行为查处登记表</w:t>
      </w:r>
    </w:p>
    <w:p>
      <w:pPr>
        <w:pStyle w:val="5"/>
        <w:ind w:left="0" w:leftChars="0" w:firstLine="0" w:firstLineChars="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县市教科（育）局（签章）：         填报人：           联系电话：</w:t>
      </w:r>
    </w:p>
    <w:tbl>
      <w:tblPr>
        <w:tblStyle w:val="7"/>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325"/>
        <w:gridCol w:w="6308"/>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96" w:type="dxa"/>
          </w:tcPr>
          <w:p>
            <w:pPr>
              <w:pStyle w:val="5"/>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325" w:type="dxa"/>
          </w:tcPr>
          <w:p>
            <w:pPr>
              <w:pStyle w:val="5"/>
              <w:ind w:left="0" w:leftChars="0" w:firstLine="320" w:firstLineChars="1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违规主体</w:t>
            </w:r>
          </w:p>
        </w:tc>
        <w:tc>
          <w:tcPr>
            <w:tcW w:w="6308" w:type="dxa"/>
          </w:tcPr>
          <w:p>
            <w:pPr>
              <w:pStyle w:val="5"/>
              <w:ind w:left="0" w:leftChars="0" w:firstLine="2560" w:firstLineChars="8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违规行为</w:t>
            </w:r>
          </w:p>
        </w:tc>
        <w:tc>
          <w:tcPr>
            <w:tcW w:w="3647" w:type="dxa"/>
          </w:tcPr>
          <w:p>
            <w:pPr>
              <w:pStyle w:val="5"/>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查处和追责情况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5"/>
              <w:jc w:val="cente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5"/>
              <w:jc w:val="cente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5"/>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5"/>
              <w:jc w:val="center"/>
              <w:rPr>
                <w:rFonts w:hint="default"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napToGrid w:val="0"/>
          <w:spacing w:val="-6"/>
          <w:kern w:val="0"/>
          <w:sz w:val="32"/>
          <w:szCs w:val="32"/>
          <w:u w:val="none"/>
          <w:lang w:val="en-US" w:eastAsia="zh-CN"/>
        </w:rPr>
      </w:pPr>
    </w:p>
    <w:p>
      <w:bookmarkStart w:id="0" w:name="_GoBack"/>
      <w:bookmarkEnd w:id="0"/>
    </w:p>
    <w:sectPr>
      <w:pgSz w:w="16838" w:h="11906" w:orient="landscape"/>
      <w:pgMar w:top="1417" w:right="2098" w:bottom="141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mVhYzRmYjI3YmFjYjI1MmM3ZjA0YjllNWViNmQifQ=="/>
  </w:docVars>
  <w:rsids>
    <w:rsidRoot w:val="23FE3820"/>
    <w:rsid w:val="23FE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heme="minorAscii" w:hAnsiTheme="minorAscii"/>
      <w:b/>
      <w:kern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2024-05-10T12:08:00Z</dcterms:created>
  <dc:creator>Administrator</dc:creator>
  <cp:lastModifiedBy>Administrator</cp:lastModifiedBy>
  <dcterms:modified xsi:type="dcterms:W3CDTF">2024-05-10T12:09:50Z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A6DF06892A0E4888B6254E2646D01DC3_11</vt:lpwstr>
  </property>
</Properties>
</file>